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21.1.0 -->
  <w:body>
    <w:p w:rsidR="001F4D52" w:rsidRPr="001F4D52" w:rsidP="001F4D52"/>
    <w:tbl>
      <w:tblPr>
        <w:tblW w:w="5000" w:type="pct"/>
        <w:tblCellMar>
          <w:left w:w="108" w:type="dxa"/>
          <w:right w:w="108" w:type="dxa"/>
        </w:tblCellMar>
      </w:tblPr>
      <w:tblGrid>
        <w:gridCol w:w="10440"/>
      </w:tblGrid>
      <w:tr>
        <w:tblPrEx>
          <w:tblW w:w="5000" w:type="pct"/>
          <w:tblCellMar>
            <w:left w:w="108" w:type="dxa"/>
            <w:right w:w="108" w:type="dxa"/>
          </w:tblCellMar>
        </w:tblPrEx>
        <w:tc>
          <w:tcPr/>
          <w:p>
            <w:r>
              <w:drawing>
                <wp:anchor simplePos="0" relativeHeight="251658240" behindDoc="0" locked="0" layoutInCell="1" allowOverlap="1">
                  <wp:simplePos x="0" y="0"/>
                  <wp:positionH relativeFrom="column">
                    <wp:align>left</wp:align>
                  </wp:positionH>
                  <wp:positionV relativeFrom="paragraph">
                    <wp:align>top</wp:align>
                  </wp:positionV>
                  <wp:extent cx="2723810" cy="1038095"/>
                  <wp:wrapTopAndBottom/>
                  <wp:docPr id="10000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2" name=""/>
                          <pic:cNvPicPr>
                            <a:picLocks noChangeAspect="1"/>
                          </pic:cNvPicPr>
                        </pic:nvPicPr>
                        <pic:blipFill>
                          <a:blip xmlns:r="http://schemas.openxmlformats.org/officeDocument/2006/relationships" r:embed="rId5"/>
                          <a:stretch>
                            <a:fillRect/>
                          </a:stretch>
                        </pic:blipFill>
                        <pic:spPr>
                          <a:xfrm>
                            <a:off x="0" y="0"/>
                            <a:ext cx="2723810" cy="1038095"/>
                          </a:xfrm>
                          <a:prstGeom prst="rect">
                            <a:avLst/>
                          </a:prstGeom>
                        </pic:spPr>
                      </pic:pic>
                    </a:graphicData>
                  </a:graphic>
                </wp:anchor>
              </w:drawing>
            </w:r>
            <w:r>
              <w:drawing>
                <wp:anchor simplePos="0" relativeHeight="251659264" behindDoc="0" locked="0" layoutInCell="1" allowOverlap="1">
                  <wp:simplePos x="0" y="0"/>
                  <wp:positionH relativeFrom="column">
                    <wp:align>right</wp:align>
                  </wp:positionH>
                  <wp:positionV relativeFrom="paragraph">
                    <wp:align>top</wp:align>
                  </wp:positionV>
                  <wp:extent cx="2857899" cy="962159"/>
                  <wp:wrapTopAndBottom/>
                  <wp:docPr id="10000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
                          <pic:cNvPicPr>
                            <a:picLocks noChangeAspect="1"/>
                          </pic:cNvPicPr>
                        </pic:nvPicPr>
                        <pic:blipFill>
                          <a:blip xmlns:r="http://schemas.openxmlformats.org/officeDocument/2006/relationships" r:embed="rId6"/>
                          <a:stretch>
                            <a:fillRect/>
                          </a:stretch>
                        </pic:blipFill>
                        <pic:spPr>
                          <a:xfrm>
                            <a:off x="0" y="0"/>
                            <a:ext cx="2857899" cy="962159"/>
                          </a:xfrm>
                          <a:prstGeom prst="rect">
                            <a:avLst/>
                          </a:prstGeom>
                        </pic:spPr>
                      </pic:pic>
                    </a:graphicData>
                  </a:graphic>
                </wp:anchor>
              </w:drawing>
            </w:r>
          </w:p>
        </w:tc>
      </w:tr>
      <w:tr>
        <w:tblPrEx>
          <w:tblW w:w="5000" w:type="pct"/>
          <w:tblCellMar>
            <w:left w:w="108" w:type="dxa"/>
            <w:right w:w="108" w:type="dxa"/>
          </w:tblCellMar>
        </w:tblPrEx>
        <w:tc>
          <w:tcPr/>
          <w:p>
            <w:pPr>
              <w:pStyle w:val="Title"/>
              <w:jc w:val="center"/>
            </w:pPr>
            <w:r>
              <w:t>Bulgaria - Rural Development Programme (National)</w:t>
            </w:r>
          </w:p>
          <w:p>
            <w:pPr>
              <w:pStyle w:val="Title"/>
              <w:jc w:val="center"/>
            </w:pPr>
          </w:p>
        </w:tc>
      </w:tr>
      <w:tr>
        <w:tblPrEx>
          <w:tblW w:w="5000" w:type="pct"/>
          <w:tblCellMar>
            <w:left w:w="108" w:type="dxa"/>
            <w:right w:w="108" w:type="dxa"/>
          </w:tblCellMar>
        </w:tblPrEx>
        <w:tc>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5107"/>
              <w:gridCol w:w="5107"/>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500" w:type="pct"/>
                </w:tcPr>
                <w:p>
                  <w:pPr>
                    <w:pStyle w:val="Caption"/>
                    <w:jc w:val="center"/>
                  </w:pPr>
                  <w:r>
                    <w:t>CCI</w:t>
                  </w:r>
                </w:p>
              </w:tc>
              <w:tc>
                <w:tcPr>
                  <w:tcW w:w="2500" w:type="pct"/>
                </w:tcPr>
                <w:p>
                  <w:pPr>
                    <w:jc w:val="center"/>
                  </w:pPr>
                  <w:r>
                    <w:t>2014BG06RDNP001</w:t>
                  </w:r>
                </w:p>
              </w:tc>
            </w:tr>
            <w:tr>
              <w:tblPrEx>
                <w:tblW w:w="5000" w:type="pct"/>
                <w:tblCellMar>
                  <w:left w:w="108" w:type="dxa"/>
                  <w:right w:w="108" w:type="dxa"/>
                </w:tblCellMar>
              </w:tblPrEx>
              <w:tc>
                <w:tcPr>
                  <w:tcW w:w="2500" w:type="pct"/>
                </w:tcPr>
                <w:p>
                  <w:pPr>
                    <w:pStyle w:val="Caption"/>
                    <w:jc w:val="center"/>
                  </w:pPr>
                  <w:r>
                    <w:t>Вид на програмата</w:t>
                  </w:r>
                </w:p>
              </w:tc>
              <w:tc>
                <w:tcPr>
                  <w:tcW w:w="2500" w:type="pct"/>
                </w:tcPr>
                <w:p>
                  <w:pPr>
                    <w:jc w:val="center"/>
                  </w:pPr>
                  <w:r>
                    <w:t>Програма за развитие на селските райони</w:t>
                  </w:r>
                </w:p>
              </w:tc>
            </w:tr>
            <w:tr>
              <w:tblPrEx>
                <w:tblW w:w="5000" w:type="pct"/>
                <w:tblCellMar>
                  <w:left w:w="108" w:type="dxa"/>
                  <w:right w:w="108" w:type="dxa"/>
                </w:tblCellMar>
              </w:tblPrEx>
              <w:tc>
                <w:tcPr>
                  <w:tcW w:w="2500" w:type="pct"/>
                </w:tcPr>
                <w:p>
                  <w:pPr>
                    <w:pStyle w:val="Caption"/>
                    <w:jc w:val="center"/>
                  </w:pPr>
                  <w:r>
                    <w:t>Държава</w:t>
                  </w:r>
                </w:p>
              </w:tc>
              <w:tc>
                <w:tcPr>
                  <w:tcW w:w="2500" w:type="pct"/>
                </w:tcPr>
                <w:p>
                  <w:pPr>
                    <w:jc w:val="center"/>
                  </w:pPr>
                  <w:r>
                    <w:t>България</w:t>
                  </w:r>
                </w:p>
              </w:tc>
            </w:tr>
            <w:tr>
              <w:tblPrEx>
                <w:tblW w:w="5000" w:type="pct"/>
                <w:tblCellMar>
                  <w:left w:w="108" w:type="dxa"/>
                  <w:right w:w="108" w:type="dxa"/>
                </w:tblCellMar>
              </w:tblPrEx>
              <w:tc>
                <w:tcPr>
                  <w:tcW w:w="2500" w:type="pct"/>
                </w:tcPr>
                <w:p>
                  <w:pPr>
                    <w:pStyle w:val="Caption"/>
                    <w:jc w:val="center"/>
                  </w:pPr>
                  <w:r>
                    <w:t>Регион</w:t>
                  </w:r>
                </w:p>
              </w:tc>
              <w:tc>
                <w:tcPr>
                  <w:tcW w:w="2500" w:type="pct"/>
                </w:tcPr>
                <w:p>
                  <w:pPr>
                    <w:jc w:val="center"/>
                  </w:pPr>
                  <w:r>
                    <w:t>BG - National</w:t>
                  </w:r>
                </w:p>
              </w:tc>
            </w:tr>
            <w:tr>
              <w:tblPrEx>
                <w:tblW w:w="5000" w:type="pct"/>
                <w:tblCellMar>
                  <w:left w:w="108" w:type="dxa"/>
                  <w:right w:w="108" w:type="dxa"/>
                </w:tblCellMar>
              </w:tblPrEx>
              <w:tc>
                <w:tcPr>
                  <w:tcW w:w="2500" w:type="pct"/>
                </w:tcPr>
                <w:p>
                  <w:pPr>
                    <w:pStyle w:val="Caption"/>
                    <w:jc w:val="center"/>
                  </w:pPr>
                  <w:r>
                    <w:t>Програмен период</w:t>
                  </w:r>
                </w:p>
              </w:tc>
              <w:tc>
                <w:tcPr>
                  <w:tcW w:w="2500" w:type="pct"/>
                </w:tcPr>
                <w:p>
                  <w:pPr>
                    <w:jc w:val="center"/>
                  </w:pPr>
                  <w:r>
                    <w:t>2014 - 2022</w:t>
                  </w:r>
                </w:p>
              </w:tc>
            </w:tr>
            <w:tr>
              <w:tblPrEx>
                <w:tblW w:w="5000" w:type="pct"/>
                <w:tblCellMar>
                  <w:left w:w="108" w:type="dxa"/>
                  <w:right w:w="108" w:type="dxa"/>
                </w:tblCellMar>
              </w:tblPrEx>
              <w:tc>
                <w:tcPr>
                  <w:tcW w:w="2500" w:type="pct"/>
                </w:tcPr>
                <w:p>
                  <w:pPr>
                    <w:pStyle w:val="Caption"/>
                    <w:jc w:val="center"/>
                  </w:pPr>
                  <w:r>
                    <w:t>Управляващ орган</w:t>
                  </w:r>
                </w:p>
              </w:tc>
              <w:tc>
                <w:tcPr>
                  <w:tcW w:w="2500" w:type="pct"/>
                </w:tcPr>
                <w:p>
                  <w:pPr>
                    <w:jc w:val="center"/>
                  </w:pPr>
                  <w:r>
                    <w:t>Дирекция "Развитие на селските райони" (РСР) в Министерството на земеделието и храните</w:t>
                  </w:r>
                </w:p>
              </w:tc>
            </w:tr>
            <w:tr>
              <w:tblPrEx>
                <w:tblW w:w="5000" w:type="pct"/>
                <w:tblCellMar>
                  <w:left w:w="108" w:type="dxa"/>
                  <w:right w:w="108" w:type="dxa"/>
                </w:tblCellMar>
              </w:tblPrEx>
              <w:tc>
                <w:tcPr>
                  <w:tcW w:w="2500" w:type="pct"/>
                </w:tcPr>
                <w:p>
                  <w:pPr>
                    <w:pStyle w:val="Caption"/>
                    <w:jc w:val="center"/>
                  </w:pPr>
                  <w:r>
                    <w:t>Версия</w:t>
                  </w:r>
                </w:p>
              </w:tc>
              <w:tc>
                <w:tcPr>
                  <w:tcW w:w="2500" w:type="pct"/>
                </w:tcPr>
                <w:p>
                  <w:pPr>
                    <w:jc w:val="center"/>
                  </w:pPr>
                  <w:r>
                    <w:t>19.0</w:t>
                  </w:r>
                </w:p>
              </w:tc>
            </w:tr>
            <w:tr>
              <w:tblPrEx>
                <w:tblW w:w="5000" w:type="pct"/>
                <w:tblCellMar>
                  <w:left w:w="108" w:type="dxa"/>
                  <w:right w:w="108" w:type="dxa"/>
                </w:tblCellMar>
              </w:tblPrEx>
              <w:tc>
                <w:tcPr>
                  <w:tcW w:w="2500" w:type="pct"/>
                </w:tcPr>
                <w:p>
                  <w:pPr>
                    <w:pStyle w:val="Caption"/>
                    <w:jc w:val="center"/>
                  </w:pPr>
                  <w:r>
                    <w:t>Статус на версията</w:t>
                  </w:r>
                </w:p>
              </w:tc>
              <w:tc>
                <w:tcPr>
                  <w:tcW w:w="2500" w:type="pct"/>
                </w:tcPr>
                <w:p>
                  <w:pPr>
                    <w:jc w:val="center"/>
                  </w:pPr>
                  <w:r>
                    <w:t>Прието от ЕК</w:t>
                  </w:r>
                </w:p>
              </w:tc>
            </w:tr>
            <w:tr>
              <w:tblPrEx>
                <w:tblW w:w="5000" w:type="pct"/>
                <w:tblCellMar>
                  <w:left w:w="108" w:type="dxa"/>
                  <w:right w:w="108" w:type="dxa"/>
                </w:tblCellMar>
              </w:tblPrEx>
              <w:tc>
                <w:tcPr>
                  <w:tcW w:w="2500" w:type="pct"/>
                </w:tcPr>
                <w:p>
                  <w:pPr>
                    <w:pStyle w:val="Caption"/>
                    <w:jc w:val="center"/>
                  </w:pPr>
                  <w:r>
                    <w:t>Дата на последно изменение</w:t>
                  </w:r>
                </w:p>
              </w:tc>
              <w:tc>
                <w:tcPr>
                  <w:tcW w:w="2500" w:type="pct"/>
                </w:tcPr>
                <w:p>
                  <w:pPr>
                    <w:jc w:val="center"/>
                  </w:pPr>
                  <w:r>
                    <w:t>18/08/2025 - 10:16:23 CEST</w:t>
                  </w:r>
                </w:p>
              </w:tc>
            </w:tr>
          </w:tbl>
          <w:p>
            <w:pPr>
              <w:pStyle w:val="Title"/>
              <w:jc w:val="center"/>
            </w:pPr>
          </w:p>
        </w:tc>
      </w:tr>
    </w:tbl>
    <w:p>
      <w:pPr>
        <w:sectPr>
          <w:headerReference w:type="even" r:id="rId7"/>
          <w:headerReference w:type="default" r:id="rId8"/>
          <w:footerReference w:type="even" r:id="rId9"/>
          <w:footerReference w:type="default" r:id="rId10"/>
          <w:headerReference w:type="first" r:id="rId11"/>
          <w:footerReference w:type="first" r:id="rId12"/>
          <w:pgMar w:top="900" w:right="900" w:bottom="900" w:left="900" w:header="720" w:footer="720"/>
          <w:pgNumType w:start="1"/>
          <w:cols w:space="720"/>
          <w:vAlign w:val="both"/>
        </w:sectPr>
      </w:pPr>
    </w:p>
    <w:p>
      <w:pPr>
        <w:jc w:val="center"/>
        <w:rPr>
          <w:b/>
          <w:sz w:val="32"/>
        </w:rPr>
      </w:pPr>
      <w:r>
        <w:rPr>
          <w:b/>
          <w:sz w:val="32"/>
        </w:rPr>
        <w:t>Съдържание</w:t>
      </w:r>
    </w:p>
    <w:p>
      <w:pPr>
        <w:jc w:val="center"/>
        <w:rPr>
          <w:b/>
          <w:sz w:val="32"/>
        </w:rPr>
      </w:pPr>
    </w:p>
    <w:p>
      <w:pPr>
        <w:pStyle w:val="TOC1"/>
        <w:rPr>
          <w:rFonts w:asciiTheme="minorHAnsi" w:hAnsiTheme="minorHAnsi"/>
          <w:noProof/>
          <w:sz w:val="22"/>
        </w:rPr>
      </w:pPr>
      <w:r>
        <w:fldChar w:fldCharType="begin"/>
      </w:r>
      <w:r>
        <w:instrText>TOC \o "1-3" \h \z \u</w:instrText>
      </w:r>
      <w:r>
        <w:fldChar w:fldCharType="separate"/>
      </w:r>
      <w:hyperlink w:anchor="_Toc256000000" w:history="1">
        <w:r>
          <w:rPr>
            <w:rStyle w:val="Hyperlink"/>
          </w:rPr>
          <w:t>1.</w:t>
        </w:r>
        <w:r>
          <w:rPr>
            <w:rStyle w:val="Hyperlink"/>
          </w:rPr>
          <w:t xml:space="preserve"> </w:t>
        </w:r>
        <w:r>
          <w:rPr>
            <w:rStyle w:val="Hyperlink"/>
          </w:rPr>
          <w:t>Заглавие на програмата за развитие на селските райони</w:t>
        </w:r>
        <w:r>
          <w:tab/>
        </w:r>
        <w:r>
          <w:fldChar w:fldCharType="begin"/>
        </w:r>
        <w:r>
          <w:instrText xml:space="preserve"> PAGEREF _Toc256000000 \h </w:instrText>
        </w:r>
        <w:r>
          <w:fldChar w:fldCharType="separate"/>
        </w:r>
        <w:r>
          <w:t>13</w:t>
        </w:r>
        <w:r>
          <w:fldChar w:fldCharType="end"/>
        </w:r>
      </w:hyperlink>
    </w:p>
    <w:p>
      <w:pPr>
        <w:pStyle w:val="TOC2"/>
        <w:rPr>
          <w:rFonts w:asciiTheme="minorHAnsi" w:hAnsiTheme="minorHAnsi"/>
          <w:noProof/>
          <w:sz w:val="22"/>
        </w:rPr>
      </w:pPr>
      <w:hyperlink w:anchor="_Toc256000001" w:history="1">
        <w:r>
          <w:rPr>
            <w:rStyle w:val="Hyperlink"/>
          </w:rPr>
          <w:t>1.1.</w:t>
        </w:r>
        <w:r>
          <w:rPr>
            <w:rStyle w:val="Hyperlink"/>
          </w:rPr>
          <w:t xml:space="preserve"> </w:t>
        </w:r>
        <w:r>
          <w:rPr>
            <w:rStyle w:val="Hyperlink"/>
          </w:rPr>
          <w:t>Изменение</w:t>
        </w:r>
        <w:r>
          <w:tab/>
        </w:r>
        <w:r>
          <w:fldChar w:fldCharType="begin"/>
        </w:r>
        <w:r>
          <w:instrText xml:space="preserve"> PAGEREF _Toc256000001 \h </w:instrText>
        </w:r>
        <w:r>
          <w:fldChar w:fldCharType="separate"/>
        </w:r>
        <w:r>
          <w:t>13</w:t>
        </w:r>
        <w:r>
          <w:fldChar w:fldCharType="end"/>
        </w:r>
      </w:hyperlink>
    </w:p>
    <w:p>
      <w:pPr>
        <w:pStyle w:val="TOC3"/>
        <w:rPr>
          <w:rFonts w:asciiTheme="minorHAnsi" w:hAnsiTheme="minorHAnsi"/>
          <w:noProof/>
          <w:sz w:val="22"/>
        </w:rPr>
      </w:pPr>
      <w:hyperlink w:anchor="_Toc256000002" w:history="1">
        <w:r>
          <w:rPr>
            <w:rStyle w:val="Hyperlink"/>
          </w:rPr>
          <w:t>1.1.1.</w:t>
        </w:r>
        <w:r>
          <w:rPr>
            <w:rStyle w:val="Hyperlink"/>
          </w:rPr>
          <w:t xml:space="preserve"> </w:t>
        </w:r>
        <w:r>
          <w:rPr>
            <w:rStyle w:val="Hyperlink"/>
          </w:rPr>
          <w:t>Вид изменение по Регламент (ЕС) № 1305/2013</w:t>
        </w:r>
        <w:r>
          <w:tab/>
        </w:r>
        <w:r>
          <w:fldChar w:fldCharType="begin"/>
        </w:r>
        <w:r>
          <w:instrText xml:space="preserve"> PAGEREF _Toc256000002 \h </w:instrText>
        </w:r>
        <w:r>
          <w:fldChar w:fldCharType="separate"/>
        </w:r>
        <w:r>
          <w:t>13</w:t>
        </w:r>
        <w:r>
          <w:fldChar w:fldCharType="end"/>
        </w:r>
      </w:hyperlink>
    </w:p>
    <w:p>
      <w:pPr>
        <w:pStyle w:val="TOC3"/>
        <w:rPr>
          <w:rFonts w:asciiTheme="minorHAnsi" w:hAnsiTheme="minorHAnsi"/>
          <w:noProof/>
          <w:sz w:val="22"/>
        </w:rPr>
      </w:pPr>
      <w:hyperlink w:anchor="_Toc256000003" w:history="1">
        <w:r>
          <w:rPr>
            <w:rStyle w:val="Hyperlink"/>
          </w:rPr>
          <w:t>1.1.2.</w:t>
        </w:r>
        <w:r>
          <w:rPr>
            <w:rStyle w:val="Hyperlink"/>
          </w:rPr>
          <w:t xml:space="preserve"> </w:t>
        </w:r>
        <w:r>
          <w:rPr>
            <w:rStyle w:val="Hyperlink"/>
          </w:rPr>
          <w:t>Изменение, с което се внасят промени в информацията, предоставена в споразумението за партньорство</w:t>
        </w:r>
        <w:r>
          <w:tab/>
        </w:r>
        <w:r>
          <w:fldChar w:fldCharType="begin"/>
        </w:r>
        <w:r>
          <w:instrText xml:space="preserve"> PAGEREF _Toc256000003 \h </w:instrText>
        </w:r>
        <w:r>
          <w:fldChar w:fldCharType="separate"/>
        </w:r>
        <w:r>
          <w:t>13</w:t>
        </w:r>
        <w:r>
          <w:fldChar w:fldCharType="end"/>
        </w:r>
      </w:hyperlink>
    </w:p>
    <w:p>
      <w:pPr>
        <w:pStyle w:val="TOC3"/>
        <w:rPr>
          <w:rFonts w:asciiTheme="minorHAnsi" w:hAnsiTheme="minorHAnsi"/>
          <w:noProof/>
          <w:sz w:val="22"/>
        </w:rPr>
      </w:pPr>
      <w:hyperlink w:anchor="_Toc256000004" w:history="1">
        <w:r>
          <w:rPr>
            <w:rStyle w:val="Hyperlink"/>
          </w:rPr>
          <w:t>1.1.3.</w:t>
        </w:r>
        <w:r>
          <w:rPr>
            <w:rStyle w:val="Hyperlink"/>
          </w:rPr>
          <w:t xml:space="preserve"> </w:t>
        </w:r>
        <w:r>
          <w:rPr>
            <w:rStyle w:val="Hyperlink"/>
          </w:rPr>
          <w:t>Изменение, свързано с член 4, параграф 2, трета алинея от Регламент (ЕС) № 808/2014 (не се брои за целите на ограниченията, определени в посочения член)</w:t>
        </w:r>
        <w:r>
          <w:tab/>
        </w:r>
        <w:r>
          <w:fldChar w:fldCharType="begin"/>
        </w:r>
        <w:r>
          <w:instrText xml:space="preserve"> PAGEREF _Toc256000004 \h </w:instrText>
        </w:r>
        <w:r>
          <w:fldChar w:fldCharType="separate"/>
        </w:r>
        <w:r>
          <w:t>13</w:t>
        </w:r>
        <w:r>
          <w:fldChar w:fldCharType="end"/>
        </w:r>
      </w:hyperlink>
    </w:p>
    <w:p>
      <w:pPr>
        <w:pStyle w:val="TOC3"/>
        <w:rPr>
          <w:rFonts w:asciiTheme="minorHAnsi" w:hAnsiTheme="minorHAnsi"/>
          <w:noProof/>
          <w:sz w:val="22"/>
        </w:rPr>
      </w:pPr>
      <w:hyperlink w:anchor="_Toc256000005" w:history="1">
        <w:r>
          <w:rPr>
            <w:rStyle w:val="Hyperlink"/>
          </w:rPr>
          <w:t>1.1.4.</w:t>
        </w:r>
        <w:r>
          <w:rPr>
            <w:rStyle w:val="Hyperlink"/>
          </w:rPr>
          <w:t xml:space="preserve"> </w:t>
        </w:r>
        <w:r>
          <w:rPr>
            <w:rStyle w:val="Hyperlink"/>
          </w:rPr>
          <w:t>Консултации с мониторинговия комитет (член 49, параграф 3 от Регламент (ЕС) № 1303/2013)</w:t>
        </w:r>
        <w:r>
          <w:tab/>
        </w:r>
        <w:r>
          <w:fldChar w:fldCharType="begin"/>
        </w:r>
        <w:r>
          <w:instrText xml:space="preserve"> PAGEREF _Toc256000005 \h </w:instrText>
        </w:r>
        <w:r>
          <w:fldChar w:fldCharType="separate"/>
        </w:r>
        <w:r>
          <w:t>13</w:t>
        </w:r>
        <w:r>
          <w:fldChar w:fldCharType="end"/>
        </w:r>
      </w:hyperlink>
    </w:p>
    <w:p>
      <w:pPr>
        <w:pStyle w:val="TOC3"/>
        <w:rPr>
          <w:rFonts w:asciiTheme="minorHAnsi" w:hAnsiTheme="minorHAnsi"/>
          <w:noProof/>
          <w:sz w:val="22"/>
        </w:rPr>
      </w:pPr>
      <w:hyperlink w:anchor="_Toc256000006" w:history="1">
        <w:r>
          <w:rPr>
            <w:rStyle w:val="Hyperlink"/>
          </w:rPr>
          <w:t>1.1.5.</w:t>
        </w:r>
        <w:r>
          <w:rPr>
            <w:rStyle w:val="Hyperlink"/>
          </w:rPr>
          <w:t xml:space="preserve"> </w:t>
        </w:r>
        <w:r>
          <w:rPr>
            <w:rStyle w:val="Hyperlink"/>
          </w:rPr>
          <w:t>а. Описание на изменението — член 4, параграф 1 от Регламент (ЕС) № 808/2014</w:t>
        </w:r>
        <w:r>
          <w:tab/>
        </w:r>
        <w:r>
          <w:fldChar w:fldCharType="begin"/>
        </w:r>
        <w:r>
          <w:instrText xml:space="preserve"> PAGEREF _Toc256000006 \h </w:instrText>
        </w:r>
        <w:r>
          <w:fldChar w:fldCharType="separate"/>
        </w:r>
        <w:r>
          <w:t>13</w:t>
        </w:r>
        <w:r>
          <w:fldChar w:fldCharType="end"/>
        </w:r>
      </w:hyperlink>
    </w:p>
    <w:p>
      <w:pPr>
        <w:pStyle w:val="TOC1"/>
        <w:rPr>
          <w:rFonts w:asciiTheme="minorHAnsi" w:hAnsiTheme="minorHAnsi"/>
          <w:noProof/>
          <w:sz w:val="22"/>
        </w:rPr>
      </w:pPr>
      <w:hyperlink w:anchor="_Toc256000007" w:history="1">
        <w:r>
          <w:rPr>
            <w:rStyle w:val="Hyperlink"/>
          </w:rPr>
          <w:t>2.</w:t>
        </w:r>
        <w:r>
          <w:rPr>
            <w:rStyle w:val="Hyperlink"/>
          </w:rPr>
          <w:t xml:space="preserve"> </w:t>
        </w:r>
        <w:r>
          <w:rPr>
            <w:rStyle w:val="Hyperlink"/>
          </w:rPr>
          <w:t>Държава членка или административен район</w:t>
        </w:r>
        <w:r>
          <w:tab/>
        </w:r>
        <w:r>
          <w:fldChar w:fldCharType="begin"/>
        </w:r>
        <w:r>
          <w:instrText xml:space="preserve"> PAGEREF _Toc256000007 \h </w:instrText>
        </w:r>
        <w:r>
          <w:fldChar w:fldCharType="separate"/>
        </w:r>
        <w:r>
          <w:t>38</w:t>
        </w:r>
        <w:r>
          <w:fldChar w:fldCharType="end"/>
        </w:r>
      </w:hyperlink>
    </w:p>
    <w:p>
      <w:pPr>
        <w:pStyle w:val="TOC2"/>
        <w:rPr>
          <w:rFonts w:asciiTheme="minorHAnsi" w:hAnsiTheme="minorHAnsi"/>
          <w:noProof/>
          <w:sz w:val="22"/>
        </w:rPr>
      </w:pPr>
      <w:hyperlink w:anchor="_Toc256000008" w:history="1">
        <w:r>
          <w:rPr>
            <w:rStyle w:val="Hyperlink"/>
          </w:rPr>
          <w:t>2.1.</w:t>
        </w:r>
        <w:r>
          <w:rPr>
            <w:rStyle w:val="Hyperlink"/>
          </w:rPr>
          <w:t xml:space="preserve"> </w:t>
        </w:r>
        <w:r>
          <w:rPr>
            <w:rStyle w:val="Hyperlink"/>
          </w:rPr>
          <w:t>Географски район, обхванат от програмата</w:t>
        </w:r>
        <w:r>
          <w:tab/>
        </w:r>
        <w:r>
          <w:fldChar w:fldCharType="begin"/>
        </w:r>
        <w:r>
          <w:instrText xml:space="preserve"> PAGEREF _Toc256000008 \h </w:instrText>
        </w:r>
        <w:r>
          <w:fldChar w:fldCharType="separate"/>
        </w:r>
        <w:r>
          <w:t>38</w:t>
        </w:r>
        <w:r>
          <w:fldChar w:fldCharType="end"/>
        </w:r>
      </w:hyperlink>
    </w:p>
    <w:p>
      <w:pPr>
        <w:pStyle w:val="TOC2"/>
        <w:rPr>
          <w:rFonts w:asciiTheme="minorHAnsi" w:hAnsiTheme="minorHAnsi"/>
          <w:noProof/>
          <w:sz w:val="22"/>
        </w:rPr>
      </w:pPr>
      <w:hyperlink w:anchor="_Toc256000009" w:history="1">
        <w:r>
          <w:rPr>
            <w:rStyle w:val="Hyperlink"/>
          </w:rPr>
          <w:t>2.2.</w:t>
        </w:r>
        <w:r>
          <w:rPr>
            <w:rStyle w:val="Hyperlink"/>
          </w:rPr>
          <w:t xml:space="preserve"> </w:t>
        </w:r>
        <w:r>
          <w:rPr>
            <w:rStyle w:val="Hyperlink"/>
          </w:rPr>
          <w:t>Класификация на региона</w:t>
        </w:r>
        <w:r>
          <w:tab/>
        </w:r>
        <w:r>
          <w:fldChar w:fldCharType="begin"/>
        </w:r>
        <w:r>
          <w:instrText xml:space="preserve"> PAGEREF _Toc256000009 \h </w:instrText>
        </w:r>
        <w:r>
          <w:fldChar w:fldCharType="separate"/>
        </w:r>
        <w:r>
          <w:t>38</w:t>
        </w:r>
        <w:r>
          <w:fldChar w:fldCharType="end"/>
        </w:r>
      </w:hyperlink>
    </w:p>
    <w:p>
      <w:pPr>
        <w:pStyle w:val="TOC1"/>
        <w:rPr>
          <w:rFonts w:asciiTheme="minorHAnsi" w:hAnsiTheme="minorHAnsi"/>
          <w:noProof/>
          <w:sz w:val="22"/>
        </w:rPr>
      </w:pPr>
      <w:hyperlink w:anchor="_Toc256000010" w:history="1">
        <w:r>
          <w:rPr>
            <w:rStyle w:val="Hyperlink"/>
          </w:rPr>
          <w:t>3.</w:t>
        </w:r>
        <w:r>
          <w:rPr>
            <w:rStyle w:val="Hyperlink"/>
          </w:rPr>
          <w:t xml:space="preserve"> </w:t>
        </w:r>
        <w:r>
          <w:rPr>
            <w:rStyle w:val="Hyperlink"/>
          </w:rPr>
          <w:t>Предварителна оценка</w:t>
        </w:r>
        <w:r>
          <w:tab/>
        </w:r>
        <w:r>
          <w:fldChar w:fldCharType="begin"/>
        </w:r>
        <w:r>
          <w:instrText xml:space="preserve"> PAGEREF _Toc256000010 \h </w:instrText>
        </w:r>
        <w:r>
          <w:fldChar w:fldCharType="separate"/>
        </w:r>
        <w:r>
          <w:t>39</w:t>
        </w:r>
        <w:r>
          <w:fldChar w:fldCharType="end"/>
        </w:r>
      </w:hyperlink>
    </w:p>
    <w:p>
      <w:pPr>
        <w:pStyle w:val="TOC2"/>
        <w:rPr>
          <w:rFonts w:asciiTheme="minorHAnsi" w:hAnsiTheme="minorHAnsi"/>
          <w:noProof/>
          <w:sz w:val="22"/>
        </w:rPr>
      </w:pPr>
      <w:hyperlink w:anchor="_Toc256000011" w:history="1">
        <w:r>
          <w:rPr>
            <w:rStyle w:val="Hyperlink"/>
          </w:rPr>
          <w:t>3.1.</w:t>
        </w:r>
        <w:r>
          <w:rPr>
            <w:rStyle w:val="Hyperlink"/>
          </w:rPr>
          <w:t xml:space="preserve"> </w:t>
        </w:r>
        <w:r>
          <w:rPr>
            <w:rStyle w:val="Hyperlink"/>
          </w:rPr>
          <w:t>Описание на процеса, включително графика на основните прояви и междинните доклади, свързани с ключовите етапи при реализирането на програмата за развитие на селските райони.</w:t>
        </w:r>
        <w:r>
          <w:tab/>
        </w:r>
        <w:r>
          <w:fldChar w:fldCharType="begin"/>
        </w:r>
        <w:r>
          <w:instrText xml:space="preserve"> PAGEREF _Toc256000011 \h </w:instrText>
        </w:r>
        <w:r>
          <w:fldChar w:fldCharType="separate"/>
        </w:r>
        <w:r>
          <w:t>39</w:t>
        </w:r>
        <w:r>
          <w:fldChar w:fldCharType="end"/>
        </w:r>
      </w:hyperlink>
    </w:p>
    <w:p>
      <w:pPr>
        <w:pStyle w:val="TOC2"/>
        <w:rPr>
          <w:rFonts w:asciiTheme="minorHAnsi" w:hAnsiTheme="minorHAnsi"/>
          <w:noProof/>
          <w:sz w:val="22"/>
        </w:rPr>
      </w:pPr>
      <w:hyperlink w:anchor="_Toc256000012" w:history="1">
        <w:r>
          <w:rPr>
            <w:rStyle w:val="Hyperlink"/>
          </w:rPr>
          <w:t>3.2.</w:t>
        </w:r>
        <w:r>
          <w:rPr>
            <w:rStyle w:val="Hyperlink"/>
          </w:rPr>
          <w:t xml:space="preserve"> </w:t>
        </w:r>
        <w:r>
          <w:rPr>
            <w:rStyle w:val="Hyperlink"/>
          </w:rPr>
          <w:t>Структурирана таблица, съдържаща препоръките от предварителната оценка и информация за начина, по който те са взети предвид.</w:t>
        </w:r>
        <w:r>
          <w:tab/>
        </w:r>
        <w:r>
          <w:fldChar w:fldCharType="begin"/>
        </w:r>
        <w:r>
          <w:instrText xml:space="preserve"> PAGEREF _Toc256000012 \h </w:instrText>
        </w:r>
        <w:r>
          <w:fldChar w:fldCharType="separate"/>
        </w:r>
        <w:r>
          <w:t>41</w:t>
        </w:r>
        <w:r>
          <w:fldChar w:fldCharType="end"/>
        </w:r>
      </w:hyperlink>
    </w:p>
    <w:p>
      <w:pPr>
        <w:pStyle w:val="TOC3"/>
        <w:rPr>
          <w:rFonts w:asciiTheme="minorHAnsi" w:hAnsiTheme="minorHAnsi"/>
          <w:noProof/>
          <w:sz w:val="22"/>
        </w:rPr>
      </w:pPr>
      <w:hyperlink w:anchor="_Toc256000013" w:history="1">
        <w:r>
          <w:rPr>
            <w:rStyle w:val="Hyperlink"/>
          </w:rPr>
          <w:t>3.2.1.</w:t>
        </w:r>
        <w:r>
          <w:rPr>
            <w:rStyle w:val="Hyperlink"/>
          </w:rPr>
          <w:t xml:space="preserve"> </w:t>
        </w:r>
        <w:r>
          <w:rPr>
            <w:rStyle w:val="Hyperlink"/>
          </w:rPr>
          <w:t>1. АНС</w:t>
        </w:r>
        <w:r>
          <w:tab/>
        </w:r>
        <w:r>
          <w:fldChar w:fldCharType="begin"/>
        </w:r>
        <w:r>
          <w:instrText xml:space="preserve"> PAGEREF _Toc256000013 \h </w:instrText>
        </w:r>
        <w:r>
          <w:fldChar w:fldCharType="separate"/>
        </w:r>
        <w:r>
          <w:t>42</w:t>
        </w:r>
        <w:r>
          <w:fldChar w:fldCharType="end"/>
        </w:r>
      </w:hyperlink>
    </w:p>
    <w:p>
      <w:pPr>
        <w:pStyle w:val="TOC3"/>
        <w:rPr>
          <w:rFonts w:asciiTheme="minorHAnsi" w:hAnsiTheme="minorHAnsi"/>
          <w:noProof/>
          <w:sz w:val="22"/>
        </w:rPr>
      </w:pPr>
      <w:hyperlink w:anchor="_Toc256000014" w:history="1">
        <w:r>
          <w:rPr>
            <w:rStyle w:val="Hyperlink"/>
          </w:rPr>
          <w:t>3.2.2.</w:t>
        </w:r>
        <w:r>
          <w:rPr>
            <w:rStyle w:val="Hyperlink"/>
          </w:rPr>
          <w:t xml:space="preserve"> </w:t>
        </w:r>
        <w:r>
          <w:rPr>
            <w:rStyle w:val="Hyperlink"/>
          </w:rPr>
          <w:t>2. АНС</w:t>
        </w:r>
        <w:r>
          <w:tab/>
        </w:r>
        <w:r>
          <w:fldChar w:fldCharType="begin"/>
        </w:r>
        <w:r>
          <w:instrText xml:space="preserve"> PAGEREF _Toc256000014 \h </w:instrText>
        </w:r>
        <w:r>
          <w:fldChar w:fldCharType="separate"/>
        </w:r>
        <w:r>
          <w:t>43</w:t>
        </w:r>
        <w:r>
          <w:fldChar w:fldCharType="end"/>
        </w:r>
      </w:hyperlink>
    </w:p>
    <w:p>
      <w:pPr>
        <w:pStyle w:val="TOC3"/>
        <w:rPr>
          <w:rFonts w:asciiTheme="minorHAnsi" w:hAnsiTheme="minorHAnsi"/>
          <w:noProof/>
          <w:sz w:val="22"/>
        </w:rPr>
      </w:pPr>
      <w:hyperlink w:anchor="_Toc256000015" w:history="1">
        <w:r>
          <w:rPr>
            <w:rStyle w:val="Hyperlink"/>
          </w:rPr>
          <w:t>3.2.3.</w:t>
        </w:r>
        <w:r>
          <w:rPr>
            <w:rStyle w:val="Hyperlink"/>
          </w:rPr>
          <w:t xml:space="preserve"> </w:t>
        </w:r>
        <w:r>
          <w:rPr>
            <w:rStyle w:val="Hyperlink"/>
          </w:rPr>
          <w:t>3.АНС</w:t>
        </w:r>
        <w:r>
          <w:tab/>
        </w:r>
        <w:r>
          <w:fldChar w:fldCharType="begin"/>
        </w:r>
        <w:r>
          <w:instrText xml:space="preserve"> PAGEREF _Toc256000015 \h </w:instrText>
        </w:r>
        <w:r>
          <w:fldChar w:fldCharType="separate"/>
        </w:r>
        <w:r>
          <w:t>43</w:t>
        </w:r>
        <w:r>
          <w:fldChar w:fldCharType="end"/>
        </w:r>
      </w:hyperlink>
    </w:p>
    <w:p>
      <w:pPr>
        <w:pStyle w:val="TOC3"/>
        <w:rPr>
          <w:rFonts w:asciiTheme="minorHAnsi" w:hAnsiTheme="minorHAnsi"/>
          <w:noProof/>
          <w:sz w:val="22"/>
        </w:rPr>
      </w:pPr>
      <w:hyperlink w:anchor="_Toc256000016" w:history="1">
        <w:r>
          <w:rPr>
            <w:rStyle w:val="Hyperlink"/>
          </w:rPr>
          <w:t>3.2.4.</w:t>
        </w:r>
        <w:r>
          <w:rPr>
            <w:rStyle w:val="Hyperlink"/>
          </w:rPr>
          <w:t xml:space="preserve"> </w:t>
        </w:r>
        <w:r>
          <w:rPr>
            <w:rStyle w:val="Hyperlink"/>
          </w:rPr>
          <w:t>4. АНС</w:t>
        </w:r>
        <w:r>
          <w:tab/>
        </w:r>
        <w:r>
          <w:fldChar w:fldCharType="begin"/>
        </w:r>
        <w:r>
          <w:instrText xml:space="preserve"> PAGEREF _Toc256000016 \h </w:instrText>
        </w:r>
        <w:r>
          <w:fldChar w:fldCharType="separate"/>
        </w:r>
        <w:r>
          <w:t>44</w:t>
        </w:r>
        <w:r>
          <w:fldChar w:fldCharType="end"/>
        </w:r>
      </w:hyperlink>
    </w:p>
    <w:p>
      <w:pPr>
        <w:pStyle w:val="TOC3"/>
        <w:rPr>
          <w:rFonts w:asciiTheme="minorHAnsi" w:hAnsiTheme="minorHAnsi"/>
          <w:noProof/>
          <w:sz w:val="22"/>
        </w:rPr>
      </w:pPr>
      <w:hyperlink w:anchor="_Toc256000017" w:history="1">
        <w:r>
          <w:rPr>
            <w:rStyle w:val="Hyperlink"/>
          </w:rPr>
          <w:t>3.2.5.</w:t>
        </w:r>
        <w:r>
          <w:rPr>
            <w:rStyle w:val="Hyperlink"/>
          </w:rPr>
          <w:t xml:space="preserve"> </w:t>
        </w:r>
        <w:r>
          <w:rPr>
            <w:rStyle w:val="Hyperlink"/>
          </w:rPr>
          <w:t>5. АНС</w:t>
        </w:r>
        <w:r>
          <w:tab/>
        </w:r>
        <w:r>
          <w:fldChar w:fldCharType="begin"/>
        </w:r>
        <w:r>
          <w:instrText xml:space="preserve"> PAGEREF _Toc256000017 \h </w:instrText>
        </w:r>
        <w:r>
          <w:fldChar w:fldCharType="separate"/>
        </w:r>
        <w:r>
          <w:t>44</w:t>
        </w:r>
        <w:r>
          <w:fldChar w:fldCharType="end"/>
        </w:r>
      </w:hyperlink>
    </w:p>
    <w:p>
      <w:pPr>
        <w:pStyle w:val="TOC3"/>
        <w:rPr>
          <w:rFonts w:asciiTheme="minorHAnsi" w:hAnsiTheme="minorHAnsi"/>
          <w:noProof/>
          <w:sz w:val="22"/>
        </w:rPr>
      </w:pPr>
      <w:hyperlink w:anchor="_Toc256000018" w:history="1">
        <w:r>
          <w:rPr>
            <w:rStyle w:val="Hyperlink"/>
          </w:rPr>
          <w:t>3.2.6.</w:t>
        </w:r>
        <w:r>
          <w:rPr>
            <w:rStyle w:val="Hyperlink"/>
          </w:rPr>
          <w:t xml:space="preserve"> </w:t>
        </w:r>
        <w:r>
          <w:rPr>
            <w:rStyle w:val="Hyperlink"/>
          </w:rPr>
          <w:t>6. АНС</w:t>
        </w:r>
        <w:r>
          <w:tab/>
        </w:r>
        <w:r>
          <w:fldChar w:fldCharType="begin"/>
        </w:r>
        <w:r>
          <w:instrText xml:space="preserve"> PAGEREF _Toc256000018 \h </w:instrText>
        </w:r>
        <w:r>
          <w:fldChar w:fldCharType="separate"/>
        </w:r>
        <w:r>
          <w:t>45</w:t>
        </w:r>
        <w:r>
          <w:fldChar w:fldCharType="end"/>
        </w:r>
      </w:hyperlink>
    </w:p>
    <w:p>
      <w:pPr>
        <w:pStyle w:val="TOC3"/>
        <w:rPr>
          <w:rFonts w:asciiTheme="minorHAnsi" w:hAnsiTheme="minorHAnsi"/>
          <w:noProof/>
          <w:sz w:val="22"/>
        </w:rPr>
      </w:pPr>
      <w:hyperlink w:anchor="_Toc256000019" w:history="1">
        <w:r>
          <w:rPr>
            <w:rStyle w:val="Hyperlink"/>
          </w:rPr>
          <w:t>3.2.7.</w:t>
        </w:r>
        <w:r>
          <w:rPr>
            <w:rStyle w:val="Hyperlink"/>
          </w:rPr>
          <w:t xml:space="preserve"> </w:t>
        </w:r>
        <w:r>
          <w:rPr>
            <w:rStyle w:val="Hyperlink"/>
          </w:rPr>
          <w:t>7. АНС</w:t>
        </w:r>
        <w:r>
          <w:tab/>
        </w:r>
        <w:r>
          <w:fldChar w:fldCharType="begin"/>
        </w:r>
        <w:r>
          <w:instrText xml:space="preserve"> PAGEREF _Toc256000019 \h </w:instrText>
        </w:r>
        <w:r>
          <w:fldChar w:fldCharType="separate"/>
        </w:r>
        <w:r>
          <w:t>45</w:t>
        </w:r>
        <w:r>
          <w:fldChar w:fldCharType="end"/>
        </w:r>
      </w:hyperlink>
    </w:p>
    <w:p>
      <w:pPr>
        <w:pStyle w:val="TOC3"/>
        <w:rPr>
          <w:rFonts w:asciiTheme="minorHAnsi" w:hAnsiTheme="minorHAnsi"/>
          <w:noProof/>
          <w:sz w:val="22"/>
        </w:rPr>
      </w:pPr>
      <w:hyperlink w:anchor="_Toc256000020" w:history="1">
        <w:r>
          <w:rPr>
            <w:rStyle w:val="Hyperlink"/>
          </w:rPr>
          <w:t>3.2.8.</w:t>
        </w:r>
        <w:r>
          <w:rPr>
            <w:rStyle w:val="Hyperlink"/>
          </w:rPr>
          <w:t xml:space="preserve"> </w:t>
        </w:r>
        <w:r>
          <w:rPr>
            <w:rStyle w:val="Hyperlink"/>
          </w:rPr>
          <w:t>8. АНС</w:t>
        </w:r>
        <w:r>
          <w:tab/>
        </w:r>
        <w:r>
          <w:fldChar w:fldCharType="begin"/>
        </w:r>
        <w:r>
          <w:instrText xml:space="preserve"> PAGEREF _Toc256000020 \h </w:instrText>
        </w:r>
        <w:r>
          <w:fldChar w:fldCharType="separate"/>
        </w:r>
        <w:r>
          <w:t>46</w:t>
        </w:r>
        <w:r>
          <w:fldChar w:fldCharType="end"/>
        </w:r>
      </w:hyperlink>
    </w:p>
    <w:p>
      <w:pPr>
        <w:pStyle w:val="TOC3"/>
        <w:rPr>
          <w:rFonts w:asciiTheme="minorHAnsi" w:hAnsiTheme="minorHAnsi"/>
          <w:noProof/>
          <w:sz w:val="22"/>
        </w:rPr>
      </w:pPr>
      <w:hyperlink w:anchor="_Toc256000021" w:history="1">
        <w:r>
          <w:rPr>
            <w:rStyle w:val="Hyperlink"/>
          </w:rPr>
          <w:t>3.2.9.</w:t>
        </w:r>
        <w:r>
          <w:rPr>
            <w:rStyle w:val="Hyperlink"/>
          </w:rPr>
          <w:t xml:space="preserve"> </w:t>
        </w:r>
        <w:r>
          <w:rPr>
            <w:rStyle w:val="Hyperlink"/>
          </w:rPr>
          <w:t>9. АНС</w:t>
        </w:r>
        <w:r>
          <w:tab/>
        </w:r>
        <w:r>
          <w:fldChar w:fldCharType="begin"/>
        </w:r>
        <w:r>
          <w:instrText xml:space="preserve"> PAGEREF _Toc256000021 \h </w:instrText>
        </w:r>
        <w:r>
          <w:fldChar w:fldCharType="separate"/>
        </w:r>
        <w:r>
          <w:t>46</w:t>
        </w:r>
        <w:r>
          <w:fldChar w:fldCharType="end"/>
        </w:r>
      </w:hyperlink>
    </w:p>
    <w:p>
      <w:pPr>
        <w:pStyle w:val="TOC3"/>
        <w:rPr>
          <w:rFonts w:asciiTheme="minorHAnsi" w:hAnsiTheme="minorHAnsi"/>
          <w:noProof/>
          <w:sz w:val="22"/>
        </w:rPr>
      </w:pPr>
      <w:hyperlink w:anchor="_Toc256000022" w:history="1">
        <w:r>
          <w:rPr>
            <w:rStyle w:val="Hyperlink"/>
          </w:rPr>
          <w:t>3.2.10.</w:t>
        </w:r>
        <w:r>
          <w:rPr>
            <w:rStyle w:val="Hyperlink"/>
          </w:rPr>
          <w:t xml:space="preserve"> </w:t>
        </w:r>
        <w:r>
          <w:rPr>
            <w:rStyle w:val="Hyperlink"/>
          </w:rPr>
          <w:t>А. SWOT Aнализ</w:t>
        </w:r>
        <w:r>
          <w:tab/>
        </w:r>
        <w:r>
          <w:fldChar w:fldCharType="begin"/>
        </w:r>
        <w:r>
          <w:instrText xml:space="preserve"> PAGEREF _Toc256000022 \h </w:instrText>
        </w:r>
        <w:r>
          <w:fldChar w:fldCharType="separate"/>
        </w:r>
        <w:r>
          <w:t>47</w:t>
        </w:r>
        <w:r>
          <w:fldChar w:fldCharType="end"/>
        </w:r>
      </w:hyperlink>
    </w:p>
    <w:p>
      <w:pPr>
        <w:pStyle w:val="TOC3"/>
        <w:rPr>
          <w:rFonts w:asciiTheme="minorHAnsi" w:hAnsiTheme="minorHAnsi"/>
          <w:noProof/>
          <w:sz w:val="22"/>
        </w:rPr>
      </w:pPr>
      <w:hyperlink w:anchor="_Toc256000023" w:history="1">
        <w:r>
          <w:rPr>
            <w:rStyle w:val="Hyperlink"/>
          </w:rPr>
          <w:t>3.2.11.</w:t>
        </w:r>
        <w:r>
          <w:rPr>
            <w:rStyle w:val="Hyperlink"/>
          </w:rPr>
          <w:t xml:space="preserve"> </w:t>
        </w:r>
        <w:r>
          <w:rPr>
            <w:rStyle w:val="Hyperlink"/>
          </w:rPr>
          <w:t>Б. Потребности</w:t>
        </w:r>
        <w:r>
          <w:tab/>
        </w:r>
        <w:r>
          <w:fldChar w:fldCharType="begin"/>
        </w:r>
        <w:r>
          <w:instrText xml:space="preserve"> PAGEREF _Toc256000023 \h </w:instrText>
        </w:r>
        <w:r>
          <w:fldChar w:fldCharType="separate"/>
        </w:r>
        <w:r>
          <w:t>47</w:t>
        </w:r>
        <w:r>
          <w:fldChar w:fldCharType="end"/>
        </w:r>
      </w:hyperlink>
    </w:p>
    <w:p>
      <w:pPr>
        <w:pStyle w:val="TOC3"/>
        <w:rPr>
          <w:rFonts w:asciiTheme="minorHAnsi" w:hAnsiTheme="minorHAnsi"/>
          <w:noProof/>
          <w:sz w:val="22"/>
        </w:rPr>
      </w:pPr>
      <w:hyperlink w:anchor="_Toc256000024" w:history="1">
        <w:r>
          <w:rPr>
            <w:rStyle w:val="Hyperlink"/>
          </w:rPr>
          <w:t>3.2.12.</w:t>
        </w:r>
        <w:r>
          <w:rPr>
            <w:rStyle w:val="Hyperlink"/>
          </w:rPr>
          <w:t xml:space="preserve"> </w:t>
        </w:r>
        <w:r>
          <w:rPr>
            <w:rStyle w:val="Hyperlink"/>
          </w:rPr>
          <w:t>В. Стратегия 1</w:t>
        </w:r>
        <w:r>
          <w:tab/>
        </w:r>
        <w:r>
          <w:fldChar w:fldCharType="begin"/>
        </w:r>
        <w:r>
          <w:instrText xml:space="preserve"> PAGEREF _Toc256000024 \h </w:instrText>
        </w:r>
        <w:r>
          <w:fldChar w:fldCharType="separate"/>
        </w:r>
        <w:r>
          <w:t>48</w:t>
        </w:r>
        <w:r>
          <w:fldChar w:fldCharType="end"/>
        </w:r>
      </w:hyperlink>
    </w:p>
    <w:p>
      <w:pPr>
        <w:pStyle w:val="TOC3"/>
        <w:rPr>
          <w:rFonts w:asciiTheme="minorHAnsi" w:hAnsiTheme="minorHAnsi"/>
          <w:noProof/>
          <w:sz w:val="22"/>
        </w:rPr>
      </w:pPr>
      <w:hyperlink w:anchor="_Toc256000025" w:history="1">
        <w:r>
          <w:rPr>
            <w:rStyle w:val="Hyperlink"/>
          </w:rPr>
          <w:t>3.2.13.</w:t>
        </w:r>
        <w:r>
          <w:rPr>
            <w:rStyle w:val="Hyperlink"/>
          </w:rPr>
          <w:t xml:space="preserve"> </w:t>
        </w:r>
        <w:r>
          <w:rPr>
            <w:rStyle w:val="Hyperlink"/>
          </w:rPr>
          <w:t>Г. Стратегия 2</w:t>
        </w:r>
        <w:r>
          <w:tab/>
        </w:r>
        <w:r>
          <w:fldChar w:fldCharType="begin"/>
        </w:r>
        <w:r>
          <w:instrText xml:space="preserve"> PAGEREF _Toc256000025 \h </w:instrText>
        </w:r>
        <w:r>
          <w:fldChar w:fldCharType="separate"/>
        </w:r>
        <w:r>
          <w:t>48</w:t>
        </w:r>
        <w:r>
          <w:fldChar w:fldCharType="end"/>
        </w:r>
      </w:hyperlink>
    </w:p>
    <w:p>
      <w:pPr>
        <w:pStyle w:val="TOC3"/>
        <w:rPr>
          <w:rFonts w:asciiTheme="minorHAnsi" w:hAnsiTheme="minorHAnsi"/>
          <w:noProof/>
          <w:sz w:val="22"/>
        </w:rPr>
      </w:pPr>
      <w:hyperlink w:anchor="_Toc256000026" w:history="1">
        <w:r>
          <w:rPr>
            <w:rStyle w:val="Hyperlink"/>
          </w:rPr>
          <w:t>3.2.14.</w:t>
        </w:r>
        <w:r>
          <w:rPr>
            <w:rStyle w:val="Hyperlink"/>
          </w:rPr>
          <w:t xml:space="preserve"> </w:t>
        </w:r>
        <w:r>
          <w:rPr>
            <w:rStyle w:val="Hyperlink"/>
          </w:rPr>
          <w:t>Д. Стратегия 3</w:t>
        </w:r>
        <w:r>
          <w:tab/>
        </w:r>
        <w:r>
          <w:fldChar w:fldCharType="begin"/>
        </w:r>
        <w:r>
          <w:instrText xml:space="preserve"> PAGEREF _Toc256000026 \h </w:instrText>
        </w:r>
        <w:r>
          <w:fldChar w:fldCharType="separate"/>
        </w:r>
        <w:r>
          <w:t>49</w:t>
        </w:r>
        <w:r>
          <w:fldChar w:fldCharType="end"/>
        </w:r>
      </w:hyperlink>
    </w:p>
    <w:p>
      <w:pPr>
        <w:pStyle w:val="TOC3"/>
        <w:rPr>
          <w:rFonts w:asciiTheme="minorHAnsi" w:hAnsiTheme="minorHAnsi"/>
          <w:noProof/>
          <w:sz w:val="22"/>
        </w:rPr>
      </w:pPr>
      <w:hyperlink w:anchor="_Toc256000027" w:history="1">
        <w:r>
          <w:rPr>
            <w:rStyle w:val="Hyperlink"/>
          </w:rPr>
          <w:t>3.2.15.</w:t>
        </w:r>
        <w:r>
          <w:rPr>
            <w:rStyle w:val="Hyperlink"/>
          </w:rPr>
          <w:t xml:space="preserve"> </w:t>
        </w:r>
        <w:r>
          <w:rPr>
            <w:rStyle w:val="Hyperlink"/>
          </w:rPr>
          <w:t>Е. Специфични цели</w:t>
        </w:r>
        <w:r>
          <w:tab/>
        </w:r>
        <w:r>
          <w:fldChar w:fldCharType="begin"/>
        </w:r>
        <w:r>
          <w:instrText xml:space="preserve"> PAGEREF _Toc256000027 \h </w:instrText>
        </w:r>
        <w:r>
          <w:fldChar w:fldCharType="separate"/>
        </w:r>
        <w:r>
          <w:t>49</w:t>
        </w:r>
        <w:r>
          <w:fldChar w:fldCharType="end"/>
        </w:r>
      </w:hyperlink>
    </w:p>
    <w:p>
      <w:pPr>
        <w:pStyle w:val="TOC3"/>
        <w:rPr>
          <w:rFonts w:asciiTheme="minorHAnsi" w:hAnsiTheme="minorHAnsi"/>
          <w:noProof/>
          <w:sz w:val="22"/>
        </w:rPr>
      </w:pPr>
      <w:hyperlink w:anchor="_Toc256000028" w:history="1">
        <w:r>
          <w:rPr>
            <w:rStyle w:val="Hyperlink"/>
          </w:rPr>
          <w:t>3.2.16.</w:t>
        </w:r>
        <w:r>
          <w:rPr>
            <w:rStyle w:val="Hyperlink"/>
          </w:rPr>
          <w:t xml:space="preserve"> </w:t>
        </w:r>
        <w:r>
          <w:rPr>
            <w:rStyle w:val="Hyperlink"/>
          </w:rPr>
          <w:t>Ж. Финансови средства 1</w:t>
        </w:r>
        <w:r>
          <w:tab/>
        </w:r>
        <w:r>
          <w:fldChar w:fldCharType="begin"/>
        </w:r>
        <w:r>
          <w:instrText xml:space="preserve"> PAGEREF _Toc256000028 \h </w:instrText>
        </w:r>
        <w:r>
          <w:fldChar w:fldCharType="separate"/>
        </w:r>
        <w:r>
          <w:t>50</w:t>
        </w:r>
        <w:r>
          <w:fldChar w:fldCharType="end"/>
        </w:r>
      </w:hyperlink>
    </w:p>
    <w:p>
      <w:pPr>
        <w:pStyle w:val="TOC3"/>
        <w:rPr>
          <w:rFonts w:asciiTheme="minorHAnsi" w:hAnsiTheme="minorHAnsi"/>
          <w:noProof/>
          <w:sz w:val="22"/>
        </w:rPr>
      </w:pPr>
      <w:hyperlink w:anchor="_Toc256000029" w:history="1">
        <w:r>
          <w:rPr>
            <w:rStyle w:val="Hyperlink"/>
          </w:rPr>
          <w:t>3.2.17.</w:t>
        </w:r>
        <w:r>
          <w:rPr>
            <w:rStyle w:val="Hyperlink"/>
          </w:rPr>
          <w:t xml:space="preserve"> </w:t>
        </w:r>
        <w:r>
          <w:rPr>
            <w:rStyle w:val="Hyperlink"/>
          </w:rPr>
          <w:t>З. Финансови средства 2</w:t>
        </w:r>
        <w:r>
          <w:tab/>
        </w:r>
        <w:r>
          <w:fldChar w:fldCharType="begin"/>
        </w:r>
        <w:r>
          <w:instrText xml:space="preserve"> PAGEREF _Toc256000029 \h </w:instrText>
        </w:r>
        <w:r>
          <w:fldChar w:fldCharType="separate"/>
        </w:r>
        <w:r>
          <w:t>50</w:t>
        </w:r>
        <w:r>
          <w:fldChar w:fldCharType="end"/>
        </w:r>
      </w:hyperlink>
    </w:p>
    <w:p>
      <w:pPr>
        <w:pStyle w:val="TOC3"/>
        <w:rPr>
          <w:rFonts w:asciiTheme="minorHAnsi" w:hAnsiTheme="minorHAnsi"/>
          <w:noProof/>
          <w:sz w:val="22"/>
        </w:rPr>
      </w:pPr>
      <w:hyperlink w:anchor="_Toc256000030" w:history="1">
        <w:r>
          <w:rPr>
            <w:rStyle w:val="Hyperlink"/>
          </w:rPr>
          <w:t>3.2.18.</w:t>
        </w:r>
        <w:r>
          <w:rPr>
            <w:rStyle w:val="Hyperlink"/>
          </w:rPr>
          <w:t xml:space="preserve"> </w:t>
        </w:r>
        <w:r>
          <w:rPr>
            <w:rStyle w:val="Hyperlink"/>
          </w:rPr>
          <w:t>И. Финансови средства 3</w:t>
        </w:r>
        <w:r>
          <w:tab/>
        </w:r>
        <w:r>
          <w:fldChar w:fldCharType="begin"/>
        </w:r>
        <w:r>
          <w:instrText xml:space="preserve"> PAGEREF _Toc256000030 \h </w:instrText>
        </w:r>
        <w:r>
          <w:fldChar w:fldCharType="separate"/>
        </w:r>
        <w:r>
          <w:t>51</w:t>
        </w:r>
        <w:r>
          <w:fldChar w:fldCharType="end"/>
        </w:r>
      </w:hyperlink>
    </w:p>
    <w:p>
      <w:pPr>
        <w:pStyle w:val="TOC3"/>
        <w:rPr>
          <w:rFonts w:asciiTheme="minorHAnsi" w:hAnsiTheme="minorHAnsi"/>
          <w:noProof/>
          <w:sz w:val="22"/>
        </w:rPr>
      </w:pPr>
      <w:hyperlink w:anchor="_Toc256000031" w:history="1">
        <w:r>
          <w:rPr>
            <w:rStyle w:val="Hyperlink"/>
          </w:rPr>
          <w:t>3.2.19.</w:t>
        </w:r>
        <w:r>
          <w:rPr>
            <w:rStyle w:val="Hyperlink"/>
          </w:rPr>
          <w:t xml:space="preserve"> </w:t>
        </w:r>
        <w:r>
          <w:rPr>
            <w:rStyle w:val="Hyperlink"/>
          </w:rPr>
          <w:t>Й. Административни ресурси</w:t>
        </w:r>
        <w:r>
          <w:tab/>
        </w:r>
        <w:r>
          <w:fldChar w:fldCharType="begin"/>
        </w:r>
        <w:r>
          <w:instrText xml:space="preserve"> PAGEREF _Toc256000031 \h </w:instrText>
        </w:r>
        <w:r>
          <w:fldChar w:fldCharType="separate"/>
        </w:r>
        <w:r>
          <w:t>51</w:t>
        </w:r>
        <w:r>
          <w:fldChar w:fldCharType="end"/>
        </w:r>
      </w:hyperlink>
    </w:p>
    <w:p>
      <w:pPr>
        <w:pStyle w:val="TOC3"/>
        <w:rPr>
          <w:rFonts w:asciiTheme="minorHAnsi" w:hAnsiTheme="minorHAnsi"/>
          <w:noProof/>
          <w:sz w:val="22"/>
        </w:rPr>
      </w:pPr>
      <w:hyperlink w:anchor="_Toc256000032" w:history="1">
        <w:r>
          <w:rPr>
            <w:rStyle w:val="Hyperlink"/>
          </w:rPr>
          <w:t>3.2.20.</w:t>
        </w:r>
        <w:r>
          <w:rPr>
            <w:rStyle w:val="Hyperlink"/>
          </w:rPr>
          <w:t xml:space="preserve"> </w:t>
        </w:r>
        <w:r>
          <w:rPr>
            <w:rStyle w:val="Hyperlink"/>
          </w:rPr>
          <w:t>К. Обучение на персонала</w:t>
        </w:r>
        <w:r>
          <w:tab/>
        </w:r>
        <w:r>
          <w:fldChar w:fldCharType="begin"/>
        </w:r>
        <w:r>
          <w:instrText xml:space="preserve"> PAGEREF _Toc256000032 \h </w:instrText>
        </w:r>
        <w:r>
          <w:fldChar w:fldCharType="separate"/>
        </w:r>
        <w:r>
          <w:t>52</w:t>
        </w:r>
        <w:r>
          <w:fldChar w:fldCharType="end"/>
        </w:r>
      </w:hyperlink>
    </w:p>
    <w:p>
      <w:pPr>
        <w:pStyle w:val="TOC3"/>
        <w:rPr>
          <w:rFonts w:asciiTheme="minorHAnsi" w:hAnsiTheme="minorHAnsi"/>
          <w:noProof/>
          <w:sz w:val="22"/>
        </w:rPr>
      </w:pPr>
      <w:hyperlink w:anchor="_Toc256000033" w:history="1">
        <w:r>
          <w:rPr>
            <w:rStyle w:val="Hyperlink"/>
          </w:rPr>
          <w:t>3.2.21.</w:t>
        </w:r>
        <w:r>
          <w:rPr>
            <w:rStyle w:val="Hyperlink"/>
          </w:rPr>
          <w:t xml:space="preserve"> </w:t>
        </w:r>
        <w:r>
          <w:rPr>
            <w:rStyle w:val="Hyperlink"/>
          </w:rPr>
          <w:t>Л. Тематична подпрограма за малки стопанства</w:t>
        </w:r>
        <w:r>
          <w:tab/>
        </w:r>
        <w:r>
          <w:fldChar w:fldCharType="begin"/>
        </w:r>
        <w:r>
          <w:instrText xml:space="preserve"> PAGEREF _Toc256000033 \h </w:instrText>
        </w:r>
        <w:r>
          <w:fldChar w:fldCharType="separate"/>
        </w:r>
        <w:r>
          <w:t>52</w:t>
        </w:r>
        <w:r>
          <w:fldChar w:fldCharType="end"/>
        </w:r>
      </w:hyperlink>
    </w:p>
    <w:p>
      <w:pPr>
        <w:pStyle w:val="TOC3"/>
        <w:rPr>
          <w:rFonts w:asciiTheme="minorHAnsi" w:hAnsiTheme="minorHAnsi"/>
          <w:noProof/>
          <w:sz w:val="22"/>
        </w:rPr>
      </w:pPr>
      <w:hyperlink w:anchor="_Toc256000034" w:history="1">
        <w:r>
          <w:rPr>
            <w:rStyle w:val="Hyperlink"/>
          </w:rPr>
          <w:t>3.2.22.</w:t>
        </w:r>
        <w:r>
          <w:rPr>
            <w:rStyle w:val="Hyperlink"/>
          </w:rPr>
          <w:t xml:space="preserve"> </w:t>
        </w:r>
        <w:r>
          <w:rPr>
            <w:rStyle w:val="Hyperlink"/>
          </w:rPr>
          <w:t>М. План за оценка</w:t>
        </w:r>
        <w:r>
          <w:tab/>
        </w:r>
        <w:r>
          <w:fldChar w:fldCharType="begin"/>
        </w:r>
        <w:r>
          <w:instrText xml:space="preserve"> PAGEREF _Toc256000034 \h </w:instrText>
        </w:r>
        <w:r>
          <w:fldChar w:fldCharType="separate"/>
        </w:r>
        <w:r>
          <w:t>53</w:t>
        </w:r>
        <w:r>
          <w:fldChar w:fldCharType="end"/>
        </w:r>
      </w:hyperlink>
    </w:p>
    <w:p>
      <w:pPr>
        <w:pStyle w:val="TOC3"/>
        <w:rPr>
          <w:rFonts w:asciiTheme="minorHAnsi" w:hAnsiTheme="minorHAnsi"/>
          <w:noProof/>
          <w:sz w:val="22"/>
        </w:rPr>
      </w:pPr>
      <w:hyperlink w:anchor="_Toc256000035" w:history="1">
        <w:r>
          <w:rPr>
            <w:rStyle w:val="Hyperlink"/>
          </w:rPr>
          <w:t>3.2.23.</w:t>
        </w:r>
        <w:r>
          <w:rPr>
            <w:rStyle w:val="Hyperlink"/>
          </w:rPr>
          <w:t xml:space="preserve"> </w:t>
        </w:r>
        <w:r>
          <w:rPr>
            <w:rStyle w:val="Hyperlink"/>
          </w:rPr>
          <w:t>Н. Комуникация</w:t>
        </w:r>
        <w:r>
          <w:tab/>
        </w:r>
        <w:r>
          <w:fldChar w:fldCharType="begin"/>
        </w:r>
        <w:r>
          <w:instrText xml:space="preserve"> PAGEREF _Toc256000035 \h </w:instrText>
        </w:r>
        <w:r>
          <w:fldChar w:fldCharType="separate"/>
        </w:r>
        <w:r>
          <w:t>53</w:t>
        </w:r>
        <w:r>
          <w:fldChar w:fldCharType="end"/>
        </w:r>
      </w:hyperlink>
    </w:p>
    <w:p>
      <w:pPr>
        <w:pStyle w:val="TOC3"/>
        <w:rPr>
          <w:rFonts w:asciiTheme="minorHAnsi" w:hAnsiTheme="minorHAnsi"/>
          <w:noProof/>
          <w:sz w:val="22"/>
        </w:rPr>
      </w:pPr>
      <w:hyperlink w:anchor="_Toc256000036" w:history="1">
        <w:r>
          <w:rPr>
            <w:rStyle w:val="Hyperlink"/>
          </w:rPr>
          <w:t>3.2.24.</w:t>
        </w:r>
        <w:r>
          <w:rPr>
            <w:rStyle w:val="Hyperlink"/>
          </w:rPr>
          <w:t xml:space="preserve"> </w:t>
        </w:r>
        <w:r>
          <w:rPr>
            <w:rStyle w:val="Hyperlink"/>
          </w:rPr>
          <w:t>О. Участие на заинтересованите страни</w:t>
        </w:r>
        <w:r>
          <w:tab/>
        </w:r>
        <w:r>
          <w:fldChar w:fldCharType="begin"/>
        </w:r>
        <w:r>
          <w:instrText xml:space="preserve"> PAGEREF _Toc256000036 \h </w:instrText>
        </w:r>
        <w:r>
          <w:fldChar w:fldCharType="separate"/>
        </w:r>
        <w:r>
          <w:t>54</w:t>
        </w:r>
        <w:r>
          <w:fldChar w:fldCharType="end"/>
        </w:r>
      </w:hyperlink>
    </w:p>
    <w:p>
      <w:pPr>
        <w:pStyle w:val="TOC2"/>
        <w:rPr>
          <w:rFonts w:asciiTheme="minorHAnsi" w:hAnsiTheme="minorHAnsi"/>
          <w:noProof/>
          <w:sz w:val="22"/>
        </w:rPr>
      </w:pPr>
      <w:hyperlink w:anchor="_Toc256000037" w:history="1">
        <w:r>
          <w:rPr>
            <w:rStyle w:val="Hyperlink"/>
          </w:rPr>
          <w:t>3.3.</w:t>
        </w:r>
        <w:r>
          <w:rPr>
            <w:rStyle w:val="Hyperlink"/>
          </w:rPr>
          <w:t xml:space="preserve"> </w:t>
        </w:r>
        <w:r>
          <w:rPr>
            <w:rStyle w:val="Hyperlink"/>
          </w:rPr>
          <w:t>Доклад от предварителната оценка</w:t>
        </w:r>
        <w:r>
          <w:tab/>
        </w:r>
        <w:r>
          <w:fldChar w:fldCharType="begin"/>
        </w:r>
        <w:r>
          <w:instrText xml:space="preserve"> PAGEREF _Toc256000037 \h </w:instrText>
        </w:r>
        <w:r>
          <w:fldChar w:fldCharType="separate"/>
        </w:r>
        <w:r>
          <w:t>54</w:t>
        </w:r>
        <w:r>
          <w:fldChar w:fldCharType="end"/>
        </w:r>
      </w:hyperlink>
    </w:p>
    <w:p>
      <w:pPr>
        <w:pStyle w:val="TOC1"/>
        <w:rPr>
          <w:rFonts w:asciiTheme="minorHAnsi" w:hAnsiTheme="minorHAnsi"/>
          <w:noProof/>
          <w:sz w:val="22"/>
        </w:rPr>
      </w:pPr>
      <w:hyperlink w:anchor="_Toc256000038" w:history="1">
        <w:r>
          <w:rPr>
            <w:rStyle w:val="Hyperlink"/>
          </w:rPr>
          <w:t>4.</w:t>
        </w:r>
        <w:r>
          <w:rPr>
            <w:rStyle w:val="Hyperlink"/>
          </w:rPr>
          <w:t xml:space="preserve"> </w:t>
        </w:r>
        <w:r>
          <w:rPr>
            <w:rStyle w:val="Hyperlink"/>
          </w:rPr>
          <w:t>SWOT и установяване на потребностите</w:t>
        </w:r>
        <w:r>
          <w:tab/>
        </w:r>
        <w:r>
          <w:fldChar w:fldCharType="begin"/>
        </w:r>
        <w:r>
          <w:instrText xml:space="preserve"> PAGEREF _Toc256000038 \h </w:instrText>
        </w:r>
        <w:r>
          <w:fldChar w:fldCharType="separate"/>
        </w:r>
        <w:r>
          <w:t>55</w:t>
        </w:r>
        <w:r>
          <w:fldChar w:fldCharType="end"/>
        </w:r>
      </w:hyperlink>
    </w:p>
    <w:p>
      <w:pPr>
        <w:pStyle w:val="TOC2"/>
        <w:rPr>
          <w:rFonts w:asciiTheme="minorHAnsi" w:hAnsiTheme="minorHAnsi"/>
          <w:noProof/>
          <w:sz w:val="22"/>
        </w:rPr>
      </w:pPr>
      <w:hyperlink w:anchor="_Toc256000039" w:history="1">
        <w:r>
          <w:rPr>
            <w:rStyle w:val="Hyperlink"/>
          </w:rPr>
          <w:t>4.1.</w:t>
        </w:r>
        <w:r>
          <w:rPr>
            <w:rStyle w:val="Hyperlink"/>
          </w:rPr>
          <w:t xml:space="preserve"> </w:t>
        </w:r>
        <w:r>
          <w:rPr>
            <w:rStyle w:val="Hyperlink"/>
          </w:rPr>
          <w:t>SWOT</w:t>
        </w:r>
        <w:r>
          <w:tab/>
        </w:r>
        <w:r>
          <w:fldChar w:fldCharType="begin"/>
        </w:r>
        <w:r>
          <w:instrText xml:space="preserve"> PAGEREF _Toc256000039 \h </w:instrText>
        </w:r>
        <w:r>
          <w:fldChar w:fldCharType="separate"/>
        </w:r>
        <w:r>
          <w:t>55</w:t>
        </w:r>
        <w:r>
          <w:fldChar w:fldCharType="end"/>
        </w:r>
      </w:hyperlink>
    </w:p>
    <w:p>
      <w:pPr>
        <w:pStyle w:val="TOC3"/>
        <w:rPr>
          <w:rFonts w:asciiTheme="minorHAnsi" w:hAnsiTheme="minorHAnsi"/>
          <w:noProof/>
          <w:sz w:val="22"/>
        </w:rPr>
      </w:pPr>
      <w:hyperlink w:anchor="_Toc256000040" w:history="1">
        <w:r>
          <w:rPr>
            <w:rStyle w:val="Hyperlink"/>
          </w:rPr>
          <w:t>4.1.1.</w:t>
        </w:r>
        <w:r>
          <w:rPr>
            <w:rStyle w:val="Hyperlink"/>
          </w:rPr>
          <w:t xml:space="preserve"> </w:t>
        </w:r>
        <w:r>
          <w:rPr>
            <w:rStyle w:val="Hyperlink"/>
          </w:rPr>
          <w:t>Изчерпателно описание на настоящото положение в програмния район въз основа на общите и специфичните за програмата показатели за контекста и друга качествена актуална информация</w:t>
        </w:r>
        <w:r>
          <w:tab/>
        </w:r>
        <w:r>
          <w:fldChar w:fldCharType="begin"/>
        </w:r>
        <w:r>
          <w:instrText xml:space="preserve"> PAGEREF _Toc256000040 \h </w:instrText>
        </w:r>
        <w:r>
          <w:fldChar w:fldCharType="separate"/>
        </w:r>
        <w:r>
          <w:t>55</w:t>
        </w:r>
        <w:r>
          <w:fldChar w:fldCharType="end"/>
        </w:r>
      </w:hyperlink>
    </w:p>
    <w:p>
      <w:pPr>
        <w:pStyle w:val="TOC3"/>
        <w:rPr>
          <w:rFonts w:asciiTheme="minorHAnsi" w:hAnsiTheme="minorHAnsi"/>
          <w:noProof/>
          <w:sz w:val="22"/>
        </w:rPr>
      </w:pPr>
      <w:hyperlink w:anchor="_Toc256000041" w:history="1">
        <w:r>
          <w:rPr>
            <w:rStyle w:val="Hyperlink"/>
          </w:rPr>
          <w:t>4.1.2.</w:t>
        </w:r>
        <w:r>
          <w:rPr>
            <w:rStyle w:val="Hyperlink"/>
          </w:rPr>
          <w:t xml:space="preserve"> </w:t>
        </w:r>
        <w:r>
          <w:rPr>
            <w:rStyle w:val="Hyperlink"/>
          </w:rPr>
          <w:t>Силни страни, установени в програмния район</w:t>
        </w:r>
        <w:r>
          <w:tab/>
        </w:r>
        <w:r>
          <w:fldChar w:fldCharType="begin"/>
        </w:r>
        <w:r>
          <w:instrText xml:space="preserve"> PAGEREF _Toc256000041 \h </w:instrText>
        </w:r>
        <w:r>
          <w:fldChar w:fldCharType="separate"/>
        </w:r>
        <w:r>
          <w:t>67</w:t>
        </w:r>
        <w:r>
          <w:fldChar w:fldCharType="end"/>
        </w:r>
      </w:hyperlink>
    </w:p>
    <w:p>
      <w:pPr>
        <w:pStyle w:val="TOC3"/>
        <w:rPr>
          <w:rFonts w:asciiTheme="minorHAnsi" w:hAnsiTheme="minorHAnsi"/>
          <w:noProof/>
          <w:sz w:val="22"/>
        </w:rPr>
      </w:pPr>
      <w:hyperlink w:anchor="_Toc256000042" w:history="1">
        <w:r>
          <w:rPr>
            <w:rStyle w:val="Hyperlink"/>
          </w:rPr>
          <w:t>4.1.3.</w:t>
        </w:r>
        <w:r>
          <w:rPr>
            <w:rStyle w:val="Hyperlink"/>
          </w:rPr>
          <w:t xml:space="preserve"> </w:t>
        </w:r>
        <w:r>
          <w:rPr>
            <w:rStyle w:val="Hyperlink"/>
          </w:rPr>
          <w:t>Слаби страни в програмния район</w:t>
        </w:r>
        <w:r>
          <w:tab/>
        </w:r>
        <w:r>
          <w:fldChar w:fldCharType="begin"/>
        </w:r>
        <w:r>
          <w:instrText xml:space="preserve"> PAGEREF _Toc256000042 \h </w:instrText>
        </w:r>
        <w:r>
          <w:fldChar w:fldCharType="separate"/>
        </w:r>
        <w:r>
          <w:t>69</w:t>
        </w:r>
        <w:r>
          <w:fldChar w:fldCharType="end"/>
        </w:r>
      </w:hyperlink>
    </w:p>
    <w:p>
      <w:pPr>
        <w:pStyle w:val="TOC3"/>
        <w:rPr>
          <w:rFonts w:asciiTheme="minorHAnsi" w:hAnsiTheme="minorHAnsi"/>
          <w:noProof/>
          <w:sz w:val="22"/>
        </w:rPr>
      </w:pPr>
      <w:hyperlink w:anchor="_Toc256000043" w:history="1">
        <w:r>
          <w:rPr>
            <w:rStyle w:val="Hyperlink"/>
          </w:rPr>
          <w:t>4.1.4.</w:t>
        </w:r>
        <w:r>
          <w:rPr>
            <w:rStyle w:val="Hyperlink"/>
          </w:rPr>
          <w:t xml:space="preserve"> </w:t>
        </w:r>
        <w:r>
          <w:rPr>
            <w:rStyle w:val="Hyperlink"/>
          </w:rPr>
          <w:t>Възможности, установени в програмния район</w:t>
        </w:r>
        <w:r>
          <w:tab/>
        </w:r>
        <w:r>
          <w:fldChar w:fldCharType="begin"/>
        </w:r>
        <w:r>
          <w:instrText xml:space="preserve"> PAGEREF _Toc256000043 \h </w:instrText>
        </w:r>
        <w:r>
          <w:fldChar w:fldCharType="separate"/>
        </w:r>
        <w:r>
          <w:t>71</w:t>
        </w:r>
        <w:r>
          <w:fldChar w:fldCharType="end"/>
        </w:r>
      </w:hyperlink>
    </w:p>
    <w:p>
      <w:pPr>
        <w:pStyle w:val="TOC3"/>
        <w:rPr>
          <w:rFonts w:asciiTheme="minorHAnsi" w:hAnsiTheme="minorHAnsi"/>
          <w:noProof/>
          <w:sz w:val="22"/>
        </w:rPr>
      </w:pPr>
      <w:hyperlink w:anchor="_Toc256000044" w:history="1">
        <w:r>
          <w:rPr>
            <w:rStyle w:val="Hyperlink"/>
          </w:rPr>
          <w:t>4.1.5.</w:t>
        </w:r>
        <w:r>
          <w:rPr>
            <w:rStyle w:val="Hyperlink"/>
          </w:rPr>
          <w:t xml:space="preserve"> </w:t>
        </w:r>
        <w:r>
          <w:rPr>
            <w:rStyle w:val="Hyperlink"/>
          </w:rPr>
          <w:t>Заплахи в програмния район</w:t>
        </w:r>
        <w:r>
          <w:tab/>
        </w:r>
        <w:r>
          <w:fldChar w:fldCharType="begin"/>
        </w:r>
        <w:r>
          <w:instrText xml:space="preserve"> PAGEREF _Toc256000044 \h </w:instrText>
        </w:r>
        <w:r>
          <w:fldChar w:fldCharType="separate"/>
        </w:r>
        <w:r>
          <w:t>72</w:t>
        </w:r>
        <w:r>
          <w:fldChar w:fldCharType="end"/>
        </w:r>
      </w:hyperlink>
    </w:p>
    <w:p>
      <w:pPr>
        <w:pStyle w:val="TOC3"/>
        <w:rPr>
          <w:rFonts w:asciiTheme="minorHAnsi" w:hAnsiTheme="minorHAnsi"/>
          <w:noProof/>
          <w:sz w:val="22"/>
        </w:rPr>
      </w:pPr>
      <w:hyperlink w:anchor="_Toc256000045" w:history="1">
        <w:r>
          <w:rPr>
            <w:rStyle w:val="Hyperlink"/>
          </w:rPr>
          <w:t>4.1.6.</w:t>
        </w:r>
        <w:r>
          <w:rPr>
            <w:rStyle w:val="Hyperlink"/>
          </w:rPr>
          <w:t xml:space="preserve"> </w:t>
        </w:r>
        <w:r>
          <w:rPr>
            <w:rStyle w:val="Hyperlink"/>
          </w:rPr>
          <w:t>Общи показатели за контекста</w:t>
        </w:r>
        <w:r>
          <w:tab/>
        </w:r>
        <w:r>
          <w:fldChar w:fldCharType="begin"/>
        </w:r>
        <w:r>
          <w:instrText xml:space="preserve"> PAGEREF _Toc256000045 \h </w:instrText>
        </w:r>
        <w:r>
          <w:fldChar w:fldCharType="separate"/>
        </w:r>
        <w:r>
          <w:t>74</w:t>
        </w:r>
        <w:r>
          <w:fldChar w:fldCharType="end"/>
        </w:r>
      </w:hyperlink>
    </w:p>
    <w:p>
      <w:pPr>
        <w:pStyle w:val="TOC3"/>
        <w:rPr>
          <w:rFonts w:asciiTheme="minorHAnsi" w:hAnsiTheme="minorHAnsi"/>
          <w:noProof/>
          <w:sz w:val="22"/>
        </w:rPr>
      </w:pPr>
      <w:hyperlink w:anchor="_Toc256000046" w:history="1">
        <w:r>
          <w:rPr>
            <w:rStyle w:val="Hyperlink"/>
          </w:rPr>
          <w:t>4.1.7.</w:t>
        </w:r>
        <w:r>
          <w:rPr>
            <w:rStyle w:val="Hyperlink"/>
          </w:rPr>
          <w:t xml:space="preserve"> </w:t>
        </w:r>
        <w:r>
          <w:rPr>
            <w:rStyle w:val="Hyperlink"/>
          </w:rPr>
          <w:t>Специфични за програмата показатели за контекста</w:t>
        </w:r>
        <w:r>
          <w:tab/>
        </w:r>
        <w:r>
          <w:fldChar w:fldCharType="begin"/>
        </w:r>
        <w:r>
          <w:instrText xml:space="preserve"> PAGEREF _Toc256000046 \h </w:instrText>
        </w:r>
        <w:r>
          <w:fldChar w:fldCharType="separate"/>
        </w:r>
        <w:r>
          <w:t>86</w:t>
        </w:r>
        <w:r>
          <w:fldChar w:fldCharType="end"/>
        </w:r>
      </w:hyperlink>
    </w:p>
    <w:p>
      <w:pPr>
        <w:pStyle w:val="TOC2"/>
        <w:rPr>
          <w:rFonts w:asciiTheme="minorHAnsi" w:hAnsiTheme="minorHAnsi"/>
          <w:noProof/>
          <w:sz w:val="22"/>
        </w:rPr>
      </w:pPr>
      <w:hyperlink w:anchor="_Toc256000047" w:history="1">
        <w:r>
          <w:rPr>
            <w:rStyle w:val="Hyperlink"/>
          </w:rPr>
          <w:t>4.2.</w:t>
        </w:r>
        <w:r>
          <w:rPr>
            <w:rStyle w:val="Hyperlink"/>
          </w:rPr>
          <w:t xml:space="preserve"> </w:t>
        </w:r>
        <w:r>
          <w:rPr>
            <w:rStyle w:val="Hyperlink"/>
          </w:rPr>
          <w:t>Оценка на потребностите</w:t>
        </w:r>
        <w:r>
          <w:tab/>
        </w:r>
        <w:r>
          <w:fldChar w:fldCharType="begin"/>
        </w:r>
        <w:r>
          <w:instrText xml:space="preserve"> PAGEREF _Toc256000047 \h </w:instrText>
        </w:r>
        <w:r>
          <w:fldChar w:fldCharType="separate"/>
        </w:r>
        <w:r>
          <w:t>87</w:t>
        </w:r>
        <w:r>
          <w:fldChar w:fldCharType="end"/>
        </w:r>
      </w:hyperlink>
    </w:p>
    <w:p>
      <w:pPr>
        <w:pStyle w:val="TOC3"/>
        <w:rPr>
          <w:rFonts w:asciiTheme="minorHAnsi" w:hAnsiTheme="minorHAnsi"/>
          <w:noProof/>
          <w:sz w:val="22"/>
        </w:rPr>
      </w:pPr>
      <w:hyperlink w:anchor="_Toc256000048" w:history="1">
        <w:r>
          <w:rPr>
            <w:rStyle w:val="Hyperlink"/>
          </w:rPr>
          <w:t>4.2.1.</w:t>
        </w:r>
        <w:r>
          <w:rPr>
            <w:rStyle w:val="Hyperlink"/>
          </w:rPr>
          <w:t xml:space="preserve"> </w:t>
        </w:r>
        <w:r>
          <w:rPr>
            <w:rStyle w:val="Hyperlink"/>
          </w:rPr>
          <w:t>1A-1: Повишаване на осведомеността</w:t>
        </w:r>
        <w:r>
          <w:tab/>
        </w:r>
        <w:r>
          <w:fldChar w:fldCharType="begin"/>
        </w:r>
        <w:r>
          <w:instrText xml:space="preserve"> PAGEREF _Toc256000048 \h </w:instrText>
        </w:r>
        <w:r>
          <w:fldChar w:fldCharType="separate"/>
        </w:r>
        <w:r>
          <w:t>103</w:t>
        </w:r>
        <w:r>
          <w:fldChar w:fldCharType="end"/>
        </w:r>
      </w:hyperlink>
    </w:p>
    <w:p>
      <w:pPr>
        <w:pStyle w:val="TOC3"/>
        <w:rPr>
          <w:rFonts w:asciiTheme="minorHAnsi" w:hAnsiTheme="minorHAnsi"/>
          <w:noProof/>
          <w:sz w:val="22"/>
        </w:rPr>
      </w:pPr>
      <w:hyperlink w:anchor="_Toc256000049" w:history="1">
        <w:r>
          <w:rPr>
            <w:rStyle w:val="Hyperlink"/>
          </w:rPr>
          <w:t>4.2.2.</w:t>
        </w:r>
        <w:r>
          <w:rPr>
            <w:rStyle w:val="Hyperlink"/>
          </w:rPr>
          <w:t xml:space="preserve"> </w:t>
        </w:r>
        <w:r>
          <w:rPr>
            <w:rStyle w:val="Hyperlink"/>
          </w:rPr>
          <w:t>1A-2: Повишаване на капацитета за предоставяне на съветнически услуги</w:t>
        </w:r>
        <w:r>
          <w:tab/>
        </w:r>
        <w:r>
          <w:fldChar w:fldCharType="begin"/>
        </w:r>
        <w:r>
          <w:instrText xml:space="preserve"> PAGEREF _Toc256000049 \h </w:instrText>
        </w:r>
        <w:r>
          <w:fldChar w:fldCharType="separate"/>
        </w:r>
        <w:r>
          <w:t>104</w:t>
        </w:r>
        <w:r>
          <w:fldChar w:fldCharType="end"/>
        </w:r>
      </w:hyperlink>
    </w:p>
    <w:p>
      <w:pPr>
        <w:pStyle w:val="TOC3"/>
        <w:rPr>
          <w:rFonts w:asciiTheme="minorHAnsi" w:hAnsiTheme="minorHAnsi"/>
          <w:noProof/>
          <w:sz w:val="22"/>
        </w:rPr>
      </w:pPr>
      <w:hyperlink w:anchor="_Toc256000050" w:history="1">
        <w:r>
          <w:rPr>
            <w:rStyle w:val="Hyperlink"/>
          </w:rPr>
          <w:t>4.2.3.</w:t>
        </w:r>
        <w:r>
          <w:rPr>
            <w:rStyle w:val="Hyperlink"/>
          </w:rPr>
          <w:t xml:space="preserve"> </w:t>
        </w:r>
        <w:r>
          <w:rPr>
            <w:rStyle w:val="Hyperlink"/>
          </w:rPr>
          <w:t>1Б-1: Подобряване на организацията за трансфер на знания и иновации</w:t>
        </w:r>
        <w:r>
          <w:tab/>
        </w:r>
        <w:r>
          <w:fldChar w:fldCharType="begin"/>
        </w:r>
        <w:r>
          <w:instrText xml:space="preserve"> PAGEREF _Toc256000050 \h </w:instrText>
        </w:r>
        <w:r>
          <w:fldChar w:fldCharType="separate"/>
        </w:r>
        <w:r>
          <w:t>105</w:t>
        </w:r>
        <w:r>
          <w:fldChar w:fldCharType="end"/>
        </w:r>
      </w:hyperlink>
    </w:p>
    <w:p>
      <w:pPr>
        <w:pStyle w:val="TOC3"/>
        <w:rPr>
          <w:rFonts w:asciiTheme="minorHAnsi" w:hAnsiTheme="minorHAnsi"/>
          <w:noProof/>
          <w:sz w:val="22"/>
        </w:rPr>
      </w:pPr>
      <w:hyperlink w:anchor="_Toc256000051" w:history="1">
        <w:r>
          <w:rPr>
            <w:rStyle w:val="Hyperlink"/>
          </w:rPr>
          <w:t>4.2.4.</w:t>
        </w:r>
        <w:r>
          <w:rPr>
            <w:rStyle w:val="Hyperlink"/>
          </w:rPr>
          <w:t xml:space="preserve"> </w:t>
        </w:r>
        <w:r>
          <w:rPr>
            <w:rStyle w:val="Hyperlink"/>
          </w:rPr>
          <w:t>1Б-2: Подобряване на капацитета на участниците в организацията за трансфер на знания и иновации</w:t>
        </w:r>
        <w:r>
          <w:tab/>
        </w:r>
        <w:r>
          <w:fldChar w:fldCharType="begin"/>
        </w:r>
        <w:r>
          <w:instrText xml:space="preserve"> PAGEREF _Toc256000051 \h </w:instrText>
        </w:r>
        <w:r>
          <w:fldChar w:fldCharType="separate"/>
        </w:r>
        <w:r>
          <w:t>107</w:t>
        </w:r>
        <w:r>
          <w:fldChar w:fldCharType="end"/>
        </w:r>
      </w:hyperlink>
    </w:p>
    <w:p>
      <w:pPr>
        <w:pStyle w:val="TOC3"/>
        <w:rPr>
          <w:rFonts w:asciiTheme="minorHAnsi" w:hAnsiTheme="minorHAnsi"/>
          <w:noProof/>
          <w:sz w:val="22"/>
        </w:rPr>
      </w:pPr>
      <w:hyperlink w:anchor="_Toc256000052" w:history="1">
        <w:r>
          <w:rPr>
            <w:rStyle w:val="Hyperlink"/>
          </w:rPr>
          <w:t>4.2.5.</w:t>
        </w:r>
        <w:r>
          <w:rPr>
            <w:rStyle w:val="Hyperlink"/>
          </w:rPr>
          <w:t xml:space="preserve"> </w:t>
        </w:r>
        <w:r>
          <w:rPr>
            <w:rStyle w:val="Hyperlink"/>
          </w:rPr>
          <w:t>1В-1: Повишаване квалификацията и управленските умения</w:t>
        </w:r>
        <w:r>
          <w:tab/>
        </w:r>
        <w:r>
          <w:fldChar w:fldCharType="begin"/>
        </w:r>
        <w:r>
          <w:instrText xml:space="preserve"> PAGEREF _Toc256000052 \h </w:instrText>
        </w:r>
        <w:r>
          <w:fldChar w:fldCharType="separate"/>
        </w:r>
        <w:r>
          <w:t>107</w:t>
        </w:r>
        <w:r>
          <w:fldChar w:fldCharType="end"/>
        </w:r>
      </w:hyperlink>
    </w:p>
    <w:p>
      <w:pPr>
        <w:pStyle w:val="TOC3"/>
        <w:rPr>
          <w:rFonts w:asciiTheme="minorHAnsi" w:hAnsiTheme="minorHAnsi"/>
          <w:noProof/>
          <w:sz w:val="22"/>
        </w:rPr>
      </w:pPr>
      <w:hyperlink w:anchor="_Toc256000053" w:history="1">
        <w:r>
          <w:rPr>
            <w:rStyle w:val="Hyperlink"/>
          </w:rPr>
          <w:t>4.2.6.</w:t>
        </w:r>
        <w:r>
          <w:rPr>
            <w:rStyle w:val="Hyperlink"/>
          </w:rPr>
          <w:t xml:space="preserve"> </w:t>
        </w:r>
        <w:r>
          <w:rPr>
            <w:rStyle w:val="Hyperlink"/>
          </w:rPr>
          <w:t>2А-1: Повишаване на конкурентоспособността на стопанства в секторите мляко, месо, плодове и зеленчуци и етерично-маслени и лекар</w:t>
        </w:r>
        <w:r>
          <w:tab/>
        </w:r>
        <w:r>
          <w:fldChar w:fldCharType="begin"/>
        </w:r>
        <w:r>
          <w:instrText xml:space="preserve"> PAGEREF _Toc256000053 \h </w:instrText>
        </w:r>
        <w:r>
          <w:fldChar w:fldCharType="separate"/>
        </w:r>
        <w:r>
          <w:t>109</w:t>
        </w:r>
        <w:r>
          <w:fldChar w:fldCharType="end"/>
        </w:r>
      </w:hyperlink>
    </w:p>
    <w:p>
      <w:pPr>
        <w:pStyle w:val="TOC3"/>
        <w:rPr>
          <w:rFonts w:asciiTheme="minorHAnsi" w:hAnsiTheme="minorHAnsi"/>
          <w:noProof/>
          <w:sz w:val="22"/>
        </w:rPr>
      </w:pPr>
      <w:hyperlink w:anchor="_Toc256000054" w:history="1">
        <w:r>
          <w:rPr>
            <w:rStyle w:val="Hyperlink"/>
          </w:rPr>
          <w:t>4.2.7.</w:t>
        </w:r>
        <w:r>
          <w:rPr>
            <w:rStyle w:val="Hyperlink"/>
          </w:rPr>
          <w:t xml:space="preserve"> </w:t>
        </w:r>
        <w:r>
          <w:rPr>
            <w:rStyle w:val="Hyperlink"/>
          </w:rPr>
          <w:t>2А-2: Повишаване на жизнеспособността и устойчивостта на малките земеделски стопанства</w:t>
        </w:r>
        <w:r>
          <w:tab/>
        </w:r>
        <w:r>
          <w:fldChar w:fldCharType="begin"/>
        </w:r>
        <w:r>
          <w:instrText xml:space="preserve"> PAGEREF _Toc256000054 \h </w:instrText>
        </w:r>
        <w:r>
          <w:fldChar w:fldCharType="separate"/>
        </w:r>
        <w:r>
          <w:t>110</w:t>
        </w:r>
        <w:r>
          <w:fldChar w:fldCharType="end"/>
        </w:r>
      </w:hyperlink>
    </w:p>
    <w:p>
      <w:pPr>
        <w:pStyle w:val="TOC3"/>
        <w:rPr>
          <w:rFonts w:asciiTheme="minorHAnsi" w:hAnsiTheme="minorHAnsi"/>
          <w:noProof/>
          <w:sz w:val="22"/>
        </w:rPr>
      </w:pPr>
      <w:hyperlink w:anchor="_Toc256000055" w:history="1">
        <w:r>
          <w:rPr>
            <w:rStyle w:val="Hyperlink"/>
          </w:rPr>
          <w:t>4.2.8.</w:t>
        </w:r>
        <w:r>
          <w:rPr>
            <w:rStyle w:val="Hyperlink"/>
          </w:rPr>
          <w:t xml:space="preserve"> </w:t>
        </w:r>
        <w:r>
          <w:rPr>
            <w:rStyle w:val="Hyperlink"/>
          </w:rPr>
          <w:t>2А-3: Подобряване на достъпа до външни финансови средства</w:t>
        </w:r>
        <w:r>
          <w:tab/>
        </w:r>
        <w:r>
          <w:fldChar w:fldCharType="begin"/>
        </w:r>
        <w:r>
          <w:instrText xml:space="preserve"> PAGEREF _Toc256000055 \h </w:instrText>
        </w:r>
        <w:r>
          <w:fldChar w:fldCharType="separate"/>
        </w:r>
        <w:r>
          <w:t>111</w:t>
        </w:r>
        <w:r>
          <w:fldChar w:fldCharType="end"/>
        </w:r>
      </w:hyperlink>
    </w:p>
    <w:p>
      <w:pPr>
        <w:pStyle w:val="TOC3"/>
        <w:rPr>
          <w:rFonts w:asciiTheme="minorHAnsi" w:hAnsiTheme="minorHAnsi"/>
          <w:noProof/>
          <w:sz w:val="22"/>
        </w:rPr>
      </w:pPr>
      <w:hyperlink w:anchor="_Toc256000056" w:history="1">
        <w:r>
          <w:rPr>
            <w:rStyle w:val="Hyperlink"/>
          </w:rPr>
          <w:t>4.2.9.</w:t>
        </w:r>
        <w:r>
          <w:rPr>
            <w:rStyle w:val="Hyperlink"/>
          </w:rPr>
          <w:t xml:space="preserve"> </w:t>
        </w:r>
        <w:r>
          <w:rPr>
            <w:rStyle w:val="Hyperlink"/>
          </w:rPr>
          <w:t>2А-4: Ускоряване на модернизацията и технологичното обновление на земеделските стопанства</w:t>
        </w:r>
        <w:r>
          <w:tab/>
        </w:r>
        <w:r>
          <w:fldChar w:fldCharType="begin"/>
        </w:r>
        <w:r>
          <w:instrText xml:space="preserve"> PAGEREF _Toc256000056 \h </w:instrText>
        </w:r>
        <w:r>
          <w:fldChar w:fldCharType="separate"/>
        </w:r>
        <w:r>
          <w:t>112</w:t>
        </w:r>
        <w:r>
          <w:fldChar w:fldCharType="end"/>
        </w:r>
      </w:hyperlink>
    </w:p>
    <w:p>
      <w:pPr>
        <w:pStyle w:val="TOC3"/>
        <w:rPr>
          <w:rFonts w:asciiTheme="minorHAnsi" w:hAnsiTheme="minorHAnsi"/>
          <w:noProof/>
          <w:sz w:val="22"/>
        </w:rPr>
      </w:pPr>
      <w:hyperlink w:anchor="_Toc256000057" w:history="1">
        <w:r>
          <w:rPr>
            <w:rStyle w:val="Hyperlink"/>
          </w:rPr>
          <w:t>4.2.10.</w:t>
        </w:r>
        <w:r>
          <w:rPr>
            <w:rStyle w:val="Hyperlink"/>
          </w:rPr>
          <w:t xml:space="preserve"> </w:t>
        </w:r>
        <w:r>
          <w:rPr>
            <w:rStyle w:val="Hyperlink"/>
          </w:rPr>
          <w:t>2А-5 Ускоряване на процеса на комасация на земята</w:t>
        </w:r>
        <w:r>
          <w:tab/>
        </w:r>
        <w:r>
          <w:fldChar w:fldCharType="begin"/>
        </w:r>
        <w:r>
          <w:instrText xml:space="preserve"> PAGEREF _Toc256000057 \h </w:instrText>
        </w:r>
        <w:r>
          <w:fldChar w:fldCharType="separate"/>
        </w:r>
        <w:r>
          <w:t>113</w:t>
        </w:r>
        <w:r>
          <w:fldChar w:fldCharType="end"/>
        </w:r>
      </w:hyperlink>
    </w:p>
    <w:p>
      <w:pPr>
        <w:pStyle w:val="TOC3"/>
        <w:rPr>
          <w:rFonts w:asciiTheme="minorHAnsi" w:hAnsiTheme="minorHAnsi"/>
          <w:noProof/>
          <w:sz w:val="22"/>
        </w:rPr>
      </w:pPr>
      <w:hyperlink w:anchor="_Toc256000058" w:history="1">
        <w:r>
          <w:rPr>
            <w:rStyle w:val="Hyperlink"/>
          </w:rPr>
          <w:t>4.2.11.</w:t>
        </w:r>
        <w:r>
          <w:rPr>
            <w:rStyle w:val="Hyperlink"/>
          </w:rPr>
          <w:t xml:space="preserve"> </w:t>
        </w:r>
        <w:r>
          <w:rPr>
            <w:rStyle w:val="Hyperlink"/>
          </w:rPr>
          <w:t>2Б-1 Увеличаване на броя и развитие на стопанствата на млади земеделски стопани с подходяща квалификация</w:t>
        </w:r>
        <w:r>
          <w:tab/>
        </w:r>
        <w:r>
          <w:fldChar w:fldCharType="begin"/>
        </w:r>
        <w:r>
          <w:instrText xml:space="preserve"> PAGEREF _Toc256000058 \h </w:instrText>
        </w:r>
        <w:r>
          <w:fldChar w:fldCharType="separate"/>
        </w:r>
        <w:r>
          <w:t>113</w:t>
        </w:r>
        <w:r>
          <w:fldChar w:fldCharType="end"/>
        </w:r>
      </w:hyperlink>
    </w:p>
    <w:p>
      <w:pPr>
        <w:pStyle w:val="TOC3"/>
        <w:rPr>
          <w:rFonts w:asciiTheme="minorHAnsi" w:hAnsiTheme="minorHAnsi"/>
          <w:noProof/>
          <w:sz w:val="22"/>
        </w:rPr>
      </w:pPr>
      <w:hyperlink w:anchor="_Toc256000059" w:history="1">
        <w:r>
          <w:rPr>
            <w:rStyle w:val="Hyperlink"/>
          </w:rPr>
          <w:t>4.2.12.</w:t>
        </w:r>
        <w:r>
          <w:rPr>
            <w:rStyle w:val="Hyperlink"/>
          </w:rPr>
          <w:t xml:space="preserve"> </w:t>
        </w:r>
        <w:r>
          <w:rPr>
            <w:rStyle w:val="Hyperlink"/>
          </w:rPr>
          <w:t>2В-1 Подобряване на икономическите резултати на фирмите в горското стопанство, дърводобива и първичната преработка на дървесина</w:t>
        </w:r>
        <w:r>
          <w:tab/>
        </w:r>
        <w:r>
          <w:fldChar w:fldCharType="begin"/>
        </w:r>
        <w:r>
          <w:instrText xml:space="preserve"> PAGEREF _Toc256000059 \h </w:instrText>
        </w:r>
        <w:r>
          <w:fldChar w:fldCharType="separate"/>
        </w:r>
        <w:r>
          <w:t>114</w:t>
        </w:r>
        <w:r>
          <w:fldChar w:fldCharType="end"/>
        </w:r>
      </w:hyperlink>
    </w:p>
    <w:p>
      <w:pPr>
        <w:pStyle w:val="TOC3"/>
        <w:rPr>
          <w:rFonts w:asciiTheme="minorHAnsi" w:hAnsiTheme="minorHAnsi"/>
          <w:noProof/>
          <w:sz w:val="22"/>
        </w:rPr>
      </w:pPr>
      <w:hyperlink w:anchor="_Toc256000060" w:history="1">
        <w:r>
          <w:rPr>
            <w:rStyle w:val="Hyperlink"/>
          </w:rPr>
          <w:t>4.2.13.</w:t>
        </w:r>
        <w:r>
          <w:rPr>
            <w:rStyle w:val="Hyperlink"/>
          </w:rPr>
          <w:t xml:space="preserve"> </w:t>
        </w:r>
        <w:r>
          <w:rPr>
            <w:rStyle w:val="Hyperlink"/>
          </w:rPr>
          <w:t>3А-1 Подобряване на вертикалното и хоризонталното сътрудничество между земеделските производители, преработватели и търговци</w:t>
        </w:r>
        <w:r>
          <w:tab/>
        </w:r>
        <w:r>
          <w:fldChar w:fldCharType="begin"/>
        </w:r>
        <w:r>
          <w:instrText xml:space="preserve"> PAGEREF _Toc256000060 \h </w:instrText>
        </w:r>
        <w:r>
          <w:fldChar w:fldCharType="separate"/>
        </w:r>
        <w:r>
          <w:t>115</w:t>
        </w:r>
        <w:r>
          <w:fldChar w:fldCharType="end"/>
        </w:r>
      </w:hyperlink>
    </w:p>
    <w:p>
      <w:pPr>
        <w:pStyle w:val="TOC3"/>
        <w:rPr>
          <w:rFonts w:asciiTheme="minorHAnsi" w:hAnsiTheme="minorHAnsi"/>
          <w:noProof/>
          <w:sz w:val="22"/>
        </w:rPr>
      </w:pPr>
      <w:hyperlink w:anchor="_Toc256000061" w:history="1">
        <w:r>
          <w:rPr>
            <w:rStyle w:val="Hyperlink"/>
          </w:rPr>
          <w:t>4.2.14.</w:t>
        </w:r>
        <w:r>
          <w:rPr>
            <w:rStyle w:val="Hyperlink"/>
          </w:rPr>
          <w:t xml:space="preserve"> </w:t>
        </w:r>
        <w:r>
          <w:rPr>
            <w:rStyle w:val="Hyperlink"/>
          </w:rPr>
          <w:t>3А-2 Ускоряване на иновациите, подобряване на енергийната ефективност и технологичното обновление в хранителната промишленост</w:t>
        </w:r>
        <w:r>
          <w:tab/>
        </w:r>
        <w:r>
          <w:fldChar w:fldCharType="begin"/>
        </w:r>
        <w:r>
          <w:instrText xml:space="preserve"> PAGEREF _Toc256000061 \h </w:instrText>
        </w:r>
        <w:r>
          <w:fldChar w:fldCharType="separate"/>
        </w:r>
        <w:r>
          <w:t>116</w:t>
        </w:r>
        <w:r>
          <w:fldChar w:fldCharType="end"/>
        </w:r>
      </w:hyperlink>
    </w:p>
    <w:p>
      <w:pPr>
        <w:pStyle w:val="TOC3"/>
        <w:rPr>
          <w:rFonts w:asciiTheme="minorHAnsi" w:hAnsiTheme="minorHAnsi"/>
          <w:noProof/>
          <w:sz w:val="22"/>
        </w:rPr>
      </w:pPr>
      <w:hyperlink w:anchor="_Toc256000062" w:history="1">
        <w:r>
          <w:rPr>
            <w:rStyle w:val="Hyperlink"/>
          </w:rPr>
          <w:t>4.2.15.</w:t>
        </w:r>
        <w:r>
          <w:rPr>
            <w:rStyle w:val="Hyperlink"/>
          </w:rPr>
          <w:t xml:space="preserve"> </w:t>
        </w:r>
        <w:r>
          <w:rPr>
            <w:rStyle w:val="Hyperlink"/>
          </w:rPr>
          <w:t>3А-3: Подобряване условията на отглеждане на животните и повишаване качеството на произвежданите животински продукти</w:t>
        </w:r>
        <w:r>
          <w:tab/>
        </w:r>
        <w:r>
          <w:fldChar w:fldCharType="begin"/>
        </w:r>
        <w:r>
          <w:instrText xml:space="preserve"> PAGEREF _Toc256000062 \h </w:instrText>
        </w:r>
        <w:r>
          <w:fldChar w:fldCharType="separate"/>
        </w:r>
        <w:r>
          <w:t>117</w:t>
        </w:r>
        <w:r>
          <w:fldChar w:fldCharType="end"/>
        </w:r>
      </w:hyperlink>
    </w:p>
    <w:p>
      <w:pPr>
        <w:pStyle w:val="TOC3"/>
        <w:rPr>
          <w:rFonts w:asciiTheme="minorHAnsi" w:hAnsiTheme="minorHAnsi"/>
          <w:noProof/>
          <w:sz w:val="22"/>
        </w:rPr>
      </w:pPr>
      <w:hyperlink w:anchor="_Toc256000063" w:history="1">
        <w:r>
          <w:rPr>
            <w:rStyle w:val="Hyperlink"/>
          </w:rPr>
          <w:t>4.2.16.</w:t>
        </w:r>
        <w:r>
          <w:rPr>
            <w:rStyle w:val="Hyperlink"/>
          </w:rPr>
          <w:t xml:space="preserve"> </w:t>
        </w:r>
        <w:r>
          <w:rPr>
            <w:rStyle w:val="Hyperlink"/>
          </w:rPr>
          <w:t>3А-4 Скъсяване веригите на доставки, насърчаване на местните пазари и подобряване на маркетинга на земеделски продукти</w:t>
        </w:r>
        <w:r>
          <w:tab/>
        </w:r>
        <w:r>
          <w:fldChar w:fldCharType="begin"/>
        </w:r>
        <w:r>
          <w:instrText xml:space="preserve"> PAGEREF _Toc256000063 \h </w:instrText>
        </w:r>
        <w:r>
          <w:fldChar w:fldCharType="separate"/>
        </w:r>
        <w:r>
          <w:t>117</w:t>
        </w:r>
        <w:r>
          <w:fldChar w:fldCharType="end"/>
        </w:r>
      </w:hyperlink>
    </w:p>
    <w:p>
      <w:pPr>
        <w:pStyle w:val="TOC3"/>
        <w:rPr>
          <w:rFonts w:asciiTheme="minorHAnsi" w:hAnsiTheme="minorHAnsi"/>
          <w:noProof/>
          <w:sz w:val="22"/>
        </w:rPr>
      </w:pPr>
      <w:hyperlink w:anchor="_Toc256000064" w:history="1">
        <w:r>
          <w:rPr>
            <w:rStyle w:val="Hyperlink"/>
          </w:rPr>
          <w:t>4.2.17.</w:t>
        </w:r>
        <w:r>
          <w:rPr>
            <w:rStyle w:val="Hyperlink"/>
          </w:rPr>
          <w:t xml:space="preserve"> </w:t>
        </w:r>
        <w:r>
          <w:rPr>
            <w:rStyle w:val="Hyperlink"/>
          </w:rPr>
          <w:t>3Б-1: Подобряване на управлението на риска в земеделските стопанства</w:t>
        </w:r>
        <w:r>
          <w:tab/>
        </w:r>
        <w:r>
          <w:fldChar w:fldCharType="begin"/>
        </w:r>
        <w:r>
          <w:instrText xml:space="preserve"> PAGEREF _Toc256000064 \h </w:instrText>
        </w:r>
        <w:r>
          <w:fldChar w:fldCharType="separate"/>
        </w:r>
        <w:r>
          <w:t>118</w:t>
        </w:r>
        <w:r>
          <w:fldChar w:fldCharType="end"/>
        </w:r>
      </w:hyperlink>
    </w:p>
    <w:p>
      <w:pPr>
        <w:pStyle w:val="TOC3"/>
        <w:rPr>
          <w:rFonts w:asciiTheme="minorHAnsi" w:hAnsiTheme="minorHAnsi"/>
          <w:noProof/>
          <w:sz w:val="22"/>
        </w:rPr>
      </w:pPr>
      <w:hyperlink w:anchor="_Toc256000065" w:history="1">
        <w:r>
          <w:rPr>
            <w:rStyle w:val="Hyperlink"/>
          </w:rPr>
          <w:t>4.2.18.</w:t>
        </w:r>
        <w:r>
          <w:rPr>
            <w:rStyle w:val="Hyperlink"/>
          </w:rPr>
          <w:t xml:space="preserve"> </w:t>
        </w:r>
        <w:r>
          <w:rPr>
            <w:rStyle w:val="Hyperlink"/>
          </w:rPr>
          <w:t>4A-1: Съхранение на дела на полу-естествените тревни местообитания с висока природна стойност</w:t>
        </w:r>
        <w:r>
          <w:tab/>
        </w:r>
        <w:r>
          <w:fldChar w:fldCharType="begin"/>
        </w:r>
        <w:r>
          <w:instrText xml:space="preserve"> PAGEREF _Toc256000065 \h </w:instrText>
        </w:r>
        <w:r>
          <w:fldChar w:fldCharType="separate"/>
        </w:r>
        <w:r>
          <w:t>119</w:t>
        </w:r>
        <w:r>
          <w:fldChar w:fldCharType="end"/>
        </w:r>
      </w:hyperlink>
    </w:p>
    <w:p>
      <w:pPr>
        <w:pStyle w:val="TOC3"/>
        <w:rPr>
          <w:rFonts w:asciiTheme="minorHAnsi" w:hAnsiTheme="minorHAnsi"/>
          <w:noProof/>
          <w:sz w:val="22"/>
        </w:rPr>
      </w:pPr>
      <w:hyperlink w:anchor="_Toc256000066" w:history="1">
        <w:r>
          <w:rPr>
            <w:rStyle w:val="Hyperlink"/>
          </w:rPr>
          <w:t>4.2.19.</w:t>
        </w:r>
        <w:r>
          <w:rPr>
            <w:rStyle w:val="Hyperlink"/>
          </w:rPr>
          <w:t xml:space="preserve"> </w:t>
        </w:r>
        <w:r>
          <w:rPr>
            <w:rStyle w:val="Hyperlink"/>
          </w:rPr>
          <w:t>4A-2: Съхранение и възстановяване на ценните местообитания и видове в местата по Натура 2000</w:t>
        </w:r>
        <w:r>
          <w:tab/>
        </w:r>
        <w:r>
          <w:fldChar w:fldCharType="begin"/>
        </w:r>
        <w:r>
          <w:instrText xml:space="preserve"> PAGEREF _Toc256000066 \h </w:instrText>
        </w:r>
        <w:r>
          <w:fldChar w:fldCharType="separate"/>
        </w:r>
        <w:r>
          <w:t>120</w:t>
        </w:r>
        <w:r>
          <w:fldChar w:fldCharType="end"/>
        </w:r>
      </w:hyperlink>
    </w:p>
    <w:p>
      <w:pPr>
        <w:pStyle w:val="TOC3"/>
        <w:rPr>
          <w:rFonts w:asciiTheme="minorHAnsi" w:hAnsiTheme="minorHAnsi"/>
          <w:noProof/>
          <w:sz w:val="22"/>
        </w:rPr>
      </w:pPr>
      <w:hyperlink w:anchor="_Toc256000067" w:history="1">
        <w:r>
          <w:rPr>
            <w:rStyle w:val="Hyperlink"/>
          </w:rPr>
          <w:t>4.2.20.</w:t>
        </w:r>
        <w:r>
          <w:rPr>
            <w:rStyle w:val="Hyperlink"/>
          </w:rPr>
          <w:t xml:space="preserve"> </w:t>
        </w:r>
        <w:r>
          <w:rPr>
            <w:rStyle w:val="Hyperlink"/>
          </w:rPr>
          <w:t>4А-3: Съхранение на дела на горите с висока консервационна стойност</w:t>
        </w:r>
        <w:r>
          <w:tab/>
        </w:r>
        <w:r>
          <w:fldChar w:fldCharType="begin"/>
        </w:r>
        <w:r>
          <w:instrText xml:space="preserve"> PAGEREF _Toc256000067 \h </w:instrText>
        </w:r>
        <w:r>
          <w:fldChar w:fldCharType="separate"/>
        </w:r>
        <w:r>
          <w:t>121</w:t>
        </w:r>
        <w:r>
          <w:fldChar w:fldCharType="end"/>
        </w:r>
      </w:hyperlink>
    </w:p>
    <w:p>
      <w:pPr>
        <w:pStyle w:val="TOC3"/>
        <w:rPr>
          <w:rFonts w:asciiTheme="minorHAnsi" w:hAnsiTheme="minorHAnsi"/>
          <w:noProof/>
          <w:sz w:val="22"/>
        </w:rPr>
      </w:pPr>
      <w:hyperlink w:anchor="_Toc256000068" w:history="1">
        <w:r>
          <w:rPr>
            <w:rStyle w:val="Hyperlink"/>
          </w:rPr>
          <w:t>4.2.21.</w:t>
        </w:r>
        <w:r>
          <w:rPr>
            <w:rStyle w:val="Hyperlink"/>
          </w:rPr>
          <w:t xml:space="preserve"> </w:t>
        </w:r>
        <w:r>
          <w:rPr>
            <w:rStyle w:val="Hyperlink"/>
          </w:rPr>
          <w:t>4А-4: Опазване на застрашените от изчезване редки породи животни  и традиционни, застрашени от изчезване сортове растения</w:t>
        </w:r>
        <w:r>
          <w:tab/>
        </w:r>
        <w:r>
          <w:fldChar w:fldCharType="begin"/>
        </w:r>
        <w:r>
          <w:instrText xml:space="preserve"> PAGEREF _Toc256000068 \h </w:instrText>
        </w:r>
        <w:r>
          <w:fldChar w:fldCharType="separate"/>
        </w:r>
        <w:r>
          <w:t>121</w:t>
        </w:r>
        <w:r>
          <w:fldChar w:fldCharType="end"/>
        </w:r>
      </w:hyperlink>
    </w:p>
    <w:p>
      <w:pPr>
        <w:pStyle w:val="TOC3"/>
        <w:rPr>
          <w:rFonts w:asciiTheme="minorHAnsi" w:hAnsiTheme="minorHAnsi"/>
          <w:noProof/>
          <w:sz w:val="22"/>
        </w:rPr>
      </w:pPr>
      <w:hyperlink w:anchor="_Toc256000069" w:history="1">
        <w:r>
          <w:rPr>
            <w:rStyle w:val="Hyperlink"/>
          </w:rPr>
          <w:t>4.2.22.</w:t>
        </w:r>
        <w:r>
          <w:rPr>
            <w:rStyle w:val="Hyperlink"/>
          </w:rPr>
          <w:t xml:space="preserve"> </w:t>
        </w:r>
        <w:r>
          <w:rPr>
            <w:rStyle w:val="Hyperlink"/>
          </w:rPr>
          <w:t>4А-5: Подпомагане на земеделието в райони с природни ограничения</w:t>
        </w:r>
        <w:r>
          <w:tab/>
        </w:r>
        <w:r>
          <w:fldChar w:fldCharType="begin"/>
        </w:r>
        <w:r>
          <w:instrText xml:space="preserve"> PAGEREF _Toc256000069 \h </w:instrText>
        </w:r>
        <w:r>
          <w:fldChar w:fldCharType="separate"/>
        </w:r>
        <w:r>
          <w:t>122</w:t>
        </w:r>
        <w:r>
          <w:fldChar w:fldCharType="end"/>
        </w:r>
      </w:hyperlink>
    </w:p>
    <w:p>
      <w:pPr>
        <w:pStyle w:val="TOC3"/>
        <w:rPr>
          <w:rFonts w:asciiTheme="minorHAnsi" w:hAnsiTheme="minorHAnsi"/>
          <w:noProof/>
          <w:sz w:val="22"/>
        </w:rPr>
      </w:pPr>
      <w:hyperlink w:anchor="_Toc256000070" w:history="1">
        <w:r>
          <w:rPr>
            <w:rStyle w:val="Hyperlink"/>
          </w:rPr>
          <w:t>4.2.23.</w:t>
        </w:r>
        <w:r>
          <w:rPr>
            <w:rStyle w:val="Hyperlink"/>
          </w:rPr>
          <w:t xml:space="preserve"> </w:t>
        </w:r>
        <w:r>
          <w:rPr>
            <w:rStyle w:val="Hyperlink"/>
          </w:rPr>
          <w:t>4А-6: Въвеждане на системи за превенция на пожарите в горите</w:t>
        </w:r>
        <w:r>
          <w:tab/>
        </w:r>
        <w:r>
          <w:fldChar w:fldCharType="begin"/>
        </w:r>
        <w:r>
          <w:instrText xml:space="preserve"> PAGEREF _Toc256000070 \h </w:instrText>
        </w:r>
        <w:r>
          <w:fldChar w:fldCharType="separate"/>
        </w:r>
        <w:r>
          <w:t>123</w:t>
        </w:r>
        <w:r>
          <w:fldChar w:fldCharType="end"/>
        </w:r>
      </w:hyperlink>
    </w:p>
    <w:p>
      <w:pPr>
        <w:pStyle w:val="TOC3"/>
        <w:rPr>
          <w:rFonts w:asciiTheme="minorHAnsi" w:hAnsiTheme="minorHAnsi"/>
          <w:noProof/>
          <w:sz w:val="22"/>
        </w:rPr>
      </w:pPr>
      <w:hyperlink w:anchor="_Toc256000071" w:history="1">
        <w:r>
          <w:rPr>
            <w:rStyle w:val="Hyperlink"/>
          </w:rPr>
          <w:t>4.2.24.</w:t>
        </w:r>
        <w:r>
          <w:rPr>
            <w:rStyle w:val="Hyperlink"/>
          </w:rPr>
          <w:t xml:space="preserve"> </w:t>
        </w:r>
        <w:r>
          <w:rPr>
            <w:rStyle w:val="Hyperlink"/>
          </w:rPr>
          <w:t>4Б-1: Предотвратяване и намаляване на замърсяването от селското стопанство</w:t>
        </w:r>
        <w:r>
          <w:tab/>
        </w:r>
        <w:r>
          <w:fldChar w:fldCharType="begin"/>
        </w:r>
        <w:r>
          <w:instrText xml:space="preserve"> PAGEREF _Toc256000071 \h </w:instrText>
        </w:r>
        <w:r>
          <w:fldChar w:fldCharType="separate"/>
        </w:r>
        <w:r>
          <w:t>123</w:t>
        </w:r>
        <w:r>
          <w:fldChar w:fldCharType="end"/>
        </w:r>
      </w:hyperlink>
    </w:p>
    <w:p>
      <w:pPr>
        <w:pStyle w:val="TOC3"/>
        <w:rPr>
          <w:rFonts w:asciiTheme="minorHAnsi" w:hAnsiTheme="minorHAnsi"/>
          <w:noProof/>
          <w:sz w:val="22"/>
        </w:rPr>
      </w:pPr>
      <w:hyperlink w:anchor="_Toc256000072" w:history="1">
        <w:r>
          <w:rPr>
            <w:rStyle w:val="Hyperlink"/>
          </w:rPr>
          <w:t>4.2.25.</w:t>
        </w:r>
        <w:r>
          <w:rPr>
            <w:rStyle w:val="Hyperlink"/>
          </w:rPr>
          <w:t xml:space="preserve"> </w:t>
        </w:r>
        <w:r>
          <w:rPr>
            <w:rStyle w:val="Hyperlink"/>
          </w:rPr>
          <w:t>4Б-2:Увеличаване на дела на биологичното производство</w:t>
        </w:r>
        <w:r>
          <w:tab/>
        </w:r>
        <w:r>
          <w:fldChar w:fldCharType="begin"/>
        </w:r>
        <w:r>
          <w:instrText xml:space="preserve"> PAGEREF _Toc256000072 \h </w:instrText>
        </w:r>
        <w:r>
          <w:fldChar w:fldCharType="separate"/>
        </w:r>
        <w:r>
          <w:t>124</w:t>
        </w:r>
        <w:r>
          <w:fldChar w:fldCharType="end"/>
        </w:r>
      </w:hyperlink>
    </w:p>
    <w:p>
      <w:pPr>
        <w:pStyle w:val="TOC3"/>
        <w:rPr>
          <w:rFonts w:asciiTheme="minorHAnsi" w:hAnsiTheme="minorHAnsi"/>
          <w:noProof/>
          <w:sz w:val="22"/>
        </w:rPr>
      </w:pPr>
      <w:hyperlink w:anchor="_Toc256000073" w:history="1">
        <w:r>
          <w:rPr>
            <w:rStyle w:val="Hyperlink"/>
          </w:rPr>
          <w:t>4.2.26.</w:t>
        </w:r>
        <w:r>
          <w:rPr>
            <w:rStyle w:val="Hyperlink"/>
          </w:rPr>
          <w:t xml:space="preserve"> </w:t>
        </w:r>
        <w:r>
          <w:rPr>
            <w:rStyle w:val="Hyperlink"/>
          </w:rPr>
          <w:t>4В-1: Съхранение и увеличаване на почвеното плодородие</w:t>
        </w:r>
        <w:r>
          <w:tab/>
        </w:r>
        <w:r>
          <w:fldChar w:fldCharType="begin"/>
        </w:r>
        <w:r>
          <w:instrText xml:space="preserve"> PAGEREF _Toc256000073 \h </w:instrText>
        </w:r>
        <w:r>
          <w:fldChar w:fldCharType="separate"/>
        </w:r>
        <w:r>
          <w:t>125</w:t>
        </w:r>
        <w:r>
          <w:fldChar w:fldCharType="end"/>
        </w:r>
      </w:hyperlink>
    </w:p>
    <w:p>
      <w:pPr>
        <w:pStyle w:val="TOC3"/>
        <w:rPr>
          <w:rFonts w:asciiTheme="minorHAnsi" w:hAnsiTheme="minorHAnsi"/>
          <w:noProof/>
          <w:sz w:val="22"/>
        </w:rPr>
      </w:pPr>
      <w:hyperlink w:anchor="_Toc256000074" w:history="1">
        <w:r>
          <w:rPr>
            <w:rStyle w:val="Hyperlink"/>
          </w:rPr>
          <w:t>4.2.27.</w:t>
        </w:r>
        <w:r>
          <w:rPr>
            <w:rStyle w:val="Hyperlink"/>
          </w:rPr>
          <w:t xml:space="preserve"> </w:t>
        </w:r>
        <w:r>
          <w:rPr>
            <w:rStyle w:val="Hyperlink"/>
          </w:rPr>
          <w:t>5А-1: Възстановяване и реконструкция на хидромелиоративната инфраструктура</w:t>
        </w:r>
        <w:r>
          <w:tab/>
        </w:r>
        <w:r>
          <w:fldChar w:fldCharType="begin"/>
        </w:r>
        <w:r>
          <w:instrText xml:space="preserve"> PAGEREF _Toc256000074 \h </w:instrText>
        </w:r>
        <w:r>
          <w:fldChar w:fldCharType="separate"/>
        </w:r>
        <w:r>
          <w:t>125</w:t>
        </w:r>
        <w:r>
          <w:fldChar w:fldCharType="end"/>
        </w:r>
      </w:hyperlink>
    </w:p>
    <w:p>
      <w:pPr>
        <w:pStyle w:val="TOC3"/>
        <w:rPr>
          <w:rFonts w:asciiTheme="minorHAnsi" w:hAnsiTheme="minorHAnsi"/>
          <w:noProof/>
          <w:sz w:val="22"/>
        </w:rPr>
      </w:pPr>
      <w:hyperlink w:anchor="_Toc256000075" w:history="1">
        <w:r>
          <w:rPr>
            <w:rStyle w:val="Hyperlink"/>
          </w:rPr>
          <w:t>4.2.28.</w:t>
        </w:r>
        <w:r>
          <w:rPr>
            <w:rStyle w:val="Hyperlink"/>
          </w:rPr>
          <w:t xml:space="preserve"> </w:t>
        </w:r>
        <w:r>
          <w:rPr>
            <w:rStyle w:val="Hyperlink"/>
          </w:rPr>
          <w:t>5Б-1: Повишаване на енергийната ефективност</w:t>
        </w:r>
        <w:r>
          <w:tab/>
        </w:r>
        <w:r>
          <w:fldChar w:fldCharType="begin"/>
        </w:r>
        <w:r>
          <w:instrText xml:space="preserve"> PAGEREF _Toc256000075 \h </w:instrText>
        </w:r>
        <w:r>
          <w:fldChar w:fldCharType="separate"/>
        </w:r>
        <w:r>
          <w:t>126</w:t>
        </w:r>
        <w:r>
          <w:fldChar w:fldCharType="end"/>
        </w:r>
      </w:hyperlink>
    </w:p>
    <w:p>
      <w:pPr>
        <w:pStyle w:val="TOC3"/>
        <w:rPr>
          <w:rFonts w:asciiTheme="minorHAnsi" w:hAnsiTheme="minorHAnsi"/>
          <w:noProof/>
          <w:sz w:val="22"/>
        </w:rPr>
      </w:pPr>
      <w:hyperlink w:anchor="_Toc256000076" w:history="1">
        <w:r>
          <w:rPr>
            <w:rStyle w:val="Hyperlink"/>
          </w:rPr>
          <w:t>4.2.29.</w:t>
        </w:r>
        <w:r>
          <w:rPr>
            <w:rStyle w:val="Hyperlink"/>
          </w:rPr>
          <w:t xml:space="preserve"> </w:t>
        </w:r>
        <w:r>
          <w:rPr>
            <w:rStyle w:val="Hyperlink"/>
          </w:rPr>
          <w:t>5В-1: Изграждане на нови и реконструкция на съществуващи мощности за преработка на отпадъци остатъци и други суровини в био енер</w:t>
        </w:r>
        <w:r>
          <w:tab/>
        </w:r>
        <w:r>
          <w:fldChar w:fldCharType="begin"/>
        </w:r>
        <w:r>
          <w:instrText xml:space="preserve"> PAGEREF _Toc256000076 \h </w:instrText>
        </w:r>
        <w:r>
          <w:fldChar w:fldCharType="separate"/>
        </w:r>
        <w:r>
          <w:t>127</w:t>
        </w:r>
        <w:r>
          <w:fldChar w:fldCharType="end"/>
        </w:r>
      </w:hyperlink>
    </w:p>
    <w:p>
      <w:pPr>
        <w:pStyle w:val="TOC3"/>
        <w:rPr>
          <w:rFonts w:asciiTheme="minorHAnsi" w:hAnsiTheme="minorHAnsi"/>
          <w:noProof/>
          <w:sz w:val="22"/>
        </w:rPr>
      </w:pPr>
      <w:hyperlink w:anchor="_Toc256000077" w:history="1">
        <w:r>
          <w:rPr>
            <w:rStyle w:val="Hyperlink"/>
          </w:rPr>
          <w:t>4.2.30.</w:t>
        </w:r>
        <w:r>
          <w:rPr>
            <w:rStyle w:val="Hyperlink"/>
          </w:rPr>
          <w:t xml:space="preserve"> </w:t>
        </w:r>
        <w:r>
          <w:rPr>
            <w:rStyle w:val="Hyperlink"/>
          </w:rPr>
          <w:t>5В-2: Увеличаване на площите с бързорастящи храсти и дървесни видове за производство на биоенергия</w:t>
        </w:r>
        <w:r>
          <w:tab/>
        </w:r>
        <w:r>
          <w:fldChar w:fldCharType="begin"/>
        </w:r>
        <w:r>
          <w:instrText xml:space="preserve"> PAGEREF _Toc256000077 \h </w:instrText>
        </w:r>
        <w:r>
          <w:fldChar w:fldCharType="separate"/>
        </w:r>
        <w:r>
          <w:t>127</w:t>
        </w:r>
        <w:r>
          <w:fldChar w:fldCharType="end"/>
        </w:r>
      </w:hyperlink>
    </w:p>
    <w:p>
      <w:pPr>
        <w:pStyle w:val="TOC3"/>
        <w:rPr>
          <w:rFonts w:asciiTheme="minorHAnsi" w:hAnsiTheme="minorHAnsi"/>
          <w:noProof/>
          <w:sz w:val="22"/>
        </w:rPr>
      </w:pPr>
      <w:hyperlink w:anchor="_Toc256000078" w:history="1">
        <w:r>
          <w:rPr>
            <w:rStyle w:val="Hyperlink"/>
          </w:rPr>
          <w:t>4.2.31.</w:t>
        </w:r>
        <w:r>
          <w:rPr>
            <w:rStyle w:val="Hyperlink"/>
          </w:rPr>
          <w:t xml:space="preserve"> </w:t>
        </w:r>
        <w:r>
          <w:rPr>
            <w:rStyle w:val="Hyperlink"/>
          </w:rPr>
          <w:t>5В-3: Възползване от принципите на биоикономиката за повишаване на ресурсната ефективност и добавената стойност</w:t>
        </w:r>
        <w:r>
          <w:tab/>
        </w:r>
        <w:r>
          <w:fldChar w:fldCharType="begin"/>
        </w:r>
        <w:r>
          <w:instrText xml:space="preserve"> PAGEREF _Toc256000078 \h </w:instrText>
        </w:r>
        <w:r>
          <w:fldChar w:fldCharType="separate"/>
        </w:r>
        <w:r>
          <w:t>127</w:t>
        </w:r>
        <w:r>
          <w:fldChar w:fldCharType="end"/>
        </w:r>
      </w:hyperlink>
    </w:p>
    <w:p>
      <w:pPr>
        <w:pStyle w:val="TOC3"/>
        <w:rPr>
          <w:rFonts w:asciiTheme="minorHAnsi" w:hAnsiTheme="minorHAnsi"/>
          <w:noProof/>
          <w:sz w:val="22"/>
        </w:rPr>
      </w:pPr>
      <w:hyperlink w:anchor="_Toc256000079" w:history="1">
        <w:r>
          <w:rPr>
            <w:rStyle w:val="Hyperlink"/>
          </w:rPr>
          <w:t>4.2.32.</w:t>
        </w:r>
        <w:r>
          <w:rPr>
            <w:rStyle w:val="Hyperlink"/>
          </w:rPr>
          <w:t xml:space="preserve"> </w:t>
        </w:r>
        <w:r>
          <w:rPr>
            <w:rStyle w:val="Hyperlink"/>
          </w:rPr>
          <w:t>5Г-1: Принос към Третия национален план за действие по изменение на климата за намаляване на емисиите от земеделски източници</w:t>
        </w:r>
        <w:r>
          <w:tab/>
        </w:r>
        <w:r>
          <w:fldChar w:fldCharType="begin"/>
        </w:r>
        <w:r>
          <w:instrText xml:space="preserve"> PAGEREF _Toc256000079 \h </w:instrText>
        </w:r>
        <w:r>
          <w:fldChar w:fldCharType="separate"/>
        </w:r>
        <w:r>
          <w:t>128</w:t>
        </w:r>
        <w:r>
          <w:fldChar w:fldCharType="end"/>
        </w:r>
      </w:hyperlink>
    </w:p>
    <w:p>
      <w:pPr>
        <w:pStyle w:val="TOC3"/>
        <w:rPr>
          <w:rFonts w:asciiTheme="minorHAnsi" w:hAnsiTheme="minorHAnsi"/>
          <w:noProof/>
          <w:sz w:val="22"/>
        </w:rPr>
      </w:pPr>
      <w:hyperlink w:anchor="_Toc256000080" w:history="1">
        <w:r>
          <w:rPr>
            <w:rStyle w:val="Hyperlink"/>
          </w:rPr>
          <w:t>4.2.33.</w:t>
        </w:r>
        <w:r>
          <w:rPr>
            <w:rStyle w:val="Hyperlink"/>
          </w:rPr>
          <w:t xml:space="preserve"> </w:t>
        </w:r>
        <w:r>
          <w:rPr>
            <w:rStyle w:val="Hyperlink"/>
          </w:rPr>
          <w:t>5Д-1: Увеличаване лесистостта и възстановяване на горския потенциал</w:t>
        </w:r>
        <w:r>
          <w:tab/>
        </w:r>
        <w:r>
          <w:fldChar w:fldCharType="begin"/>
        </w:r>
        <w:r>
          <w:instrText xml:space="preserve"> PAGEREF _Toc256000080 \h </w:instrText>
        </w:r>
        <w:r>
          <w:fldChar w:fldCharType="separate"/>
        </w:r>
        <w:r>
          <w:t>129</w:t>
        </w:r>
        <w:r>
          <w:fldChar w:fldCharType="end"/>
        </w:r>
      </w:hyperlink>
    </w:p>
    <w:p>
      <w:pPr>
        <w:pStyle w:val="TOC3"/>
        <w:rPr>
          <w:rFonts w:asciiTheme="minorHAnsi" w:hAnsiTheme="minorHAnsi"/>
          <w:noProof/>
          <w:sz w:val="22"/>
        </w:rPr>
      </w:pPr>
      <w:hyperlink w:anchor="_Toc256000081" w:history="1">
        <w:r>
          <w:rPr>
            <w:rStyle w:val="Hyperlink"/>
          </w:rPr>
          <w:t>4.2.34.</w:t>
        </w:r>
        <w:r>
          <w:rPr>
            <w:rStyle w:val="Hyperlink"/>
          </w:rPr>
          <w:t xml:space="preserve"> </w:t>
        </w:r>
        <w:r>
          <w:rPr>
            <w:rStyle w:val="Hyperlink"/>
          </w:rPr>
          <w:t>6А-1: Повишаване на инвестициите в неземеделските сектори на селските райони</w:t>
        </w:r>
        <w:r>
          <w:tab/>
        </w:r>
        <w:r>
          <w:fldChar w:fldCharType="begin"/>
        </w:r>
        <w:r>
          <w:instrText xml:space="preserve"> PAGEREF _Toc256000081 \h </w:instrText>
        </w:r>
        <w:r>
          <w:fldChar w:fldCharType="separate"/>
        </w:r>
        <w:r>
          <w:t>130</w:t>
        </w:r>
        <w:r>
          <w:fldChar w:fldCharType="end"/>
        </w:r>
      </w:hyperlink>
    </w:p>
    <w:p>
      <w:pPr>
        <w:pStyle w:val="TOC3"/>
        <w:rPr>
          <w:rFonts w:asciiTheme="minorHAnsi" w:hAnsiTheme="minorHAnsi"/>
          <w:noProof/>
          <w:sz w:val="22"/>
        </w:rPr>
      </w:pPr>
      <w:hyperlink w:anchor="_Toc256000082" w:history="1">
        <w:r>
          <w:rPr>
            <w:rStyle w:val="Hyperlink"/>
          </w:rPr>
          <w:t>4.2.35.</w:t>
        </w:r>
        <w:r>
          <w:rPr>
            <w:rStyle w:val="Hyperlink"/>
          </w:rPr>
          <w:t xml:space="preserve"> </w:t>
        </w:r>
        <w:r>
          <w:rPr>
            <w:rStyle w:val="Hyperlink"/>
          </w:rPr>
          <w:t>6А-2: Развитие на предприемачеството в селските райони</w:t>
        </w:r>
        <w:r>
          <w:tab/>
        </w:r>
        <w:r>
          <w:fldChar w:fldCharType="begin"/>
        </w:r>
        <w:r>
          <w:instrText xml:space="preserve"> PAGEREF _Toc256000082 \h </w:instrText>
        </w:r>
        <w:r>
          <w:fldChar w:fldCharType="separate"/>
        </w:r>
        <w:r>
          <w:t>130</w:t>
        </w:r>
        <w:r>
          <w:fldChar w:fldCharType="end"/>
        </w:r>
      </w:hyperlink>
    </w:p>
    <w:p>
      <w:pPr>
        <w:pStyle w:val="TOC3"/>
        <w:rPr>
          <w:rFonts w:asciiTheme="minorHAnsi" w:hAnsiTheme="minorHAnsi"/>
          <w:noProof/>
          <w:sz w:val="22"/>
        </w:rPr>
      </w:pPr>
      <w:hyperlink w:anchor="_Toc256000083" w:history="1">
        <w:r>
          <w:rPr>
            <w:rStyle w:val="Hyperlink"/>
          </w:rPr>
          <w:t>4.2.36.</w:t>
        </w:r>
        <w:r>
          <w:rPr>
            <w:rStyle w:val="Hyperlink"/>
          </w:rPr>
          <w:t xml:space="preserve"> </w:t>
        </w:r>
        <w:r>
          <w:rPr>
            <w:rStyle w:val="Hyperlink"/>
          </w:rPr>
          <w:t>6Б-1: Подобряване на социалната инфраструктура</w:t>
        </w:r>
        <w:r>
          <w:tab/>
        </w:r>
        <w:r>
          <w:fldChar w:fldCharType="begin"/>
        </w:r>
        <w:r>
          <w:instrText xml:space="preserve"> PAGEREF _Toc256000083 \h </w:instrText>
        </w:r>
        <w:r>
          <w:fldChar w:fldCharType="separate"/>
        </w:r>
        <w:r>
          <w:t>131</w:t>
        </w:r>
        <w:r>
          <w:fldChar w:fldCharType="end"/>
        </w:r>
      </w:hyperlink>
    </w:p>
    <w:p>
      <w:pPr>
        <w:pStyle w:val="TOC3"/>
        <w:rPr>
          <w:rFonts w:asciiTheme="minorHAnsi" w:hAnsiTheme="minorHAnsi"/>
          <w:noProof/>
          <w:sz w:val="22"/>
        </w:rPr>
      </w:pPr>
      <w:hyperlink w:anchor="_Toc256000084" w:history="1">
        <w:r>
          <w:rPr>
            <w:rStyle w:val="Hyperlink"/>
          </w:rPr>
          <w:t>4.2.37.</w:t>
        </w:r>
        <w:r>
          <w:rPr>
            <w:rStyle w:val="Hyperlink"/>
          </w:rPr>
          <w:t xml:space="preserve"> </w:t>
        </w:r>
        <w:r>
          <w:rPr>
            <w:rStyle w:val="Hyperlink"/>
          </w:rPr>
          <w:t>6Б-2: Подобряване на техническата инфраструктура</w:t>
        </w:r>
        <w:r>
          <w:tab/>
        </w:r>
        <w:r>
          <w:fldChar w:fldCharType="begin"/>
        </w:r>
        <w:r>
          <w:instrText xml:space="preserve"> PAGEREF _Toc256000084 \h </w:instrText>
        </w:r>
        <w:r>
          <w:fldChar w:fldCharType="separate"/>
        </w:r>
        <w:r>
          <w:t>131</w:t>
        </w:r>
        <w:r>
          <w:fldChar w:fldCharType="end"/>
        </w:r>
      </w:hyperlink>
    </w:p>
    <w:p>
      <w:pPr>
        <w:pStyle w:val="TOC3"/>
        <w:rPr>
          <w:rFonts w:asciiTheme="minorHAnsi" w:hAnsiTheme="minorHAnsi"/>
          <w:noProof/>
          <w:sz w:val="22"/>
        </w:rPr>
      </w:pPr>
      <w:hyperlink w:anchor="_Toc256000085" w:history="1">
        <w:r>
          <w:rPr>
            <w:rStyle w:val="Hyperlink"/>
          </w:rPr>
          <w:t>4.2.38.</w:t>
        </w:r>
        <w:r>
          <w:rPr>
            <w:rStyle w:val="Hyperlink"/>
          </w:rPr>
          <w:t xml:space="preserve"> </w:t>
        </w:r>
        <w:r>
          <w:rPr>
            <w:rStyle w:val="Hyperlink"/>
          </w:rPr>
          <w:t>6Б-3: Подобряване на туристическата инфраструктурата</w:t>
        </w:r>
        <w:r>
          <w:tab/>
        </w:r>
        <w:r>
          <w:fldChar w:fldCharType="begin"/>
        </w:r>
        <w:r>
          <w:instrText xml:space="preserve"> PAGEREF _Toc256000085 \h </w:instrText>
        </w:r>
        <w:r>
          <w:fldChar w:fldCharType="separate"/>
        </w:r>
        <w:r>
          <w:t>132</w:t>
        </w:r>
        <w:r>
          <w:fldChar w:fldCharType="end"/>
        </w:r>
      </w:hyperlink>
    </w:p>
    <w:p>
      <w:pPr>
        <w:pStyle w:val="TOC3"/>
        <w:rPr>
          <w:rFonts w:asciiTheme="minorHAnsi" w:hAnsiTheme="minorHAnsi"/>
          <w:noProof/>
          <w:sz w:val="22"/>
        </w:rPr>
      </w:pPr>
      <w:hyperlink w:anchor="_Toc256000086" w:history="1">
        <w:r>
          <w:rPr>
            <w:rStyle w:val="Hyperlink"/>
          </w:rPr>
          <w:t>4.2.39.</w:t>
        </w:r>
        <w:r>
          <w:rPr>
            <w:rStyle w:val="Hyperlink"/>
          </w:rPr>
          <w:t xml:space="preserve"> </w:t>
        </w:r>
        <w:r>
          <w:rPr>
            <w:rStyle w:val="Hyperlink"/>
          </w:rPr>
          <w:t>6Б-4: Развитие на местния капацитет за устойчиво развитие</w:t>
        </w:r>
        <w:r>
          <w:tab/>
        </w:r>
        <w:r>
          <w:fldChar w:fldCharType="begin"/>
        </w:r>
        <w:r>
          <w:instrText xml:space="preserve"> PAGEREF _Toc256000086 \h </w:instrText>
        </w:r>
        <w:r>
          <w:fldChar w:fldCharType="separate"/>
        </w:r>
        <w:r>
          <w:t>132</w:t>
        </w:r>
        <w:r>
          <w:fldChar w:fldCharType="end"/>
        </w:r>
      </w:hyperlink>
    </w:p>
    <w:p>
      <w:pPr>
        <w:pStyle w:val="TOC3"/>
        <w:rPr>
          <w:rFonts w:asciiTheme="minorHAnsi" w:hAnsiTheme="minorHAnsi"/>
          <w:noProof/>
          <w:sz w:val="22"/>
        </w:rPr>
      </w:pPr>
      <w:hyperlink w:anchor="_Toc256000087" w:history="1">
        <w:r>
          <w:rPr>
            <w:rStyle w:val="Hyperlink"/>
          </w:rPr>
          <w:t>4.2.40.</w:t>
        </w:r>
        <w:r>
          <w:rPr>
            <w:rStyle w:val="Hyperlink"/>
          </w:rPr>
          <w:t xml:space="preserve"> </w:t>
        </w:r>
        <w:r>
          <w:rPr>
            <w:rStyle w:val="Hyperlink"/>
          </w:rPr>
          <w:t>6В-1 Осигуряване на достъп до фиксирана широколентова мрежа в селските територии без покритие</w:t>
        </w:r>
        <w:r>
          <w:tab/>
        </w:r>
        <w:r>
          <w:fldChar w:fldCharType="begin"/>
        </w:r>
        <w:r>
          <w:instrText xml:space="preserve"> PAGEREF _Toc256000087 \h </w:instrText>
        </w:r>
        <w:r>
          <w:fldChar w:fldCharType="separate"/>
        </w:r>
        <w:r>
          <w:t>133</w:t>
        </w:r>
        <w:r>
          <w:fldChar w:fldCharType="end"/>
        </w:r>
      </w:hyperlink>
    </w:p>
    <w:p>
      <w:pPr>
        <w:pStyle w:val="TOC1"/>
        <w:rPr>
          <w:rFonts w:asciiTheme="minorHAnsi" w:hAnsiTheme="minorHAnsi"/>
          <w:noProof/>
          <w:sz w:val="22"/>
        </w:rPr>
      </w:pPr>
      <w:hyperlink w:anchor="_Toc256000088" w:history="1">
        <w:r>
          <w:rPr>
            <w:rStyle w:val="Hyperlink"/>
          </w:rPr>
          <w:t>5.</w:t>
        </w:r>
        <w:r>
          <w:rPr>
            <w:rStyle w:val="Hyperlink"/>
          </w:rPr>
          <w:t xml:space="preserve"> </w:t>
        </w:r>
        <w:r>
          <w:rPr>
            <w:rStyle w:val="Hyperlink"/>
          </w:rPr>
          <w:t>Описание на стратегията</w:t>
        </w:r>
        <w:r>
          <w:tab/>
        </w:r>
        <w:r>
          <w:fldChar w:fldCharType="begin"/>
        </w:r>
        <w:r>
          <w:instrText xml:space="preserve"> PAGEREF _Toc256000088 \h </w:instrText>
        </w:r>
        <w:r>
          <w:fldChar w:fldCharType="separate"/>
        </w:r>
        <w:r>
          <w:t>135</w:t>
        </w:r>
        <w:r>
          <w:fldChar w:fldCharType="end"/>
        </w:r>
      </w:hyperlink>
    </w:p>
    <w:p>
      <w:pPr>
        <w:pStyle w:val="TOC2"/>
        <w:rPr>
          <w:rFonts w:asciiTheme="minorHAnsi" w:hAnsiTheme="minorHAnsi"/>
          <w:noProof/>
          <w:sz w:val="22"/>
        </w:rPr>
      </w:pPr>
      <w:hyperlink w:anchor="_Toc256000089" w:history="1">
        <w:r>
          <w:rPr>
            <w:rStyle w:val="Hyperlink"/>
          </w:rPr>
          <w:t>5.1.</w:t>
        </w:r>
        <w:r>
          <w:rPr>
            <w:rStyle w:val="Hyperlink"/>
          </w:rPr>
          <w:t xml:space="preserve"> </w:t>
        </w:r>
        <w:r>
          <w:rPr>
            <w:rStyle w:val="Hyperlink"/>
          </w:rPr>
          <w:t>Обосновка на избора на потребностите, които ще бъдат включени в програмата за развитие на селските райони, както и обосновка на избора на цели, приоритети и области с поставен акцент въз основа на данните от SWOT анализа и оценката на потребностите. Когато е уместно, обосновка на тематичните подпрограми, включени в програмата. С обосновката по-специално трябва да се докаже изпълнението на изискванията, посочени в член 8, параграф 1, буква в), подточки i) и iv) от Регламент (ЕС) № 1305/2013</w:t>
        </w:r>
        <w:r>
          <w:tab/>
        </w:r>
        <w:r>
          <w:fldChar w:fldCharType="begin"/>
        </w:r>
        <w:r>
          <w:instrText xml:space="preserve"> PAGEREF _Toc256000089 \h </w:instrText>
        </w:r>
        <w:r>
          <w:fldChar w:fldCharType="separate"/>
        </w:r>
        <w:r>
          <w:t>135</w:t>
        </w:r>
        <w:r>
          <w:fldChar w:fldCharType="end"/>
        </w:r>
      </w:hyperlink>
    </w:p>
    <w:p>
      <w:pPr>
        <w:pStyle w:val="TOC2"/>
        <w:rPr>
          <w:rFonts w:asciiTheme="minorHAnsi" w:hAnsiTheme="minorHAnsi"/>
          <w:noProof/>
          <w:sz w:val="22"/>
        </w:rPr>
      </w:pPr>
      <w:hyperlink w:anchor="_Toc256000090" w:history="1">
        <w:r>
          <w:rPr>
            <w:rStyle w:val="Hyperlink"/>
          </w:rPr>
          <w:t>5.2.</w:t>
        </w:r>
        <w:r>
          <w:rPr>
            <w:rStyle w:val="Hyperlink"/>
          </w:rPr>
          <w:t xml:space="preserve"> </w:t>
        </w:r>
        <w:r>
          <w:rPr>
            <w:rStyle w:val="Hyperlink"/>
          </w:rPr>
          <w:t>Комбинацията и обосновката на мерките за развитие на селските райони за всяка област с поставен акцент, включително обосновката на финансовите средства, отпуснати за мерките, както и адекватността на финансовите ресурси с поставените цели, както е посочено в член 8, параграф 1, буква в), подточки ii) и iii) от Регламент (ЕС) № 1305/2013. Комбинацията от мерки, включени в интервенционната логика, се базира на данни от SWOT анализа и обосновка и приоритизиране на потребностите, посочени в точка 5.1</w:t>
        </w:r>
        <w:r>
          <w:tab/>
        </w:r>
        <w:r>
          <w:fldChar w:fldCharType="begin"/>
        </w:r>
        <w:r>
          <w:instrText xml:space="preserve"> PAGEREF _Toc256000090 \h </w:instrText>
        </w:r>
        <w:r>
          <w:fldChar w:fldCharType="separate"/>
        </w:r>
        <w:r>
          <w:t>141</w:t>
        </w:r>
        <w:r>
          <w:fldChar w:fldCharType="end"/>
        </w:r>
      </w:hyperlink>
    </w:p>
    <w:p>
      <w:pPr>
        <w:pStyle w:val="TOC3"/>
        <w:rPr>
          <w:rFonts w:asciiTheme="minorHAnsi" w:hAnsiTheme="minorHAnsi"/>
          <w:noProof/>
          <w:sz w:val="22"/>
        </w:rPr>
      </w:pPr>
      <w:hyperlink w:anchor="_Toc256000091" w:history="1">
        <w:r>
          <w:rPr>
            <w:rStyle w:val="Hyperlink"/>
          </w:rPr>
          <w:t>5.2.1.</w:t>
        </w:r>
        <w:r>
          <w:rPr>
            <w:rStyle w:val="Hyperlink"/>
          </w:rPr>
          <w:t xml:space="preserve"> </w:t>
        </w:r>
        <w:r>
          <w:rPr>
            <w:rStyle w:val="Hyperlink"/>
          </w:rPr>
          <w:t>P1: Стимулиране на трансфера на знания и иновациите в областта на селското и горското стопанство и селските райони</w:t>
        </w:r>
        <w:r>
          <w:tab/>
        </w:r>
        <w:r>
          <w:fldChar w:fldCharType="begin"/>
        </w:r>
        <w:r>
          <w:instrText xml:space="preserve"> PAGEREF _Toc256000091 \h </w:instrText>
        </w:r>
        <w:r>
          <w:fldChar w:fldCharType="separate"/>
        </w:r>
        <w:r>
          <w:t>141</w:t>
        </w:r>
        <w:r>
          <w:fldChar w:fldCharType="end"/>
        </w:r>
      </w:hyperlink>
    </w:p>
    <w:p>
      <w:pPr>
        <w:pStyle w:val="TOC3"/>
        <w:rPr>
          <w:rFonts w:asciiTheme="minorHAnsi" w:hAnsiTheme="minorHAnsi"/>
          <w:noProof/>
          <w:sz w:val="22"/>
        </w:rPr>
      </w:pPr>
      <w:hyperlink w:anchor="_Toc256000092" w:history="1">
        <w:r>
          <w:rPr>
            <w:rStyle w:val="Hyperlink"/>
          </w:rPr>
          <w:t>5.2.2.</w:t>
        </w:r>
        <w:r>
          <w:rPr>
            <w:rStyle w:val="Hyperlink"/>
          </w:rPr>
          <w:t xml:space="preserve"> </w:t>
        </w:r>
        <w:r>
          <w:rPr>
            <w:rStyle w:val="Hyperlink"/>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r>
          <w:tab/>
        </w:r>
        <w:r>
          <w:fldChar w:fldCharType="begin"/>
        </w:r>
        <w:r>
          <w:instrText xml:space="preserve"> PAGEREF _Toc256000092 \h </w:instrText>
        </w:r>
        <w:r>
          <w:fldChar w:fldCharType="separate"/>
        </w:r>
        <w:r>
          <w:t>142</w:t>
        </w:r>
        <w:r>
          <w:fldChar w:fldCharType="end"/>
        </w:r>
      </w:hyperlink>
    </w:p>
    <w:p>
      <w:pPr>
        <w:pStyle w:val="TOC3"/>
        <w:rPr>
          <w:rFonts w:asciiTheme="minorHAnsi" w:hAnsiTheme="minorHAnsi"/>
          <w:noProof/>
          <w:sz w:val="22"/>
        </w:rPr>
      </w:pPr>
      <w:hyperlink w:anchor="_Toc256000093" w:history="1">
        <w:r>
          <w:rPr>
            <w:rStyle w:val="Hyperlink"/>
          </w:rPr>
          <w:t>5.2.3.</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_Toc256000093 \h </w:instrText>
        </w:r>
        <w:r>
          <w:fldChar w:fldCharType="separate"/>
        </w:r>
        <w:r>
          <w:t>144</w:t>
        </w:r>
        <w:r>
          <w:fldChar w:fldCharType="end"/>
        </w:r>
      </w:hyperlink>
    </w:p>
    <w:p>
      <w:pPr>
        <w:pStyle w:val="TOC3"/>
        <w:rPr>
          <w:rFonts w:asciiTheme="minorHAnsi" w:hAnsiTheme="minorHAnsi"/>
          <w:noProof/>
          <w:sz w:val="22"/>
        </w:rPr>
      </w:pPr>
      <w:hyperlink w:anchor="_Toc256000094" w:history="1">
        <w:r>
          <w:rPr>
            <w:rStyle w:val="Hyperlink"/>
          </w:rPr>
          <w:t>5.2.4.</w:t>
        </w:r>
        <w:r>
          <w:rPr>
            <w:rStyle w:val="Hyperlink"/>
          </w:rPr>
          <w:t xml:space="preserve"> </w:t>
        </w:r>
        <w:r>
          <w:rPr>
            <w:rStyle w:val="Hyperlink"/>
          </w:rPr>
          <w:t>P4: Възстановяване, опазване и укрепване на екосистемите, свързани със селското и горското стопанство</w:t>
        </w:r>
        <w:r>
          <w:tab/>
        </w:r>
        <w:r>
          <w:fldChar w:fldCharType="begin"/>
        </w:r>
        <w:r>
          <w:instrText xml:space="preserve"> PAGEREF _Toc256000094 \h </w:instrText>
        </w:r>
        <w:r>
          <w:fldChar w:fldCharType="separate"/>
        </w:r>
        <w:r>
          <w:t>146</w:t>
        </w:r>
        <w:r>
          <w:fldChar w:fldCharType="end"/>
        </w:r>
      </w:hyperlink>
    </w:p>
    <w:p>
      <w:pPr>
        <w:pStyle w:val="TOC3"/>
        <w:rPr>
          <w:rFonts w:asciiTheme="minorHAnsi" w:hAnsiTheme="minorHAnsi"/>
          <w:noProof/>
          <w:sz w:val="22"/>
        </w:rPr>
      </w:pPr>
      <w:hyperlink w:anchor="_Toc256000095" w:history="1">
        <w:r>
          <w:rPr>
            <w:rStyle w:val="Hyperlink"/>
          </w:rPr>
          <w:t>5.2.5.</w:t>
        </w:r>
        <w:r>
          <w:rPr>
            <w:rStyle w:val="Hyperlink"/>
          </w:rPr>
          <w:t xml:space="preserve"> </w:t>
        </w:r>
        <w:r>
          <w:rPr>
            <w:rStyle w:val="Hyperlink"/>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r>
          <w:tab/>
        </w:r>
        <w:r>
          <w:fldChar w:fldCharType="begin"/>
        </w:r>
        <w:r>
          <w:instrText xml:space="preserve"> PAGEREF _Toc256000095 \h </w:instrText>
        </w:r>
        <w:r>
          <w:fldChar w:fldCharType="separate"/>
        </w:r>
        <w:r>
          <w:t>150</w:t>
        </w:r>
        <w:r>
          <w:fldChar w:fldCharType="end"/>
        </w:r>
      </w:hyperlink>
    </w:p>
    <w:p>
      <w:pPr>
        <w:pStyle w:val="TOC3"/>
        <w:rPr>
          <w:rFonts w:asciiTheme="minorHAnsi" w:hAnsiTheme="minorHAnsi"/>
          <w:noProof/>
          <w:sz w:val="22"/>
        </w:rPr>
      </w:pPr>
      <w:hyperlink w:anchor="_Toc256000096" w:history="1">
        <w:r>
          <w:rPr>
            <w:rStyle w:val="Hyperlink"/>
          </w:rPr>
          <w:t>5.2.6.</w:t>
        </w:r>
        <w:r>
          <w:rPr>
            <w:rStyle w:val="Hyperlink"/>
          </w:rPr>
          <w:t xml:space="preserve"> </w:t>
        </w:r>
        <w:r>
          <w:rPr>
            <w:rStyle w:val="Hyperlink"/>
          </w:rPr>
          <w:t>P6: Насърчаване на социалното приобщаване, намаляването на бедността и икономическото развитие в селските райони</w:t>
        </w:r>
        <w:r>
          <w:tab/>
        </w:r>
        <w:r>
          <w:fldChar w:fldCharType="begin"/>
        </w:r>
        <w:r>
          <w:instrText xml:space="preserve"> PAGEREF _Toc256000096 \h </w:instrText>
        </w:r>
        <w:r>
          <w:fldChar w:fldCharType="separate"/>
        </w:r>
        <w:r>
          <w:t>154</w:t>
        </w:r>
        <w:r>
          <w:fldChar w:fldCharType="end"/>
        </w:r>
      </w:hyperlink>
    </w:p>
    <w:p>
      <w:pPr>
        <w:pStyle w:val="TOC2"/>
        <w:rPr>
          <w:rFonts w:asciiTheme="minorHAnsi" w:hAnsiTheme="minorHAnsi"/>
          <w:noProof/>
          <w:sz w:val="22"/>
        </w:rPr>
      </w:pPr>
      <w:hyperlink w:anchor="_Toc256000097" w:history="1">
        <w:r>
          <w:rPr>
            <w:rStyle w:val="Hyperlink"/>
          </w:rPr>
          <w:t>5.3.</w:t>
        </w:r>
        <w:r>
          <w:rPr>
            <w:rStyle w:val="Hyperlink"/>
          </w:rPr>
          <w:t xml:space="preserve"> </w:t>
        </w:r>
        <w:r>
          <w:rPr>
            <w:rStyle w:val="Hyperlink"/>
          </w:rPr>
          <w:t>Описание на това как ще бъдат обхванати междусекторните цели, включително специфичните изисквания по член 8, параграф 1, буква в), подточка v) от Регламент (ЕС) № 1305/2013</w:t>
        </w:r>
        <w:r>
          <w:tab/>
        </w:r>
        <w:r>
          <w:fldChar w:fldCharType="begin"/>
        </w:r>
        <w:r>
          <w:instrText xml:space="preserve"> PAGEREF _Toc256000097 \h </w:instrText>
        </w:r>
        <w:r>
          <w:fldChar w:fldCharType="separate"/>
        </w:r>
        <w:r>
          <w:t>157</w:t>
        </w:r>
        <w:r>
          <w:fldChar w:fldCharType="end"/>
        </w:r>
      </w:hyperlink>
    </w:p>
    <w:p>
      <w:pPr>
        <w:pStyle w:val="TOC2"/>
        <w:rPr>
          <w:rFonts w:asciiTheme="minorHAnsi" w:hAnsiTheme="minorHAnsi"/>
          <w:noProof/>
          <w:sz w:val="22"/>
        </w:rPr>
      </w:pPr>
      <w:hyperlink w:anchor="_Toc256000098" w:history="1">
        <w:r>
          <w:rPr>
            <w:rStyle w:val="Hyperlink"/>
          </w:rPr>
          <w:t>5.4.</w:t>
        </w:r>
        <w:r>
          <w:rPr>
            <w:rStyle w:val="Hyperlink"/>
          </w:rPr>
          <w:t xml:space="preserve"> </w:t>
        </w:r>
        <w:r>
          <w:rPr>
            <w:rStyle w:val="Hyperlink"/>
          </w:rPr>
          <w:t>Обобщена таблица, съдържаща информация за интервенционната логика, за приоритетните области и областите с поставен акцент, избрани за ПРСР, за количествено определените цели и комбинацията от мерки, които ще бъдат предприети за постигането на целите, включително планираните разходи (таблицата е генерирана автоматично от информацията, предоставена в раздели 5.2 и 11)</w:t>
        </w:r>
        <w:r>
          <w:tab/>
        </w:r>
        <w:r>
          <w:fldChar w:fldCharType="begin"/>
        </w:r>
        <w:r>
          <w:instrText xml:space="preserve"> PAGEREF _Toc256000098 \h </w:instrText>
        </w:r>
        <w:r>
          <w:fldChar w:fldCharType="separate"/>
        </w:r>
        <w:r>
          <w:t>160</w:t>
        </w:r>
        <w:r>
          <w:fldChar w:fldCharType="end"/>
        </w:r>
      </w:hyperlink>
    </w:p>
    <w:p>
      <w:pPr>
        <w:pStyle w:val="TOC2"/>
        <w:rPr>
          <w:rFonts w:asciiTheme="minorHAnsi" w:hAnsiTheme="minorHAnsi"/>
          <w:noProof/>
          <w:sz w:val="22"/>
        </w:rPr>
      </w:pPr>
      <w:hyperlink w:anchor="_Toc256000099" w:history="1">
        <w:r>
          <w:rPr>
            <w:rStyle w:val="Hyperlink"/>
          </w:rPr>
          <w:t>5.5.</w:t>
        </w:r>
        <w:r>
          <w:rPr>
            <w:rStyle w:val="Hyperlink"/>
          </w:rPr>
          <w:t xml:space="preserve"> </w:t>
        </w:r>
        <w:r>
          <w:rPr>
            <w:rStyle w:val="Hyperlink"/>
          </w:rPr>
          <w:t>Описание на капацитета за предоставяне на консултации, за да се гарантира подходящо консултиране и подкрепа за нормативните изисквания и за действията във връзка с иновациите, за да се демонстрират предприетите мерки, както се изисква в член 8, параграф 1, буква в), подточка vi) от Регламент (ЕС) № 1305/2013</w:t>
        </w:r>
        <w:r>
          <w:tab/>
        </w:r>
        <w:r>
          <w:fldChar w:fldCharType="begin"/>
        </w:r>
        <w:r>
          <w:instrText xml:space="preserve"> PAGEREF _Toc256000099 \h </w:instrText>
        </w:r>
        <w:r>
          <w:fldChar w:fldCharType="separate"/>
        </w:r>
        <w:r>
          <w:t>163</w:t>
        </w:r>
        <w:r>
          <w:fldChar w:fldCharType="end"/>
        </w:r>
      </w:hyperlink>
    </w:p>
    <w:p>
      <w:pPr>
        <w:pStyle w:val="TOC1"/>
        <w:rPr>
          <w:rFonts w:asciiTheme="minorHAnsi" w:hAnsiTheme="minorHAnsi"/>
          <w:noProof/>
          <w:sz w:val="22"/>
        </w:rPr>
      </w:pPr>
      <w:hyperlink w:anchor="_Toc256000100" w:history="1">
        <w:r>
          <w:rPr>
            <w:rStyle w:val="Hyperlink"/>
          </w:rPr>
          <w:t>6.</w:t>
        </w:r>
        <w:r>
          <w:rPr>
            <w:rStyle w:val="Hyperlink"/>
          </w:rPr>
          <w:t xml:space="preserve"> </w:t>
        </w:r>
        <w:r>
          <w:rPr>
            <w:rStyle w:val="Hyperlink"/>
          </w:rPr>
          <w:t>Оценка на предварителните условия</w:t>
        </w:r>
        <w:r>
          <w:tab/>
        </w:r>
        <w:r>
          <w:fldChar w:fldCharType="begin"/>
        </w:r>
        <w:r>
          <w:instrText xml:space="preserve"> PAGEREF _Toc256000100 \h </w:instrText>
        </w:r>
        <w:r>
          <w:fldChar w:fldCharType="separate"/>
        </w:r>
        <w:r>
          <w:t>167</w:t>
        </w:r>
        <w:r>
          <w:fldChar w:fldCharType="end"/>
        </w:r>
      </w:hyperlink>
    </w:p>
    <w:p>
      <w:pPr>
        <w:pStyle w:val="TOC2"/>
        <w:rPr>
          <w:rFonts w:asciiTheme="minorHAnsi" w:hAnsiTheme="minorHAnsi"/>
          <w:noProof/>
          <w:sz w:val="22"/>
        </w:rPr>
      </w:pPr>
      <w:hyperlink w:anchor="_Toc256000101" w:history="1">
        <w:r>
          <w:rPr>
            <w:rStyle w:val="Hyperlink"/>
          </w:rPr>
          <w:t>6.1.</w:t>
        </w:r>
        <w:r>
          <w:rPr>
            <w:rStyle w:val="Hyperlink"/>
          </w:rPr>
          <w:t xml:space="preserve"> </w:t>
        </w:r>
        <w:r>
          <w:rPr>
            <w:rStyle w:val="Hyperlink"/>
          </w:rPr>
          <w:t>Допълнителна информация</w:t>
        </w:r>
        <w:r>
          <w:tab/>
        </w:r>
        <w:r>
          <w:fldChar w:fldCharType="begin"/>
        </w:r>
        <w:r>
          <w:instrText xml:space="preserve"> PAGEREF _Toc256000101 \h </w:instrText>
        </w:r>
        <w:r>
          <w:fldChar w:fldCharType="separate"/>
        </w:r>
        <w:r>
          <w:t>167</w:t>
        </w:r>
        <w:r>
          <w:fldChar w:fldCharType="end"/>
        </w:r>
      </w:hyperlink>
    </w:p>
    <w:p>
      <w:pPr>
        <w:pStyle w:val="TOC2"/>
        <w:rPr>
          <w:rFonts w:asciiTheme="minorHAnsi" w:hAnsiTheme="minorHAnsi"/>
          <w:noProof/>
          <w:sz w:val="22"/>
        </w:rPr>
      </w:pPr>
      <w:hyperlink w:anchor="_Toc256000102" w:history="1">
        <w:r>
          <w:rPr>
            <w:rStyle w:val="Hyperlink"/>
          </w:rPr>
          <w:t>6.2.</w:t>
        </w:r>
        <w:r>
          <w:rPr>
            <w:rStyle w:val="Hyperlink"/>
          </w:rPr>
          <w:t xml:space="preserve"> </w:t>
        </w:r>
        <w:r>
          <w:rPr>
            <w:rStyle w:val="Hyperlink"/>
          </w:rPr>
          <w:t>Предварителни условия</w:t>
        </w:r>
        <w:r>
          <w:tab/>
        </w:r>
        <w:r>
          <w:fldChar w:fldCharType="begin"/>
        </w:r>
        <w:r>
          <w:instrText xml:space="preserve"> PAGEREF _Toc256000102 \h </w:instrText>
        </w:r>
        <w:r>
          <w:fldChar w:fldCharType="separate"/>
        </w:r>
        <w:r>
          <w:t>168</w:t>
        </w:r>
        <w:r>
          <w:fldChar w:fldCharType="end"/>
        </w:r>
      </w:hyperlink>
    </w:p>
    <w:p>
      <w:pPr>
        <w:pStyle w:val="TOC3"/>
        <w:rPr>
          <w:rFonts w:asciiTheme="minorHAnsi" w:hAnsiTheme="minorHAnsi"/>
          <w:noProof/>
          <w:sz w:val="22"/>
        </w:rPr>
      </w:pPr>
      <w:hyperlink w:anchor="_Toc256000103" w:history="1">
        <w:r>
          <w:rPr>
            <w:rStyle w:val="Hyperlink"/>
          </w:rPr>
          <w:t>6.2.1.</w:t>
        </w:r>
        <w:r>
          <w:rPr>
            <w:rStyle w:val="Hyperlink"/>
          </w:rPr>
          <w:t xml:space="preserve"> </w:t>
        </w:r>
        <w:r>
          <w:rPr>
            <w:rStyle w:val="Hyperlink"/>
          </w:rPr>
          <w:t>Списък на действията, които да бъдат предприети за общите предварителни условия</w:t>
        </w:r>
        <w:r>
          <w:tab/>
        </w:r>
        <w:r>
          <w:fldChar w:fldCharType="begin"/>
        </w:r>
        <w:r>
          <w:instrText xml:space="preserve"> PAGEREF _Toc256000103 \h </w:instrText>
        </w:r>
        <w:r>
          <w:fldChar w:fldCharType="separate"/>
        </w:r>
        <w:r>
          <w:t>194</w:t>
        </w:r>
        <w:r>
          <w:fldChar w:fldCharType="end"/>
        </w:r>
      </w:hyperlink>
    </w:p>
    <w:p>
      <w:pPr>
        <w:pStyle w:val="TOC3"/>
        <w:rPr>
          <w:rFonts w:asciiTheme="minorHAnsi" w:hAnsiTheme="minorHAnsi"/>
          <w:noProof/>
          <w:sz w:val="22"/>
        </w:rPr>
      </w:pPr>
      <w:hyperlink w:anchor="_Toc256000104" w:history="1">
        <w:r>
          <w:rPr>
            <w:rStyle w:val="Hyperlink"/>
          </w:rPr>
          <w:t>6.2.2.</w:t>
        </w:r>
        <w:r>
          <w:rPr>
            <w:rStyle w:val="Hyperlink"/>
          </w:rPr>
          <w:t xml:space="preserve"> </w:t>
        </w:r>
        <w:r>
          <w:rPr>
            <w:rStyle w:val="Hyperlink"/>
          </w:rPr>
          <w:t>Списък на действията, които да бъдат предприети  предварителните условия, свързани с приоритети</w:t>
        </w:r>
        <w:r>
          <w:tab/>
        </w:r>
        <w:r>
          <w:fldChar w:fldCharType="begin"/>
        </w:r>
        <w:r>
          <w:instrText xml:space="preserve"> PAGEREF _Toc256000104 \h </w:instrText>
        </w:r>
        <w:r>
          <w:fldChar w:fldCharType="separate"/>
        </w:r>
        <w:r>
          <w:t>197</w:t>
        </w:r>
        <w:r>
          <w:fldChar w:fldCharType="end"/>
        </w:r>
      </w:hyperlink>
    </w:p>
    <w:p>
      <w:pPr>
        <w:pStyle w:val="TOC1"/>
        <w:rPr>
          <w:rFonts w:asciiTheme="minorHAnsi" w:hAnsiTheme="minorHAnsi"/>
          <w:noProof/>
          <w:sz w:val="22"/>
        </w:rPr>
      </w:pPr>
      <w:hyperlink w:anchor="_Toc256000105" w:history="1">
        <w:r>
          <w:rPr>
            <w:rStyle w:val="Hyperlink"/>
          </w:rPr>
          <w:t>7.</w:t>
        </w:r>
        <w:r>
          <w:rPr>
            <w:rStyle w:val="Hyperlink"/>
          </w:rPr>
          <w:t xml:space="preserve"> </w:t>
        </w:r>
        <w:r>
          <w:rPr>
            <w:rStyle w:val="Hyperlink"/>
          </w:rPr>
          <w:t>Описание на рамката на изпълнението</w:t>
        </w:r>
        <w:r>
          <w:tab/>
        </w:r>
        <w:r>
          <w:fldChar w:fldCharType="begin"/>
        </w:r>
        <w:r>
          <w:instrText xml:space="preserve"> PAGEREF _Toc256000105 \h </w:instrText>
        </w:r>
        <w:r>
          <w:fldChar w:fldCharType="separate"/>
        </w:r>
        <w:r>
          <w:t>201</w:t>
        </w:r>
        <w:r>
          <w:fldChar w:fldCharType="end"/>
        </w:r>
      </w:hyperlink>
    </w:p>
    <w:p>
      <w:pPr>
        <w:pStyle w:val="TOC2"/>
        <w:rPr>
          <w:rFonts w:asciiTheme="minorHAnsi" w:hAnsiTheme="minorHAnsi"/>
          <w:noProof/>
          <w:sz w:val="22"/>
        </w:rPr>
      </w:pPr>
      <w:hyperlink w:anchor="_Toc256000106" w:history="1">
        <w:r>
          <w:rPr>
            <w:rStyle w:val="Hyperlink"/>
          </w:rPr>
          <w:t>7.1.</w:t>
        </w:r>
        <w:r>
          <w:rPr>
            <w:rStyle w:val="Hyperlink"/>
          </w:rPr>
          <w:t xml:space="preserve"> </w:t>
        </w:r>
        <w:r>
          <w:rPr>
            <w:rStyle w:val="Hyperlink"/>
          </w:rPr>
          <w:t>Показатели</w:t>
        </w:r>
        <w:r>
          <w:tab/>
        </w:r>
        <w:r>
          <w:fldChar w:fldCharType="begin"/>
        </w:r>
        <w:r>
          <w:instrText xml:space="preserve"> PAGEREF _Toc256000106 \h </w:instrText>
        </w:r>
        <w:r>
          <w:fldChar w:fldCharType="separate"/>
        </w:r>
        <w:r>
          <w:t>201</w:t>
        </w:r>
        <w:r>
          <w:fldChar w:fldCharType="end"/>
        </w:r>
      </w:hyperlink>
    </w:p>
    <w:p>
      <w:pPr>
        <w:pStyle w:val="TOC3"/>
        <w:rPr>
          <w:rFonts w:asciiTheme="minorHAnsi" w:hAnsiTheme="minorHAnsi"/>
          <w:noProof/>
          <w:sz w:val="22"/>
        </w:rPr>
      </w:pPr>
      <w:hyperlink w:anchor="_Toc256000107" w:history="1">
        <w:r>
          <w:rPr>
            <w:rStyle w:val="Hyperlink"/>
          </w:rPr>
          <w:t>7.1.1.</w:t>
        </w:r>
        <w:r>
          <w:rPr>
            <w:rStyle w:val="Hyperlink"/>
          </w:rPr>
          <w:t xml:space="preserve"> </w:t>
        </w:r>
        <w:r>
          <w:rPr>
            <w:rStyle w:val="Hyperlink"/>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r>
          <w:tab/>
        </w:r>
        <w:r>
          <w:fldChar w:fldCharType="begin"/>
        </w:r>
        <w:r>
          <w:instrText xml:space="preserve"> PAGEREF _Toc256000107 \h </w:instrText>
        </w:r>
        <w:r>
          <w:fldChar w:fldCharType="separate"/>
        </w:r>
        <w:r>
          <w:t>205</w:t>
        </w:r>
        <w:r>
          <w:fldChar w:fldCharType="end"/>
        </w:r>
      </w:hyperlink>
    </w:p>
    <w:p>
      <w:pPr>
        <w:pStyle w:val="TOC3"/>
        <w:rPr>
          <w:rFonts w:asciiTheme="minorHAnsi" w:hAnsiTheme="minorHAnsi"/>
          <w:noProof/>
          <w:sz w:val="22"/>
        </w:rPr>
      </w:pPr>
      <w:hyperlink w:anchor="_Toc256000108" w:history="1">
        <w:r>
          <w:rPr>
            <w:rStyle w:val="Hyperlink"/>
          </w:rPr>
          <w:t>7.1.2.</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_Toc256000108 \h </w:instrText>
        </w:r>
        <w:r>
          <w:fldChar w:fldCharType="separate"/>
        </w:r>
        <w:r>
          <w:t>205</w:t>
        </w:r>
        <w:r>
          <w:fldChar w:fldCharType="end"/>
        </w:r>
      </w:hyperlink>
    </w:p>
    <w:p>
      <w:pPr>
        <w:pStyle w:val="TOC3"/>
        <w:rPr>
          <w:rFonts w:asciiTheme="minorHAnsi" w:hAnsiTheme="minorHAnsi"/>
          <w:noProof/>
          <w:sz w:val="22"/>
        </w:rPr>
      </w:pPr>
      <w:hyperlink w:anchor="_Toc256000109" w:history="1">
        <w:r>
          <w:rPr>
            <w:rStyle w:val="Hyperlink"/>
          </w:rPr>
          <w:t>7.1.3.</w:t>
        </w:r>
        <w:r>
          <w:rPr>
            <w:rStyle w:val="Hyperlink"/>
          </w:rPr>
          <w:t xml:space="preserve"> </w:t>
        </w:r>
        <w:r>
          <w:rPr>
            <w:rStyle w:val="Hyperlink"/>
          </w:rPr>
          <w:t>P4: Възстановяване, опазване и укрепване на екосистемите, свързани със селското и горското стопанство</w:t>
        </w:r>
        <w:r>
          <w:tab/>
        </w:r>
        <w:r>
          <w:fldChar w:fldCharType="begin"/>
        </w:r>
        <w:r>
          <w:instrText xml:space="preserve"> PAGEREF _Toc256000109 \h </w:instrText>
        </w:r>
        <w:r>
          <w:fldChar w:fldCharType="separate"/>
        </w:r>
        <w:r>
          <w:t>206</w:t>
        </w:r>
        <w:r>
          <w:fldChar w:fldCharType="end"/>
        </w:r>
      </w:hyperlink>
    </w:p>
    <w:p>
      <w:pPr>
        <w:pStyle w:val="TOC3"/>
        <w:rPr>
          <w:rFonts w:asciiTheme="minorHAnsi" w:hAnsiTheme="minorHAnsi"/>
          <w:noProof/>
          <w:sz w:val="22"/>
        </w:rPr>
      </w:pPr>
      <w:hyperlink w:anchor="_Toc256000110" w:history="1">
        <w:r>
          <w:rPr>
            <w:rStyle w:val="Hyperlink"/>
          </w:rPr>
          <w:t>7.1.4.</w:t>
        </w:r>
        <w:r>
          <w:rPr>
            <w:rStyle w:val="Hyperlink"/>
          </w:rPr>
          <w:t xml:space="preserve"> </w:t>
        </w:r>
        <w:r>
          <w:rPr>
            <w:rStyle w:val="Hyperlink"/>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r>
          <w:tab/>
        </w:r>
        <w:r>
          <w:fldChar w:fldCharType="begin"/>
        </w:r>
        <w:r>
          <w:instrText xml:space="preserve"> PAGEREF _Toc256000110 \h </w:instrText>
        </w:r>
        <w:r>
          <w:fldChar w:fldCharType="separate"/>
        </w:r>
        <w:r>
          <w:t>206</w:t>
        </w:r>
        <w:r>
          <w:fldChar w:fldCharType="end"/>
        </w:r>
      </w:hyperlink>
    </w:p>
    <w:p>
      <w:pPr>
        <w:pStyle w:val="TOC3"/>
        <w:rPr>
          <w:rFonts w:asciiTheme="minorHAnsi" w:hAnsiTheme="minorHAnsi"/>
          <w:noProof/>
          <w:sz w:val="22"/>
        </w:rPr>
      </w:pPr>
      <w:hyperlink w:anchor="_Toc256000111" w:history="1">
        <w:r>
          <w:rPr>
            <w:rStyle w:val="Hyperlink"/>
          </w:rPr>
          <w:t>7.1.5.</w:t>
        </w:r>
        <w:r>
          <w:rPr>
            <w:rStyle w:val="Hyperlink"/>
          </w:rPr>
          <w:t xml:space="preserve"> </w:t>
        </w:r>
        <w:r>
          <w:rPr>
            <w:rStyle w:val="Hyperlink"/>
          </w:rPr>
          <w:t>P6: Насърчаване на социалното приобщаване, намаляването на бедността и икономическото развитие в селските райони</w:t>
        </w:r>
        <w:r>
          <w:tab/>
        </w:r>
        <w:r>
          <w:fldChar w:fldCharType="begin"/>
        </w:r>
        <w:r>
          <w:instrText xml:space="preserve"> PAGEREF _Toc256000111 \h </w:instrText>
        </w:r>
        <w:r>
          <w:fldChar w:fldCharType="separate"/>
        </w:r>
        <w:r>
          <w:t>207</w:t>
        </w:r>
        <w:r>
          <w:fldChar w:fldCharType="end"/>
        </w:r>
      </w:hyperlink>
    </w:p>
    <w:p>
      <w:pPr>
        <w:pStyle w:val="TOC2"/>
        <w:rPr>
          <w:rFonts w:asciiTheme="minorHAnsi" w:hAnsiTheme="minorHAnsi"/>
          <w:noProof/>
          <w:sz w:val="22"/>
        </w:rPr>
      </w:pPr>
      <w:hyperlink w:anchor="_Toc256000112" w:history="1">
        <w:r>
          <w:rPr>
            <w:rStyle w:val="Hyperlink"/>
          </w:rPr>
          <w:t>7.2.</w:t>
        </w:r>
        <w:r>
          <w:rPr>
            <w:rStyle w:val="Hyperlink"/>
          </w:rPr>
          <w:t xml:space="preserve"> </w:t>
        </w:r>
        <w:r>
          <w:rPr>
            <w:rStyle w:val="Hyperlink"/>
          </w:rPr>
          <w:t>Алтернативни показатели</w:t>
        </w:r>
        <w:r>
          <w:tab/>
        </w:r>
        <w:r>
          <w:fldChar w:fldCharType="begin"/>
        </w:r>
        <w:r>
          <w:instrText xml:space="preserve"> PAGEREF _Toc256000112 \h </w:instrText>
        </w:r>
        <w:r>
          <w:fldChar w:fldCharType="separate"/>
        </w:r>
        <w:r>
          <w:t>209</w:t>
        </w:r>
        <w:r>
          <w:fldChar w:fldCharType="end"/>
        </w:r>
      </w:hyperlink>
    </w:p>
    <w:p>
      <w:pPr>
        <w:pStyle w:val="TOC3"/>
        <w:rPr>
          <w:rFonts w:asciiTheme="minorHAnsi" w:hAnsiTheme="minorHAnsi"/>
          <w:noProof/>
          <w:sz w:val="22"/>
        </w:rPr>
      </w:pPr>
      <w:hyperlink w:anchor="_Toc256000113" w:history="1">
        <w:r>
          <w:rPr>
            <w:rStyle w:val="Hyperlink"/>
          </w:rPr>
          <w:t>7.2.1.</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_Toc256000113 \h </w:instrText>
        </w:r>
        <w:r>
          <w:fldChar w:fldCharType="separate"/>
        </w:r>
        <w:r>
          <w:t>209</w:t>
        </w:r>
        <w:r>
          <w:fldChar w:fldCharType="end"/>
        </w:r>
      </w:hyperlink>
    </w:p>
    <w:p>
      <w:pPr>
        <w:pStyle w:val="TOC2"/>
        <w:rPr>
          <w:rFonts w:asciiTheme="minorHAnsi" w:hAnsiTheme="minorHAnsi"/>
          <w:noProof/>
          <w:sz w:val="22"/>
        </w:rPr>
      </w:pPr>
      <w:hyperlink w:anchor="_Toc256000114" w:history="1">
        <w:r>
          <w:rPr>
            <w:rStyle w:val="Hyperlink"/>
          </w:rPr>
          <w:t>7.3.</w:t>
        </w:r>
        <w:r>
          <w:rPr>
            <w:rStyle w:val="Hyperlink"/>
          </w:rPr>
          <w:t xml:space="preserve"> </w:t>
        </w:r>
        <w:r>
          <w:rPr>
            <w:rStyle w:val="Hyperlink"/>
          </w:rPr>
          <w:t>Резерв</w:t>
        </w:r>
        <w:r>
          <w:tab/>
        </w:r>
        <w:r>
          <w:fldChar w:fldCharType="begin"/>
        </w:r>
        <w:r>
          <w:instrText xml:space="preserve"> PAGEREF _Toc256000114 \h </w:instrText>
        </w:r>
        <w:r>
          <w:fldChar w:fldCharType="separate"/>
        </w:r>
        <w:r>
          <w:t>210</w:t>
        </w:r>
        <w:r>
          <w:fldChar w:fldCharType="end"/>
        </w:r>
      </w:hyperlink>
    </w:p>
    <w:p>
      <w:pPr>
        <w:pStyle w:val="TOC1"/>
        <w:rPr>
          <w:rFonts w:asciiTheme="minorHAnsi" w:hAnsiTheme="minorHAnsi"/>
          <w:noProof/>
          <w:sz w:val="22"/>
        </w:rPr>
      </w:pPr>
      <w:hyperlink w:anchor="_Toc256000115" w:history="1">
        <w:r>
          <w:rPr>
            <w:rStyle w:val="Hyperlink"/>
          </w:rPr>
          <w:t>8.</w:t>
        </w:r>
        <w:r>
          <w:rPr>
            <w:rStyle w:val="Hyperlink"/>
          </w:rPr>
          <w:t xml:space="preserve"> </w:t>
        </w:r>
        <w:r>
          <w:rPr>
            <w:rStyle w:val="Hyperlink"/>
          </w:rPr>
          <w:t>Описание на избраните мерки</w:t>
        </w:r>
        <w:r>
          <w:tab/>
        </w:r>
        <w:r>
          <w:fldChar w:fldCharType="begin"/>
        </w:r>
        <w:r>
          <w:instrText xml:space="preserve"> PAGEREF _Toc256000115 \h </w:instrText>
        </w:r>
        <w:r>
          <w:fldChar w:fldCharType="separate"/>
        </w:r>
        <w:r>
          <w:t>211</w:t>
        </w:r>
        <w:r>
          <w:fldChar w:fldCharType="end"/>
        </w:r>
      </w:hyperlink>
    </w:p>
    <w:p>
      <w:pPr>
        <w:pStyle w:val="TOC2"/>
        <w:rPr>
          <w:rFonts w:asciiTheme="minorHAnsi" w:hAnsiTheme="minorHAnsi"/>
          <w:noProof/>
          <w:sz w:val="22"/>
        </w:rPr>
      </w:pPr>
      <w:hyperlink w:anchor="_Toc256000116" w:history="1">
        <w:r>
          <w:rPr>
            <w:rStyle w:val="Hyperlink"/>
          </w:rPr>
          <w:t>8.1.</w:t>
        </w:r>
        <w:r>
          <w:rPr>
            <w:rStyle w:val="Hyperlink"/>
          </w:rPr>
          <w:t xml:space="preserve"> </w:t>
        </w:r>
        <w:r>
          <w:rPr>
            <w:rStyle w:val="Hyperlink"/>
          </w:rPr>
          <w:t>Описание на общите условия, прилагани за повече от една мярка, включително и, когато е приложимо, определение на селски район, основни параметри, кръстосано съответствие, предназначение на финансовите инструменти, предназначение на авансите и общи разпоредби за инвестиции, включително разпоредбите на членове 45 и 46 от Регламент (ЕС) № 1305/2013</w:t>
        </w:r>
        <w:r>
          <w:tab/>
        </w:r>
        <w:r>
          <w:fldChar w:fldCharType="begin"/>
        </w:r>
        <w:r>
          <w:instrText xml:space="preserve"> PAGEREF _Toc256000116 \h </w:instrText>
        </w:r>
        <w:r>
          <w:fldChar w:fldCharType="separate"/>
        </w:r>
        <w:r>
          <w:t>211</w:t>
        </w:r>
        <w:r>
          <w:fldChar w:fldCharType="end"/>
        </w:r>
      </w:hyperlink>
    </w:p>
    <w:p>
      <w:pPr>
        <w:pStyle w:val="TOC2"/>
        <w:rPr>
          <w:rFonts w:asciiTheme="minorHAnsi" w:hAnsiTheme="minorHAnsi"/>
          <w:noProof/>
          <w:sz w:val="22"/>
        </w:rPr>
      </w:pPr>
      <w:hyperlink w:anchor="_Toc256000117" w:history="1">
        <w:r>
          <w:rPr>
            <w:rStyle w:val="Hyperlink"/>
          </w:rPr>
          <w:t>8.2.</w:t>
        </w:r>
        <w:r>
          <w:rPr>
            <w:rStyle w:val="Hyperlink"/>
          </w:rPr>
          <w:t xml:space="preserve"> </w:t>
        </w:r>
        <w:r>
          <w:rPr>
            <w:rStyle w:val="Hyperlink"/>
          </w:rPr>
          <w:t>Описание по мярка</w:t>
        </w:r>
        <w:r>
          <w:tab/>
        </w:r>
        <w:r>
          <w:fldChar w:fldCharType="begin"/>
        </w:r>
        <w:r>
          <w:instrText xml:space="preserve"> PAGEREF _Toc256000117 \h </w:instrText>
        </w:r>
        <w:r>
          <w:fldChar w:fldCharType="separate"/>
        </w:r>
        <w:r>
          <w:t>226</w:t>
        </w:r>
        <w:r>
          <w:fldChar w:fldCharType="end"/>
        </w:r>
      </w:hyperlink>
    </w:p>
    <w:p>
      <w:pPr>
        <w:pStyle w:val="TOC3"/>
        <w:rPr>
          <w:rFonts w:asciiTheme="minorHAnsi" w:hAnsiTheme="minorHAnsi"/>
          <w:noProof/>
          <w:sz w:val="22"/>
        </w:rPr>
      </w:pPr>
      <w:hyperlink w:anchor="_Toc256000118" w:history="1">
        <w:r>
          <w:rPr>
            <w:rStyle w:val="Hyperlink"/>
          </w:rPr>
          <w:t>8.2.1.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_Toc256000118 \h </w:instrText>
        </w:r>
        <w:r>
          <w:fldChar w:fldCharType="separate"/>
        </w:r>
        <w:r>
          <w:t>226</w:t>
        </w:r>
        <w:r>
          <w:fldChar w:fldCharType="end"/>
        </w:r>
      </w:hyperlink>
    </w:p>
    <w:p>
      <w:pPr>
        <w:pStyle w:val="TOC3"/>
        <w:rPr>
          <w:rFonts w:asciiTheme="minorHAnsi" w:hAnsiTheme="minorHAnsi"/>
          <w:noProof/>
          <w:sz w:val="22"/>
        </w:rPr>
      </w:pPr>
      <w:hyperlink w:anchor="_Toc256000119" w:history="1">
        <w:r>
          <w:rPr>
            <w:rStyle w:val="Hyperlink"/>
          </w:rPr>
          <w:t>8.2.2.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_Toc256000119 \h </w:instrText>
        </w:r>
        <w:r>
          <w:fldChar w:fldCharType="separate"/>
        </w:r>
        <w:r>
          <w:t>246</w:t>
        </w:r>
        <w:r>
          <w:fldChar w:fldCharType="end"/>
        </w:r>
      </w:hyperlink>
    </w:p>
    <w:p>
      <w:pPr>
        <w:pStyle w:val="TOC3"/>
        <w:rPr>
          <w:rFonts w:asciiTheme="minorHAnsi" w:hAnsiTheme="minorHAnsi"/>
          <w:noProof/>
          <w:sz w:val="22"/>
        </w:rPr>
      </w:pPr>
      <w:hyperlink w:anchor="_Toc256000120" w:history="1">
        <w:r>
          <w:rPr>
            <w:rStyle w:val="Hyperlink"/>
          </w:rPr>
          <w:t>8.2.3.</w:t>
        </w:r>
        <w:r>
          <w:rPr>
            <w:rStyle w:val="Hyperlink"/>
          </w:rPr>
          <w:t xml:space="preserve"> </w:t>
        </w:r>
        <w:r>
          <w:rPr>
            <w:rStyle w:val="Hyperlink"/>
          </w:rPr>
          <w:t>M04 — Инвестиции в материални активи (член 17)</w:t>
        </w:r>
        <w:r>
          <w:tab/>
        </w:r>
        <w:r>
          <w:fldChar w:fldCharType="begin"/>
        </w:r>
        <w:r>
          <w:instrText xml:space="preserve"> PAGEREF _Toc256000120 \h </w:instrText>
        </w:r>
        <w:r>
          <w:fldChar w:fldCharType="separate"/>
        </w:r>
        <w:r>
          <w:t>274</w:t>
        </w:r>
        <w:r>
          <w:fldChar w:fldCharType="end"/>
        </w:r>
      </w:hyperlink>
    </w:p>
    <w:p>
      <w:pPr>
        <w:pStyle w:val="TOC3"/>
        <w:rPr>
          <w:rFonts w:asciiTheme="minorHAnsi" w:hAnsiTheme="minorHAnsi"/>
          <w:noProof/>
          <w:sz w:val="22"/>
        </w:rPr>
      </w:pPr>
      <w:hyperlink w:anchor="_Toc256000121" w:history="1">
        <w:r>
          <w:rPr>
            <w:rStyle w:val="Hyperlink"/>
          </w:rPr>
          <w:t>8.2.4.</w:t>
        </w:r>
        <w:r>
          <w:rPr>
            <w:rStyle w:val="Hyperlink"/>
          </w:rPr>
          <w:t xml:space="preserve"> </w:t>
        </w:r>
        <w:r>
          <w:rPr>
            <w:rStyle w:val="Hyperlink"/>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r>
          <w:tab/>
        </w:r>
        <w:r>
          <w:fldChar w:fldCharType="begin"/>
        </w:r>
        <w:r>
          <w:instrText xml:space="preserve"> PAGEREF _Toc256000121 \h </w:instrText>
        </w:r>
        <w:r>
          <w:fldChar w:fldCharType="separate"/>
        </w:r>
        <w:r>
          <w:t>351</w:t>
        </w:r>
        <w:r>
          <w:fldChar w:fldCharType="end"/>
        </w:r>
      </w:hyperlink>
    </w:p>
    <w:p>
      <w:pPr>
        <w:pStyle w:val="TOC3"/>
        <w:rPr>
          <w:rFonts w:asciiTheme="minorHAnsi" w:hAnsiTheme="minorHAnsi"/>
          <w:noProof/>
          <w:sz w:val="22"/>
        </w:rPr>
      </w:pPr>
      <w:hyperlink w:anchor="_Toc256000122" w:history="1">
        <w:r>
          <w:rPr>
            <w:rStyle w:val="Hyperlink"/>
          </w:rPr>
          <w:t>8.2.5.</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_Toc256000122 \h </w:instrText>
        </w:r>
        <w:r>
          <w:fldChar w:fldCharType="separate"/>
        </w:r>
        <w:r>
          <w:t>366</w:t>
        </w:r>
        <w:r>
          <w:fldChar w:fldCharType="end"/>
        </w:r>
      </w:hyperlink>
    </w:p>
    <w:p>
      <w:pPr>
        <w:pStyle w:val="TOC3"/>
        <w:rPr>
          <w:rFonts w:asciiTheme="minorHAnsi" w:hAnsiTheme="minorHAnsi"/>
          <w:noProof/>
          <w:sz w:val="22"/>
        </w:rPr>
      </w:pPr>
      <w:hyperlink w:anchor="_Toc256000123" w:history="1">
        <w:r>
          <w:rPr>
            <w:rStyle w:val="Hyperlink"/>
          </w:rPr>
          <w:t>8.2.6.</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_Toc256000123 \h </w:instrText>
        </w:r>
        <w:r>
          <w:fldChar w:fldCharType="separate"/>
        </w:r>
        <w:r>
          <w:t>413</w:t>
        </w:r>
        <w:r>
          <w:fldChar w:fldCharType="end"/>
        </w:r>
      </w:hyperlink>
    </w:p>
    <w:p>
      <w:pPr>
        <w:pStyle w:val="TOC3"/>
        <w:rPr>
          <w:rFonts w:asciiTheme="minorHAnsi" w:hAnsiTheme="minorHAnsi"/>
          <w:noProof/>
          <w:sz w:val="22"/>
        </w:rPr>
      </w:pPr>
      <w:hyperlink w:anchor="_Toc256000124" w:history="1">
        <w:r>
          <w:rPr>
            <w:rStyle w:val="Hyperlink"/>
          </w:rPr>
          <w:t>8.2.7.</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_Toc256000124 \h </w:instrText>
        </w:r>
        <w:r>
          <w:fldChar w:fldCharType="separate"/>
        </w:r>
        <w:r>
          <w:t>447</w:t>
        </w:r>
        <w:r>
          <w:fldChar w:fldCharType="end"/>
        </w:r>
      </w:hyperlink>
    </w:p>
    <w:p>
      <w:pPr>
        <w:pStyle w:val="TOC3"/>
        <w:rPr>
          <w:rFonts w:asciiTheme="minorHAnsi" w:hAnsiTheme="minorHAnsi"/>
          <w:noProof/>
          <w:sz w:val="22"/>
        </w:rPr>
      </w:pPr>
      <w:hyperlink w:anchor="_Toc256000125" w:history="1">
        <w:r>
          <w:rPr>
            <w:rStyle w:val="Hyperlink"/>
          </w:rPr>
          <w:t>8.2.8.</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_Toc256000125 \h </w:instrText>
        </w:r>
        <w:r>
          <w:fldChar w:fldCharType="separate"/>
        </w:r>
        <w:r>
          <w:t>490</w:t>
        </w:r>
        <w:r>
          <w:fldChar w:fldCharType="end"/>
        </w:r>
      </w:hyperlink>
    </w:p>
    <w:p>
      <w:pPr>
        <w:pStyle w:val="TOC3"/>
        <w:rPr>
          <w:rFonts w:asciiTheme="minorHAnsi" w:hAnsiTheme="minorHAnsi"/>
          <w:noProof/>
          <w:sz w:val="22"/>
        </w:rPr>
      </w:pPr>
      <w:hyperlink w:anchor="_Toc256000126" w:history="1">
        <w:r>
          <w:rPr>
            <w:rStyle w:val="Hyperlink"/>
          </w:rPr>
          <w:t>8.2.9.</w:t>
        </w:r>
        <w:r>
          <w:rPr>
            <w:rStyle w:val="Hyperlink"/>
          </w:rPr>
          <w:t xml:space="preserve"> </w:t>
        </w:r>
        <w:r>
          <w:rPr>
            <w:rStyle w:val="Hyperlink"/>
          </w:rPr>
          <w:t>M10 — Агроекология и климат (член 28)</w:t>
        </w:r>
        <w:r>
          <w:tab/>
        </w:r>
        <w:r>
          <w:fldChar w:fldCharType="begin"/>
        </w:r>
        <w:r>
          <w:instrText xml:space="preserve"> PAGEREF _Toc256000126 \h </w:instrText>
        </w:r>
        <w:r>
          <w:fldChar w:fldCharType="separate"/>
        </w:r>
        <w:r>
          <w:t>503</w:t>
        </w:r>
        <w:r>
          <w:fldChar w:fldCharType="end"/>
        </w:r>
      </w:hyperlink>
    </w:p>
    <w:p>
      <w:pPr>
        <w:pStyle w:val="TOC3"/>
        <w:rPr>
          <w:rFonts w:asciiTheme="minorHAnsi" w:hAnsiTheme="minorHAnsi"/>
          <w:noProof/>
          <w:sz w:val="22"/>
        </w:rPr>
      </w:pPr>
      <w:hyperlink w:anchor="_Toc256000127" w:history="1">
        <w:r>
          <w:rPr>
            <w:rStyle w:val="Hyperlink"/>
          </w:rPr>
          <w:t>8.2.10.</w:t>
        </w:r>
        <w:r>
          <w:rPr>
            <w:rStyle w:val="Hyperlink"/>
          </w:rPr>
          <w:t xml:space="preserve"> </w:t>
        </w:r>
        <w:r>
          <w:rPr>
            <w:rStyle w:val="Hyperlink"/>
          </w:rPr>
          <w:t>М11 — Биологично земеделие (член 29)</w:t>
        </w:r>
        <w:r>
          <w:tab/>
        </w:r>
        <w:r>
          <w:fldChar w:fldCharType="begin"/>
        </w:r>
        <w:r>
          <w:instrText xml:space="preserve"> PAGEREF _Toc256000127 \h </w:instrText>
        </w:r>
        <w:r>
          <w:fldChar w:fldCharType="separate"/>
        </w:r>
        <w:r>
          <w:t>553</w:t>
        </w:r>
        <w:r>
          <w:fldChar w:fldCharType="end"/>
        </w:r>
      </w:hyperlink>
    </w:p>
    <w:p>
      <w:pPr>
        <w:pStyle w:val="TOC3"/>
        <w:rPr>
          <w:rFonts w:asciiTheme="minorHAnsi" w:hAnsiTheme="minorHAnsi"/>
          <w:noProof/>
          <w:sz w:val="22"/>
        </w:rPr>
      </w:pPr>
      <w:hyperlink w:anchor="_Toc256000128" w:history="1">
        <w:r>
          <w:rPr>
            <w:rStyle w:val="Hyperlink"/>
          </w:rPr>
          <w:t>8.2.11.</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_Toc256000128 \h </w:instrText>
        </w:r>
        <w:r>
          <w:fldChar w:fldCharType="separate"/>
        </w:r>
        <w:r>
          <w:t>582</w:t>
        </w:r>
        <w:r>
          <w:fldChar w:fldCharType="end"/>
        </w:r>
      </w:hyperlink>
    </w:p>
    <w:p>
      <w:pPr>
        <w:pStyle w:val="TOC3"/>
        <w:rPr>
          <w:rFonts w:asciiTheme="minorHAnsi" w:hAnsiTheme="minorHAnsi"/>
          <w:noProof/>
          <w:sz w:val="22"/>
        </w:rPr>
      </w:pPr>
      <w:hyperlink w:anchor="_Toc256000129" w:history="1">
        <w:r>
          <w:rPr>
            <w:rStyle w:val="Hyperlink"/>
          </w:rPr>
          <w:t>8.2.12.</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_Toc256000129 \h </w:instrText>
        </w:r>
        <w:r>
          <w:fldChar w:fldCharType="separate"/>
        </w:r>
        <w:r>
          <w:t>602</w:t>
        </w:r>
        <w:r>
          <w:fldChar w:fldCharType="end"/>
        </w:r>
      </w:hyperlink>
    </w:p>
    <w:p>
      <w:pPr>
        <w:pStyle w:val="TOC3"/>
        <w:rPr>
          <w:rFonts w:asciiTheme="minorHAnsi" w:hAnsiTheme="minorHAnsi"/>
          <w:noProof/>
          <w:sz w:val="22"/>
        </w:rPr>
      </w:pPr>
      <w:hyperlink w:anchor="_Toc256000130" w:history="1">
        <w:r>
          <w:rPr>
            <w:rStyle w:val="Hyperlink"/>
          </w:rPr>
          <w:t>8.2.13.</w:t>
        </w:r>
        <w:r>
          <w:rPr>
            <w:rStyle w:val="Hyperlink"/>
          </w:rPr>
          <w:t xml:space="preserve"> </w:t>
        </w:r>
        <w:r>
          <w:rPr>
            <w:rStyle w:val="Hyperlink"/>
          </w:rPr>
          <w:t>M14 — Хуманно отношение към животните (член 33)</w:t>
        </w:r>
        <w:r>
          <w:tab/>
        </w:r>
        <w:r>
          <w:fldChar w:fldCharType="begin"/>
        </w:r>
        <w:r>
          <w:instrText xml:space="preserve"> PAGEREF _Toc256000130 \h </w:instrText>
        </w:r>
        <w:r>
          <w:fldChar w:fldCharType="separate"/>
        </w:r>
        <w:r>
          <w:t>626</w:t>
        </w:r>
        <w:r>
          <w:fldChar w:fldCharType="end"/>
        </w:r>
      </w:hyperlink>
    </w:p>
    <w:p>
      <w:pPr>
        <w:pStyle w:val="TOC3"/>
        <w:rPr>
          <w:rFonts w:asciiTheme="minorHAnsi" w:hAnsiTheme="minorHAnsi"/>
          <w:noProof/>
          <w:sz w:val="22"/>
        </w:rPr>
      </w:pPr>
      <w:hyperlink w:anchor="_Toc256000131" w:history="1">
        <w:r>
          <w:rPr>
            <w:rStyle w:val="Hyperlink"/>
          </w:rPr>
          <w:t>8.2.14.</w:t>
        </w:r>
        <w:r>
          <w:rPr>
            <w:rStyle w:val="Hyperlink"/>
          </w:rPr>
          <w:t xml:space="preserve"> </w:t>
        </w:r>
        <w:r>
          <w:rPr>
            <w:rStyle w:val="Hyperlink"/>
          </w:rPr>
          <w:t>M16 — Сътрудничество (член 35)</w:t>
        </w:r>
        <w:r>
          <w:tab/>
        </w:r>
        <w:r>
          <w:fldChar w:fldCharType="begin"/>
        </w:r>
        <w:r>
          <w:instrText xml:space="preserve"> PAGEREF _Toc256000131 \h </w:instrText>
        </w:r>
        <w:r>
          <w:fldChar w:fldCharType="separate"/>
        </w:r>
        <w:r>
          <w:t>642</w:t>
        </w:r>
        <w:r>
          <w:fldChar w:fldCharType="end"/>
        </w:r>
      </w:hyperlink>
    </w:p>
    <w:p>
      <w:pPr>
        <w:pStyle w:val="TOC3"/>
        <w:rPr>
          <w:rFonts w:asciiTheme="minorHAnsi" w:hAnsiTheme="minorHAnsi"/>
          <w:noProof/>
          <w:sz w:val="22"/>
        </w:rPr>
      </w:pPr>
      <w:hyperlink w:anchor="_Toc256000132" w:history="1">
        <w:r>
          <w:rPr>
            <w:rStyle w:val="Hyperlink"/>
          </w:rPr>
          <w:t>8.2.15.</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_Toc256000132 \h </w:instrText>
        </w:r>
        <w:r>
          <w:fldChar w:fldCharType="separate"/>
        </w:r>
        <w:r>
          <w:t>665</w:t>
        </w:r>
        <w:r>
          <w:fldChar w:fldCharType="end"/>
        </w:r>
      </w:hyperlink>
    </w:p>
    <w:p>
      <w:pPr>
        <w:pStyle w:val="TOC3"/>
        <w:rPr>
          <w:rFonts w:asciiTheme="minorHAnsi" w:hAnsiTheme="minorHAnsi"/>
          <w:noProof/>
          <w:sz w:val="22"/>
        </w:rPr>
      </w:pPr>
      <w:hyperlink w:anchor="_Toc256000133" w:history="1">
        <w:r>
          <w:rPr>
            <w:rStyle w:val="Hyperlink"/>
          </w:rPr>
          <w:t>8.2.16.</w:t>
        </w:r>
        <w:r>
          <w:rPr>
            <w:rStyle w:val="Hyperlink"/>
          </w:rPr>
          <w:t xml:space="preserve"> </w:t>
        </w:r>
        <w:r>
          <w:rPr>
            <w:rStyle w:val="Hyperlink"/>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r>
          <w:tab/>
        </w:r>
        <w:r>
          <w:fldChar w:fldCharType="begin"/>
        </w:r>
        <w:r>
          <w:instrText xml:space="preserve"> PAGEREF _Toc256000133 \h </w:instrText>
        </w:r>
        <w:r>
          <w:fldChar w:fldCharType="separate"/>
        </w:r>
        <w:r>
          <w:t>708</w:t>
        </w:r>
        <w:r>
          <w:fldChar w:fldCharType="end"/>
        </w:r>
      </w:hyperlink>
    </w:p>
    <w:p>
      <w:pPr>
        <w:pStyle w:val="TOC3"/>
        <w:rPr>
          <w:rFonts w:asciiTheme="minorHAnsi" w:hAnsiTheme="minorHAnsi"/>
          <w:noProof/>
          <w:sz w:val="22"/>
        </w:rPr>
      </w:pPr>
      <w:hyperlink w:anchor="_Toc256000134" w:history="1">
        <w:r>
          <w:rPr>
            <w:rStyle w:val="Hyperlink"/>
          </w:rPr>
          <w:t>8.2.17.</w:t>
        </w:r>
        <w:r>
          <w:rPr>
            <w:rStyle w:val="Hyperlink"/>
          </w:rPr>
          <w:t xml:space="preserve"> </w:t>
        </w:r>
        <w:r>
          <w:rPr>
            <w:rStyle w:val="Hyperlink"/>
          </w:rPr>
          <w:t>M22 — Извънредно временно подпомагане за земеделските стопани и МСП, които са особено засегнати от последиците от руското нашествие в Украйна (член 39в)</w:t>
        </w:r>
        <w:r>
          <w:tab/>
        </w:r>
        <w:r>
          <w:fldChar w:fldCharType="begin"/>
        </w:r>
        <w:r>
          <w:instrText xml:space="preserve"> PAGEREF _Toc256000134 \h </w:instrText>
        </w:r>
        <w:r>
          <w:fldChar w:fldCharType="separate"/>
        </w:r>
        <w:r>
          <w:t>740</w:t>
        </w:r>
        <w:r>
          <w:fldChar w:fldCharType="end"/>
        </w:r>
      </w:hyperlink>
    </w:p>
    <w:p>
      <w:pPr>
        <w:pStyle w:val="TOC1"/>
        <w:rPr>
          <w:rFonts w:asciiTheme="minorHAnsi" w:hAnsiTheme="minorHAnsi"/>
          <w:noProof/>
          <w:sz w:val="22"/>
        </w:rPr>
      </w:pPr>
      <w:hyperlink w:anchor="_Toc256000135" w:history="1">
        <w:r>
          <w:rPr>
            <w:rStyle w:val="Hyperlink"/>
          </w:rPr>
          <w:t>9.</w:t>
        </w:r>
        <w:r>
          <w:rPr>
            <w:rStyle w:val="Hyperlink"/>
          </w:rPr>
          <w:t xml:space="preserve"> </w:t>
        </w:r>
        <w:r>
          <w:rPr>
            <w:rStyle w:val="Hyperlink"/>
          </w:rPr>
          <w:t>План за оценка</w:t>
        </w:r>
        <w:r>
          <w:tab/>
        </w:r>
        <w:r>
          <w:fldChar w:fldCharType="begin"/>
        </w:r>
        <w:r>
          <w:instrText xml:space="preserve"> PAGEREF _Toc256000135 \h </w:instrText>
        </w:r>
        <w:r>
          <w:fldChar w:fldCharType="separate"/>
        </w:r>
        <w:r>
          <w:t>760</w:t>
        </w:r>
        <w:r>
          <w:fldChar w:fldCharType="end"/>
        </w:r>
      </w:hyperlink>
    </w:p>
    <w:p>
      <w:pPr>
        <w:pStyle w:val="TOC2"/>
        <w:rPr>
          <w:rFonts w:asciiTheme="minorHAnsi" w:hAnsiTheme="minorHAnsi"/>
          <w:noProof/>
          <w:sz w:val="22"/>
        </w:rPr>
      </w:pPr>
      <w:hyperlink w:anchor="_Toc256000136" w:history="1">
        <w:r>
          <w:rPr>
            <w:rStyle w:val="Hyperlink"/>
          </w:rPr>
          <w:t>9.1.</w:t>
        </w:r>
        <w:r>
          <w:rPr>
            <w:rStyle w:val="Hyperlink"/>
          </w:rPr>
          <w:t xml:space="preserve"> </w:t>
        </w:r>
        <w:r>
          <w:rPr>
            <w:rStyle w:val="Hyperlink"/>
          </w:rPr>
          <w:t>Цели и задачи</w:t>
        </w:r>
        <w:r>
          <w:tab/>
        </w:r>
        <w:r>
          <w:fldChar w:fldCharType="begin"/>
        </w:r>
        <w:r>
          <w:instrText xml:space="preserve"> PAGEREF _Toc256000136 \h </w:instrText>
        </w:r>
        <w:r>
          <w:fldChar w:fldCharType="separate"/>
        </w:r>
        <w:r>
          <w:t>760</w:t>
        </w:r>
        <w:r>
          <w:fldChar w:fldCharType="end"/>
        </w:r>
      </w:hyperlink>
    </w:p>
    <w:p>
      <w:pPr>
        <w:pStyle w:val="TOC2"/>
        <w:rPr>
          <w:rFonts w:asciiTheme="minorHAnsi" w:hAnsiTheme="minorHAnsi"/>
          <w:noProof/>
          <w:sz w:val="22"/>
        </w:rPr>
      </w:pPr>
      <w:hyperlink w:anchor="_Toc256000137" w:history="1">
        <w:r>
          <w:rPr>
            <w:rStyle w:val="Hyperlink"/>
          </w:rPr>
          <w:t>9.2.</w:t>
        </w:r>
        <w:r>
          <w:rPr>
            <w:rStyle w:val="Hyperlink"/>
          </w:rPr>
          <w:t xml:space="preserve"> </w:t>
        </w:r>
        <w:r>
          <w:rPr>
            <w:rStyle w:val="Hyperlink"/>
          </w:rPr>
          <w:t>Управление и координация</w:t>
        </w:r>
        <w:r>
          <w:tab/>
        </w:r>
        <w:r>
          <w:fldChar w:fldCharType="begin"/>
        </w:r>
        <w:r>
          <w:instrText xml:space="preserve"> PAGEREF _Toc256000137 \h </w:instrText>
        </w:r>
        <w:r>
          <w:fldChar w:fldCharType="separate"/>
        </w:r>
        <w:r>
          <w:t>761</w:t>
        </w:r>
        <w:r>
          <w:fldChar w:fldCharType="end"/>
        </w:r>
      </w:hyperlink>
    </w:p>
    <w:p>
      <w:pPr>
        <w:pStyle w:val="TOC2"/>
        <w:rPr>
          <w:rFonts w:asciiTheme="minorHAnsi" w:hAnsiTheme="minorHAnsi"/>
          <w:noProof/>
          <w:sz w:val="22"/>
        </w:rPr>
      </w:pPr>
      <w:hyperlink w:anchor="_Toc256000138" w:history="1">
        <w:r>
          <w:rPr>
            <w:rStyle w:val="Hyperlink"/>
          </w:rPr>
          <w:t>9.3.</w:t>
        </w:r>
        <w:r>
          <w:rPr>
            <w:rStyle w:val="Hyperlink"/>
          </w:rPr>
          <w:t xml:space="preserve"> </w:t>
        </w:r>
        <w:r>
          <w:rPr>
            <w:rStyle w:val="Hyperlink"/>
          </w:rPr>
          <w:t>Предмет на оценката и дейности</w:t>
        </w:r>
        <w:r>
          <w:tab/>
        </w:r>
        <w:r>
          <w:fldChar w:fldCharType="begin"/>
        </w:r>
        <w:r>
          <w:instrText xml:space="preserve"> PAGEREF _Toc256000138 \h </w:instrText>
        </w:r>
        <w:r>
          <w:fldChar w:fldCharType="separate"/>
        </w:r>
        <w:r>
          <w:t>763</w:t>
        </w:r>
        <w:r>
          <w:fldChar w:fldCharType="end"/>
        </w:r>
      </w:hyperlink>
    </w:p>
    <w:p>
      <w:pPr>
        <w:pStyle w:val="TOC2"/>
        <w:rPr>
          <w:rFonts w:asciiTheme="minorHAnsi" w:hAnsiTheme="minorHAnsi"/>
          <w:noProof/>
          <w:sz w:val="22"/>
        </w:rPr>
      </w:pPr>
      <w:hyperlink w:anchor="_Toc256000139" w:history="1">
        <w:r>
          <w:rPr>
            <w:rStyle w:val="Hyperlink"/>
          </w:rPr>
          <w:t>9.4.</w:t>
        </w:r>
        <w:r>
          <w:rPr>
            <w:rStyle w:val="Hyperlink"/>
          </w:rPr>
          <w:t xml:space="preserve"> </w:t>
        </w:r>
        <w:r>
          <w:rPr>
            <w:rStyle w:val="Hyperlink"/>
          </w:rPr>
          <w:t>Данни и информация</w:t>
        </w:r>
        <w:r>
          <w:tab/>
        </w:r>
        <w:r>
          <w:fldChar w:fldCharType="begin"/>
        </w:r>
        <w:r>
          <w:instrText xml:space="preserve"> PAGEREF _Toc256000139 \h </w:instrText>
        </w:r>
        <w:r>
          <w:fldChar w:fldCharType="separate"/>
        </w:r>
        <w:r>
          <w:t>767</w:t>
        </w:r>
        <w:r>
          <w:fldChar w:fldCharType="end"/>
        </w:r>
      </w:hyperlink>
    </w:p>
    <w:p>
      <w:pPr>
        <w:pStyle w:val="TOC2"/>
        <w:rPr>
          <w:rFonts w:asciiTheme="minorHAnsi" w:hAnsiTheme="minorHAnsi"/>
          <w:noProof/>
          <w:sz w:val="22"/>
        </w:rPr>
      </w:pPr>
      <w:hyperlink w:anchor="_Toc256000140" w:history="1">
        <w:r>
          <w:rPr>
            <w:rStyle w:val="Hyperlink"/>
          </w:rPr>
          <w:t>9.5.</w:t>
        </w:r>
        <w:r>
          <w:rPr>
            <w:rStyle w:val="Hyperlink"/>
          </w:rPr>
          <w:t xml:space="preserve"> </w:t>
        </w:r>
        <w:r>
          <w:rPr>
            <w:rStyle w:val="Hyperlink"/>
          </w:rPr>
          <w:t>График</w:t>
        </w:r>
        <w:r>
          <w:tab/>
        </w:r>
        <w:r>
          <w:fldChar w:fldCharType="begin"/>
        </w:r>
        <w:r>
          <w:instrText xml:space="preserve"> PAGEREF _Toc256000140 \h </w:instrText>
        </w:r>
        <w:r>
          <w:fldChar w:fldCharType="separate"/>
        </w:r>
        <w:r>
          <w:t>769</w:t>
        </w:r>
        <w:r>
          <w:fldChar w:fldCharType="end"/>
        </w:r>
      </w:hyperlink>
    </w:p>
    <w:p>
      <w:pPr>
        <w:pStyle w:val="TOC2"/>
        <w:rPr>
          <w:rFonts w:asciiTheme="minorHAnsi" w:hAnsiTheme="minorHAnsi"/>
          <w:noProof/>
          <w:sz w:val="22"/>
        </w:rPr>
      </w:pPr>
      <w:hyperlink w:anchor="_Toc256000141" w:history="1">
        <w:r>
          <w:rPr>
            <w:rStyle w:val="Hyperlink"/>
          </w:rPr>
          <w:t>9.6.</w:t>
        </w:r>
        <w:r>
          <w:rPr>
            <w:rStyle w:val="Hyperlink"/>
          </w:rPr>
          <w:t xml:space="preserve"> </w:t>
        </w:r>
        <w:r>
          <w:rPr>
            <w:rStyle w:val="Hyperlink"/>
          </w:rPr>
          <w:t>Комуникация</w:t>
        </w:r>
        <w:r>
          <w:tab/>
        </w:r>
        <w:r>
          <w:fldChar w:fldCharType="begin"/>
        </w:r>
        <w:r>
          <w:instrText xml:space="preserve"> PAGEREF _Toc256000141 \h </w:instrText>
        </w:r>
        <w:r>
          <w:fldChar w:fldCharType="separate"/>
        </w:r>
        <w:r>
          <w:t>770</w:t>
        </w:r>
        <w:r>
          <w:fldChar w:fldCharType="end"/>
        </w:r>
      </w:hyperlink>
    </w:p>
    <w:p>
      <w:pPr>
        <w:pStyle w:val="TOC2"/>
        <w:rPr>
          <w:rFonts w:asciiTheme="minorHAnsi" w:hAnsiTheme="minorHAnsi"/>
          <w:noProof/>
          <w:sz w:val="22"/>
        </w:rPr>
      </w:pPr>
      <w:hyperlink w:anchor="_Toc256000142" w:history="1">
        <w:r>
          <w:rPr>
            <w:rStyle w:val="Hyperlink"/>
          </w:rPr>
          <w:t>9.7.</w:t>
        </w:r>
        <w:r>
          <w:rPr>
            <w:rStyle w:val="Hyperlink"/>
          </w:rPr>
          <w:t xml:space="preserve"> </w:t>
        </w:r>
        <w:r>
          <w:rPr>
            <w:rStyle w:val="Hyperlink"/>
          </w:rPr>
          <w:t>Ресурси</w:t>
        </w:r>
        <w:r>
          <w:tab/>
        </w:r>
        <w:r>
          <w:fldChar w:fldCharType="begin"/>
        </w:r>
        <w:r>
          <w:instrText xml:space="preserve"> PAGEREF _Toc256000142 \h </w:instrText>
        </w:r>
        <w:r>
          <w:fldChar w:fldCharType="separate"/>
        </w:r>
        <w:r>
          <w:t>771</w:t>
        </w:r>
        <w:r>
          <w:fldChar w:fldCharType="end"/>
        </w:r>
      </w:hyperlink>
    </w:p>
    <w:p>
      <w:pPr>
        <w:pStyle w:val="TOC1"/>
        <w:rPr>
          <w:rFonts w:asciiTheme="minorHAnsi" w:hAnsiTheme="minorHAnsi"/>
          <w:noProof/>
          <w:sz w:val="22"/>
        </w:rPr>
      </w:pPr>
      <w:hyperlink w:anchor="_Toc256000143" w:history="1">
        <w:r>
          <w:rPr>
            <w:rStyle w:val="Hyperlink"/>
          </w:rPr>
          <w:t>10.</w:t>
        </w:r>
        <w:r>
          <w:rPr>
            <w:rStyle w:val="Hyperlink"/>
          </w:rPr>
          <w:t xml:space="preserve"> </w:t>
        </w:r>
        <w:r>
          <w:rPr>
            <w:rStyle w:val="Hyperlink"/>
          </w:rPr>
          <w:t>Финансов план</w:t>
        </w:r>
        <w:r>
          <w:tab/>
        </w:r>
        <w:r>
          <w:fldChar w:fldCharType="begin"/>
        </w:r>
        <w:r>
          <w:instrText xml:space="preserve"> PAGEREF _Toc256000143 \h </w:instrText>
        </w:r>
        <w:r>
          <w:fldChar w:fldCharType="separate"/>
        </w:r>
        <w:r>
          <w:t>773</w:t>
        </w:r>
        <w:r>
          <w:fldChar w:fldCharType="end"/>
        </w:r>
      </w:hyperlink>
    </w:p>
    <w:p>
      <w:pPr>
        <w:pStyle w:val="TOC2"/>
        <w:rPr>
          <w:rFonts w:asciiTheme="minorHAnsi" w:hAnsiTheme="minorHAnsi"/>
          <w:noProof/>
          <w:sz w:val="22"/>
        </w:rPr>
      </w:pPr>
      <w:hyperlink w:anchor="_Toc256000144" w:history="1">
        <w:r>
          <w:rPr>
            <w:rStyle w:val="Hyperlink"/>
          </w:rPr>
          <w:t>10.1.</w:t>
        </w:r>
        <w:r>
          <w:rPr>
            <w:rStyle w:val="Hyperlink"/>
          </w:rPr>
          <w:t xml:space="preserve"> </w:t>
        </w:r>
        <w:r>
          <w:rPr>
            <w:rStyle w:val="Hyperlink"/>
          </w:rPr>
          <w:t>Годишно участие на ЕЗФРСР в (в евро)</w:t>
        </w:r>
        <w:r>
          <w:tab/>
        </w:r>
        <w:r>
          <w:fldChar w:fldCharType="begin"/>
        </w:r>
        <w:r>
          <w:instrText xml:space="preserve"> PAGEREF _Toc256000144 \h </w:instrText>
        </w:r>
        <w:r>
          <w:fldChar w:fldCharType="separate"/>
        </w:r>
        <w:r>
          <w:t>773</w:t>
        </w:r>
        <w:r>
          <w:fldChar w:fldCharType="end"/>
        </w:r>
      </w:hyperlink>
    </w:p>
    <w:p>
      <w:pPr>
        <w:pStyle w:val="TOC2"/>
        <w:rPr>
          <w:rFonts w:asciiTheme="minorHAnsi" w:hAnsiTheme="minorHAnsi"/>
          <w:noProof/>
          <w:sz w:val="22"/>
        </w:rPr>
      </w:pPr>
      <w:hyperlink w:anchor="_Toc256000145" w:history="1">
        <w:r>
          <w:rPr>
            <w:rStyle w:val="Hyperlink"/>
          </w:rPr>
          <w:t>10.2.</w:t>
        </w:r>
        <w:r>
          <w:rPr>
            <w:rStyle w:val="Hyperlink"/>
          </w:rPr>
          <w:t xml:space="preserve"> </w:t>
        </w:r>
        <w:r>
          <w:rPr>
            <w:rStyle w:val="Hyperlink"/>
          </w:rPr>
          <w:t>Единно процентно участие на ЕЗФРСР за всички мерки с разбивка по вид регион, съгласно посоченото в член 59, параграф 3 от Регламент (ЕС) № 1305/2013</w:t>
        </w:r>
        <w:r>
          <w:tab/>
        </w:r>
        <w:r>
          <w:fldChar w:fldCharType="begin"/>
        </w:r>
        <w:r>
          <w:instrText xml:space="preserve"> PAGEREF _Toc256000145 \h </w:instrText>
        </w:r>
        <w:r>
          <w:fldChar w:fldCharType="separate"/>
        </w:r>
        <w:r>
          <w:t>775</w:t>
        </w:r>
        <w:r>
          <w:fldChar w:fldCharType="end"/>
        </w:r>
      </w:hyperlink>
    </w:p>
    <w:p>
      <w:pPr>
        <w:pStyle w:val="TOC2"/>
        <w:rPr>
          <w:rFonts w:asciiTheme="minorHAnsi" w:hAnsiTheme="minorHAnsi"/>
          <w:noProof/>
          <w:sz w:val="22"/>
        </w:rPr>
      </w:pPr>
      <w:hyperlink w:anchor="_Toc256000146" w:history="1">
        <w:r>
          <w:rPr>
            <w:rStyle w:val="Hyperlink"/>
          </w:rPr>
          <w:t>10.3.</w:t>
        </w:r>
        <w:r>
          <w:rPr>
            <w:rStyle w:val="Hyperlink"/>
          </w:rPr>
          <w:t xml:space="preserve"> </w:t>
        </w:r>
        <w:r>
          <w:rPr>
            <w:rStyle w:val="Hyperlink"/>
          </w:rPr>
          <w:t>Разпределение по мярка или вид операция, с конкретния размер на процентното участие на ЕЗФРСР (в евро за целия период 2014—2022 г.)</w:t>
        </w:r>
        <w:r>
          <w:tab/>
        </w:r>
        <w:r>
          <w:fldChar w:fldCharType="begin"/>
        </w:r>
        <w:r>
          <w:instrText xml:space="preserve"> PAGEREF _Toc256000146 \h </w:instrText>
        </w:r>
        <w:r>
          <w:fldChar w:fldCharType="separate"/>
        </w:r>
        <w:r>
          <w:t>776</w:t>
        </w:r>
        <w:r>
          <w:fldChar w:fldCharType="end"/>
        </w:r>
      </w:hyperlink>
    </w:p>
    <w:p>
      <w:pPr>
        <w:pStyle w:val="TOC3"/>
        <w:rPr>
          <w:rFonts w:asciiTheme="minorHAnsi" w:hAnsiTheme="minorHAnsi"/>
          <w:noProof/>
          <w:sz w:val="22"/>
        </w:rPr>
      </w:pPr>
      <w:hyperlink w:anchor="_Toc256000147" w:history="1">
        <w:r>
          <w:rPr>
            <w:rStyle w:val="Hyperlink"/>
          </w:rPr>
          <w:t>10.3.1.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_Toc256000147 \h </w:instrText>
        </w:r>
        <w:r>
          <w:fldChar w:fldCharType="separate"/>
        </w:r>
        <w:r>
          <w:t>776</w:t>
        </w:r>
        <w:r>
          <w:fldChar w:fldCharType="end"/>
        </w:r>
      </w:hyperlink>
    </w:p>
    <w:p>
      <w:pPr>
        <w:pStyle w:val="TOC3"/>
        <w:rPr>
          <w:rFonts w:asciiTheme="minorHAnsi" w:hAnsiTheme="minorHAnsi"/>
          <w:noProof/>
          <w:sz w:val="22"/>
        </w:rPr>
      </w:pPr>
      <w:hyperlink w:anchor="_Toc256000148" w:history="1">
        <w:r>
          <w:rPr>
            <w:rStyle w:val="Hyperlink"/>
          </w:rPr>
          <w:t>10.3.2.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_Toc256000148 \h </w:instrText>
        </w:r>
        <w:r>
          <w:fldChar w:fldCharType="separate"/>
        </w:r>
        <w:r>
          <w:t>778</w:t>
        </w:r>
        <w:r>
          <w:fldChar w:fldCharType="end"/>
        </w:r>
      </w:hyperlink>
    </w:p>
    <w:p>
      <w:pPr>
        <w:pStyle w:val="TOC3"/>
        <w:rPr>
          <w:rFonts w:asciiTheme="minorHAnsi" w:hAnsiTheme="minorHAnsi"/>
          <w:noProof/>
          <w:sz w:val="22"/>
        </w:rPr>
      </w:pPr>
      <w:hyperlink w:anchor="_Toc256000149" w:history="1">
        <w:r>
          <w:rPr>
            <w:rStyle w:val="Hyperlink"/>
          </w:rPr>
          <w:t>10.3.3.</w:t>
        </w:r>
        <w:r>
          <w:rPr>
            <w:rStyle w:val="Hyperlink"/>
          </w:rPr>
          <w:t xml:space="preserve"> </w:t>
        </w:r>
        <w:r>
          <w:rPr>
            <w:rStyle w:val="Hyperlink"/>
          </w:rPr>
          <w:t>M04 — Инвестиции в материални активи (член 17)</w:t>
        </w:r>
        <w:r>
          <w:tab/>
        </w:r>
        <w:r>
          <w:fldChar w:fldCharType="begin"/>
        </w:r>
        <w:r>
          <w:instrText xml:space="preserve"> PAGEREF _Toc256000149 \h </w:instrText>
        </w:r>
        <w:r>
          <w:fldChar w:fldCharType="separate"/>
        </w:r>
        <w:r>
          <w:t>780</w:t>
        </w:r>
        <w:r>
          <w:fldChar w:fldCharType="end"/>
        </w:r>
      </w:hyperlink>
    </w:p>
    <w:p>
      <w:pPr>
        <w:pStyle w:val="TOC3"/>
        <w:rPr>
          <w:rFonts w:asciiTheme="minorHAnsi" w:hAnsiTheme="minorHAnsi"/>
          <w:noProof/>
          <w:sz w:val="22"/>
        </w:rPr>
      </w:pPr>
      <w:hyperlink w:anchor="_Toc256000150" w:history="1">
        <w:r>
          <w:rPr>
            <w:rStyle w:val="Hyperlink"/>
          </w:rPr>
          <w:t>10.3.4.</w:t>
        </w:r>
        <w:r>
          <w:rPr>
            <w:rStyle w:val="Hyperlink"/>
          </w:rPr>
          <w:t xml:space="preserve"> </w:t>
        </w:r>
        <w:r>
          <w:rPr>
            <w:rStyle w:val="Hyperlink"/>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r>
          <w:tab/>
        </w:r>
        <w:r>
          <w:fldChar w:fldCharType="begin"/>
        </w:r>
        <w:r>
          <w:instrText xml:space="preserve"> PAGEREF _Toc256000150 \h </w:instrText>
        </w:r>
        <w:r>
          <w:fldChar w:fldCharType="separate"/>
        </w:r>
        <w:r>
          <w:t>783</w:t>
        </w:r>
        <w:r>
          <w:fldChar w:fldCharType="end"/>
        </w:r>
      </w:hyperlink>
    </w:p>
    <w:p>
      <w:pPr>
        <w:pStyle w:val="TOC3"/>
        <w:rPr>
          <w:rFonts w:asciiTheme="minorHAnsi" w:hAnsiTheme="minorHAnsi"/>
          <w:noProof/>
          <w:sz w:val="22"/>
        </w:rPr>
      </w:pPr>
      <w:hyperlink w:anchor="_Toc256000151" w:history="1">
        <w:r>
          <w:rPr>
            <w:rStyle w:val="Hyperlink"/>
          </w:rPr>
          <w:t>10.3.5.</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_Toc256000151 \h </w:instrText>
        </w:r>
        <w:r>
          <w:fldChar w:fldCharType="separate"/>
        </w:r>
        <w:r>
          <w:t>785</w:t>
        </w:r>
        <w:r>
          <w:fldChar w:fldCharType="end"/>
        </w:r>
      </w:hyperlink>
    </w:p>
    <w:p>
      <w:pPr>
        <w:pStyle w:val="TOC3"/>
        <w:rPr>
          <w:rFonts w:asciiTheme="minorHAnsi" w:hAnsiTheme="minorHAnsi"/>
          <w:noProof/>
          <w:sz w:val="22"/>
        </w:rPr>
      </w:pPr>
      <w:hyperlink w:anchor="_Toc256000152" w:history="1">
        <w:r>
          <w:rPr>
            <w:rStyle w:val="Hyperlink"/>
          </w:rPr>
          <w:t>10.3.6.</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_Toc256000152 \h </w:instrText>
        </w:r>
        <w:r>
          <w:fldChar w:fldCharType="separate"/>
        </w:r>
        <w:r>
          <w:t>787</w:t>
        </w:r>
        <w:r>
          <w:fldChar w:fldCharType="end"/>
        </w:r>
      </w:hyperlink>
    </w:p>
    <w:p>
      <w:pPr>
        <w:pStyle w:val="TOC3"/>
        <w:rPr>
          <w:rFonts w:asciiTheme="minorHAnsi" w:hAnsiTheme="minorHAnsi"/>
          <w:noProof/>
          <w:sz w:val="22"/>
        </w:rPr>
      </w:pPr>
      <w:hyperlink w:anchor="_Toc256000153" w:history="1">
        <w:r>
          <w:rPr>
            <w:rStyle w:val="Hyperlink"/>
          </w:rPr>
          <w:t>10.3.7.</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_Toc256000153 \h </w:instrText>
        </w:r>
        <w:r>
          <w:fldChar w:fldCharType="separate"/>
        </w:r>
        <w:r>
          <w:t>788</w:t>
        </w:r>
        <w:r>
          <w:fldChar w:fldCharType="end"/>
        </w:r>
      </w:hyperlink>
    </w:p>
    <w:p>
      <w:pPr>
        <w:pStyle w:val="TOC3"/>
        <w:rPr>
          <w:rFonts w:asciiTheme="minorHAnsi" w:hAnsiTheme="minorHAnsi"/>
          <w:noProof/>
          <w:sz w:val="22"/>
        </w:rPr>
      </w:pPr>
      <w:hyperlink w:anchor="_Toc256000154" w:history="1">
        <w:r>
          <w:rPr>
            <w:rStyle w:val="Hyperlink"/>
          </w:rPr>
          <w:t>10.3.8.</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_Toc256000154 \h </w:instrText>
        </w:r>
        <w:r>
          <w:fldChar w:fldCharType="separate"/>
        </w:r>
        <w:r>
          <w:t>790</w:t>
        </w:r>
        <w:r>
          <w:fldChar w:fldCharType="end"/>
        </w:r>
      </w:hyperlink>
    </w:p>
    <w:p>
      <w:pPr>
        <w:pStyle w:val="TOC3"/>
        <w:rPr>
          <w:rFonts w:asciiTheme="minorHAnsi" w:hAnsiTheme="minorHAnsi"/>
          <w:noProof/>
          <w:sz w:val="22"/>
        </w:rPr>
      </w:pPr>
      <w:hyperlink w:anchor="_Toc256000155" w:history="1">
        <w:r>
          <w:rPr>
            <w:rStyle w:val="Hyperlink"/>
          </w:rPr>
          <w:t>10.3.9.</w:t>
        </w:r>
        <w:r>
          <w:rPr>
            <w:rStyle w:val="Hyperlink"/>
          </w:rPr>
          <w:t xml:space="preserve"> </w:t>
        </w:r>
        <w:r>
          <w:rPr>
            <w:rStyle w:val="Hyperlink"/>
          </w:rPr>
          <w:t>M10 — Агроекология и климат (член 28)</w:t>
        </w:r>
        <w:r>
          <w:tab/>
        </w:r>
        <w:r>
          <w:fldChar w:fldCharType="begin"/>
        </w:r>
        <w:r>
          <w:instrText xml:space="preserve"> PAGEREF _Toc256000155 \h </w:instrText>
        </w:r>
        <w:r>
          <w:fldChar w:fldCharType="separate"/>
        </w:r>
        <w:r>
          <w:t>792</w:t>
        </w:r>
        <w:r>
          <w:fldChar w:fldCharType="end"/>
        </w:r>
      </w:hyperlink>
    </w:p>
    <w:p>
      <w:pPr>
        <w:pStyle w:val="TOC3"/>
        <w:rPr>
          <w:rFonts w:asciiTheme="minorHAnsi" w:hAnsiTheme="minorHAnsi"/>
          <w:noProof/>
          <w:sz w:val="22"/>
        </w:rPr>
      </w:pPr>
      <w:hyperlink w:anchor="_Toc256000156" w:history="1">
        <w:r>
          <w:rPr>
            <w:rStyle w:val="Hyperlink"/>
          </w:rPr>
          <w:t>10.3.10.</w:t>
        </w:r>
        <w:r>
          <w:rPr>
            <w:rStyle w:val="Hyperlink"/>
          </w:rPr>
          <w:t xml:space="preserve"> </w:t>
        </w:r>
        <w:r>
          <w:rPr>
            <w:rStyle w:val="Hyperlink"/>
          </w:rPr>
          <w:t>М11 — Биологично земеделие (член 29)</w:t>
        </w:r>
        <w:r>
          <w:tab/>
        </w:r>
        <w:r>
          <w:fldChar w:fldCharType="begin"/>
        </w:r>
        <w:r>
          <w:instrText xml:space="preserve"> PAGEREF _Toc256000156 \h </w:instrText>
        </w:r>
        <w:r>
          <w:fldChar w:fldCharType="separate"/>
        </w:r>
        <w:r>
          <w:t>794</w:t>
        </w:r>
        <w:r>
          <w:fldChar w:fldCharType="end"/>
        </w:r>
      </w:hyperlink>
    </w:p>
    <w:p>
      <w:pPr>
        <w:pStyle w:val="TOC3"/>
        <w:rPr>
          <w:rFonts w:asciiTheme="minorHAnsi" w:hAnsiTheme="minorHAnsi"/>
          <w:noProof/>
          <w:sz w:val="22"/>
        </w:rPr>
      </w:pPr>
      <w:hyperlink w:anchor="_Toc256000157" w:history="1">
        <w:r>
          <w:rPr>
            <w:rStyle w:val="Hyperlink"/>
          </w:rPr>
          <w:t>10.3.11.</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_Toc256000157 \h </w:instrText>
        </w:r>
        <w:r>
          <w:fldChar w:fldCharType="separate"/>
        </w:r>
        <w:r>
          <w:t>796</w:t>
        </w:r>
        <w:r>
          <w:fldChar w:fldCharType="end"/>
        </w:r>
      </w:hyperlink>
    </w:p>
    <w:p>
      <w:pPr>
        <w:pStyle w:val="TOC3"/>
        <w:rPr>
          <w:rFonts w:asciiTheme="minorHAnsi" w:hAnsiTheme="minorHAnsi"/>
          <w:noProof/>
          <w:sz w:val="22"/>
        </w:rPr>
      </w:pPr>
      <w:hyperlink w:anchor="_Toc256000158" w:history="1">
        <w:r>
          <w:rPr>
            <w:rStyle w:val="Hyperlink"/>
          </w:rPr>
          <w:t>10.3.12.</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_Toc256000158 \h </w:instrText>
        </w:r>
        <w:r>
          <w:fldChar w:fldCharType="separate"/>
        </w:r>
        <w:r>
          <w:t>798</w:t>
        </w:r>
        <w:r>
          <w:fldChar w:fldCharType="end"/>
        </w:r>
      </w:hyperlink>
    </w:p>
    <w:p>
      <w:pPr>
        <w:pStyle w:val="TOC3"/>
        <w:rPr>
          <w:rFonts w:asciiTheme="minorHAnsi" w:hAnsiTheme="minorHAnsi"/>
          <w:noProof/>
          <w:sz w:val="22"/>
        </w:rPr>
      </w:pPr>
      <w:hyperlink w:anchor="_Toc256000159" w:history="1">
        <w:r>
          <w:rPr>
            <w:rStyle w:val="Hyperlink"/>
          </w:rPr>
          <w:t>10.3.13.</w:t>
        </w:r>
        <w:r>
          <w:rPr>
            <w:rStyle w:val="Hyperlink"/>
          </w:rPr>
          <w:t xml:space="preserve"> </w:t>
        </w:r>
        <w:r>
          <w:rPr>
            <w:rStyle w:val="Hyperlink"/>
          </w:rPr>
          <w:t>M14 — Хуманно отношение към животните (член 33)</w:t>
        </w:r>
        <w:r>
          <w:tab/>
        </w:r>
        <w:r>
          <w:fldChar w:fldCharType="begin"/>
        </w:r>
        <w:r>
          <w:instrText xml:space="preserve"> PAGEREF _Toc256000159 \h </w:instrText>
        </w:r>
        <w:r>
          <w:fldChar w:fldCharType="separate"/>
        </w:r>
        <w:r>
          <w:t>800</w:t>
        </w:r>
        <w:r>
          <w:fldChar w:fldCharType="end"/>
        </w:r>
      </w:hyperlink>
    </w:p>
    <w:p>
      <w:pPr>
        <w:pStyle w:val="TOC3"/>
        <w:rPr>
          <w:rFonts w:asciiTheme="minorHAnsi" w:hAnsiTheme="minorHAnsi"/>
          <w:noProof/>
          <w:sz w:val="22"/>
        </w:rPr>
      </w:pPr>
      <w:hyperlink w:anchor="_Toc256000160" w:history="1">
        <w:r>
          <w:rPr>
            <w:rStyle w:val="Hyperlink"/>
          </w:rPr>
          <w:t>10.3.14.</w:t>
        </w:r>
        <w:r>
          <w:rPr>
            <w:rStyle w:val="Hyperlink"/>
          </w:rPr>
          <w:t xml:space="preserve"> </w:t>
        </w:r>
        <w:r>
          <w:rPr>
            <w:rStyle w:val="Hyperlink"/>
          </w:rPr>
          <w:t>M16 — Сътрудничество (член 35)</w:t>
        </w:r>
        <w:r>
          <w:tab/>
        </w:r>
        <w:r>
          <w:fldChar w:fldCharType="begin"/>
        </w:r>
        <w:r>
          <w:instrText xml:space="preserve"> PAGEREF _Toc256000160 \h </w:instrText>
        </w:r>
        <w:r>
          <w:fldChar w:fldCharType="separate"/>
        </w:r>
        <w:r>
          <w:t>801</w:t>
        </w:r>
        <w:r>
          <w:fldChar w:fldCharType="end"/>
        </w:r>
      </w:hyperlink>
    </w:p>
    <w:p>
      <w:pPr>
        <w:pStyle w:val="TOC3"/>
        <w:rPr>
          <w:rFonts w:asciiTheme="minorHAnsi" w:hAnsiTheme="minorHAnsi"/>
          <w:noProof/>
          <w:sz w:val="22"/>
        </w:rPr>
      </w:pPr>
      <w:hyperlink w:anchor="_Toc256000161" w:history="1">
        <w:r>
          <w:rPr>
            <w:rStyle w:val="Hyperlink"/>
          </w:rPr>
          <w:t>10.3.15.</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_Toc256000161 \h </w:instrText>
        </w:r>
        <w:r>
          <w:fldChar w:fldCharType="separate"/>
        </w:r>
        <w:r>
          <w:t>803</w:t>
        </w:r>
        <w:r>
          <w:fldChar w:fldCharType="end"/>
        </w:r>
      </w:hyperlink>
    </w:p>
    <w:p>
      <w:pPr>
        <w:pStyle w:val="TOC3"/>
        <w:rPr>
          <w:rFonts w:asciiTheme="minorHAnsi" w:hAnsiTheme="minorHAnsi"/>
          <w:noProof/>
          <w:sz w:val="22"/>
        </w:rPr>
      </w:pPr>
      <w:hyperlink w:anchor="_Toc256000162" w:history="1">
        <w:r>
          <w:rPr>
            <w:rStyle w:val="Hyperlink"/>
          </w:rPr>
          <w:t>10.3.16.</w:t>
        </w:r>
        <w:r>
          <w:rPr>
            <w:rStyle w:val="Hyperlink"/>
          </w:rPr>
          <w:t xml:space="preserve"> </w:t>
        </w:r>
        <w:r>
          <w:rPr>
            <w:rStyle w:val="Hyperlink"/>
          </w:rPr>
          <w:t>М20 — Техническа помощ държави членки (членове 51 — 54)</w:t>
        </w:r>
        <w:r>
          <w:tab/>
        </w:r>
        <w:r>
          <w:fldChar w:fldCharType="begin"/>
        </w:r>
        <w:r>
          <w:instrText xml:space="preserve"> PAGEREF _Toc256000162 \h </w:instrText>
        </w:r>
        <w:r>
          <w:fldChar w:fldCharType="separate"/>
        </w:r>
        <w:r>
          <w:t>805</w:t>
        </w:r>
        <w:r>
          <w:fldChar w:fldCharType="end"/>
        </w:r>
      </w:hyperlink>
    </w:p>
    <w:p>
      <w:pPr>
        <w:pStyle w:val="TOC3"/>
        <w:rPr>
          <w:rFonts w:asciiTheme="minorHAnsi" w:hAnsiTheme="minorHAnsi"/>
          <w:noProof/>
          <w:sz w:val="22"/>
        </w:rPr>
      </w:pPr>
      <w:hyperlink w:anchor="_Toc256000163" w:history="1">
        <w:r>
          <w:rPr>
            <w:rStyle w:val="Hyperlink"/>
          </w:rPr>
          <w:t>10.3.17.</w:t>
        </w:r>
        <w:r>
          <w:rPr>
            <w:rStyle w:val="Hyperlink"/>
          </w:rPr>
          <w:t xml:space="preserve"> </w:t>
        </w:r>
        <w:r>
          <w:rPr>
            <w:rStyle w:val="Hyperlink"/>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r>
          <w:tab/>
        </w:r>
        <w:r>
          <w:fldChar w:fldCharType="begin"/>
        </w:r>
        <w:r>
          <w:instrText xml:space="preserve"> PAGEREF _Toc256000163 \h </w:instrText>
        </w:r>
        <w:r>
          <w:fldChar w:fldCharType="separate"/>
        </w:r>
        <w:r>
          <w:t>806</w:t>
        </w:r>
        <w:r>
          <w:fldChar w:fldCharType="end"/>
        </w:r>
      </w:hyperlink>
    </w:p>
    <w:p>
      <w:pPr>
        <w:pStyle w:val="TOC3"/>
        <w:rPr>
          <w:rFonts w:asciiTheme="minorHAnsi" w:hAnsiTheme="minorHAnsi"/>
          <w:noProof/>
          <w:sz w:val="22"/>
        </w:rPr>
      </w:pPr>
      <w:hyperlink w:anchor="_Toc256000164" w:history="1">
        <w:r>
          <w:rPr>
            <w:rStyle w:val="Hyperlink"/>
          </w:rPr>
          <w:t>10.3.18.</w:t>
        </w:r>
        <w:r>
          <w:rPr>
            <w:rStyle w:val="Hyperlink"/>
          </w:rPr>
          <w:t xml:space="preserve"> </w:t>
        </w:r>
        <w:r>
          <w:rPr>
            <w:rStyle w:val="Hyperlink"/>
          </w:rPr>
          <w:t>M22 — Извънредно временно подпомагане за земеделските стопани и МСП, които са особено засегнати от последиците от руското нашествие в Украйна (член 39в)</w:t>
        </w:r>
        <w:r>
          <w:tab/>
        </w:r>
        <w:r>
          <w:fldChar w:fldCharType="begin"/>
        </w:r>
        <w:r>
          <w:instrText xml:space="preserve"> PAGEREF _Toc256000164 \h </w:instrText>
        </w:r>
        <w:r>
          <w:fldChar w:fldCharType="separate"/>
        </w:r>
        <w:r>
          <w:t>807</w:t>
        </w:r>
        <w:r>
          <w:fldChar w:fldCharType="end"/>
        </w:r>
      </w:hyperlink>
    </w:p>
    <w:p>
      <w:pPr>
        <w:pStyle w:val="TOC2"/>
        <w:rPr>
          <w:rFonts w:asciiTheme="minorHAnsi" w:hAnsiTheme="minorHAnsi"/>
          <w:noProof/>
          <w:sz w:val="22"/>
        </w:rPr>
      </w:pPr>
      <w:hyperlink w:anchor="_Toc256000165" w:history="1">
        <w:r>
          <w:rPr>
            <w:rStyle w:val="Hyperlink"/>
          </w:rPr>
          <w:t>10.4.</w:t>
        </w:r>
        <w:r>
          <w:rPr>
            <w:rStyle w:val="Hyperlink"/>
          </w:rPr>
          <w:t xml:space="preserve"> </w:t>
        </w:r>
        <w:r>
          <w:rPr>
            <w:rStyle w:val="Hyperlink"/>
          </w:rPr>
          <w:t>Ориентировъчна разбивка по мярка за всяка подпрограма</w:t>
        </w:r>
        <w:r>
          <w:tab/>
        </w:r>
        <w:r>
          <w:fldChar w:fldCharType="begin"/>
        </w:r>
        <w:r>
          <w:instrText xml:space="preserve"> PAGEREF _Toc256000165 \h </w:instrText>
        </w:r>
        <w:r>
          <w:fldChar w:fldCharType="separate"/>
        </w:r>
        <w:r>
          <w:t>808</w:t>
        </w:r>
        <w:r>
          <w:fldChar w:fldCharType="end"/>
        </w:r>
      </w:hyperlink>
    </w:p>
    <w:p>
      <w:pPr>
        <w:pStyle w:val="TOC1"/>
        <w:rPr>
          <w:rFonts w:asciiTheme="minorHAnsi" w:hAnsiTheme="minorHAnsi"/>
          <w:noProof/>
          <w:sz w:val="22"/>
        </w:rPr>
      </w:pPr>
      <w:hyperlink w:anchor="_Toc256000166" w:history="1">
        <w:r>
          <w:rPr>
            <w:rStyle w:val="Hyperlink"/>
          </w:rPr>
          <w:t>11.</w:t>
        </w:r>
        <w:r>
          <w:rPr>
            <w:rStyle w:val="Hyperlink"/>
          </w:rPr>
          <w:t xml:space="preserve"> </w:t>
        </w:r>
        <w:r>
          <w:rPr>
            <w:rStyle w:val="Hyperlink"/>
          </w:rPr>
          <w:t>План на показателите</w:t>
        </w:r>
        <w:r>
          <w:tab/>
        </w:r>
        <w:r>
          <w:fldChar w:fldCharType="begin"/>
        </w:r>
        <w:r>
          <w:instrText xml:space="preserve"> PAGEREF _Toc256000166 \h </w:instrText>
        </w:r>
        <w:r>
          <w:fldChar w:fldCharType="separate"/>
        </w:r>
        <w:r>
          <w:t>810</w:t>
        </w:r>
        <w:r>
          <w:fldChar w:fldCharType="end"/>
        </w:r>
      </w:hyperlink>
    </w:p>
    <w:p>
      <w:pPr>
        <w:pStyle w:val="TOC2"/>
        <w:rPr>
          <w:rFonts w:asciiTheme="minorHAnsi" w:hAnsiTheme="minorHAnsi"/>
          <w:noProof/>
          <w:sz w:val="22"/>
        </w:rPr>
      </w:pPr>
      <w:hyperlink w:anchor="_Toc256000167" w:history="1">
        <w:r>
          <w:rPr>
            <w:rStyle w:val="Hyperlink"/>
          </w:rPr>
          <w:t>11.1.</w:t>
        </w:r>
        <w:r>
          <w:rPr>
            <w:rStyle w:val="Hyperlink"/>
          </w:rPr>
          <w:t xml:space="preserve"> </w:t>
        </w:r>
        <w:r>
          <w:rPr>
            <w:rStyle w:val="Hyperlink"/>
          </w:rPr>
          <w:t>План на показателите</w:t>
        </w:r>
        <w:r>
          <w:tab/>
        </w:r>
        <w:r>
          <w:fldChar w:fldCharType="begin"/>
        </w:r>
        <w:r>
          <w:instrText xml:space="preserve"> PAGEREF _Toc256000167 \h </w:instrText>
        </w:r>
        <w:r>
          <w:fldChar w:fldCharType="separate"/>
        </w:r>
        <w:r>
          <w:t>810</w:t>
        </w:r>
        <w:r>
          <w:fldChar w:fldCharType="end"/>
        </w:r>
      </w:hyperlink>
    </w:p>
    <w:p>
      <w:pPr>
        <w:pStyle w:val="TOC3"/>
        <w:rPr>
          <w:rFonts w:asciiTheme="minorHAnsi" w:hAnsiTheme="minorHAnsi"/>
          <w:noProof/>
          <w:sz w:val="22"/>
        </w:rPr>
      </w:pPr>
      <w:hyperlink w:anchor="_Toc256000168" w:history="1">
        <w:r>
          <w:rPr>
            <w:rStyle w:val="Hyperlink"/>
          </w:rPr>
          <w:t>11.1.1.</w:t>
        </w:r>
        <w:r>
          <w:rPr>
            <w:rStyle w:val="Hyperlink"/>
          </w:rPr>
          <w:t xml:space="preserve"> </w:t>
        </w:r>
        <w:r>
          <w:rPr>
            <w:rStyle w:val="Hyperlink"/>
          </w:rPr>
          <w:t>P1: Стимулиране на трансфера на знания и иновациите в областта на селското и горското стопанство и селските райони</w:t>
        </w:r>
        <w:r>
          <w:tab/>
        </w:r>
        <w:r>
          <w:fldChar w:fldCharType="begin"/>
        </w:r>
        <w:r>
          <w:instrText xml:space="preserve"> PAGEREF _Toc256000168 \h </w:instrText>
        </w:r>
        <w:r>
          <w:fldChar w:fldCharType="separate"/>
        </w:r>
        <w:r>
          <w:t>810</w:t>
        </w:r>
        <w:r>
          <w:fldChar w:fldCharType="end"/>
        </w:r>
      </w:hyperlink>
    </w:p>
    <w:p>
      <w:pPr>
        <w:pStyle w:val="TOC3"/>
        <w:rPr>
          <w:rFonts w:asciiTheme="minorHAnsi" w:hAnsiTheme="minorHAnsi"/>
          <w:noProof/>
          <w:sz w:val="22"/>
        </w:rPr>
      </w:pPr>
      <w:hyperlink w:anchor="_Toc256000169" w:history="1">
        <w:r>
          <w:rPr>
            <w:rStyle w:val="Hyperlink"/>
          </w:rPr>
          <w:t>11.1.2.</w:t>
        </w:r>
        <w:r>
          <w:rPr>
            <w:rStyle w:val="Hyperlink"/>
          </w:rPr>
          <w:t xml:space="preserve"> </w:t>
        </w:r>
        <w:r>
          <w:rPr>
            <w:rStyle w:val="Hyperlink"/>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r>
          <w:tab/>
        </w:r>
        <w:r>
          <w:fldChar w:fldCharType="begin"/>
        </w:r>
        <w:r>
          <w:instrText xml:space="preserve"> PAGEREF _Toc256000169 \h </w:instrText>
        </w:r>
        <w:r>
          <w:fldChar w:fldCharType="separate"/>
        </w:r>
        <w:r>
          <w:t>813</w:t>
        </w:r>
        <w:r>
          <w:fldChar w:fldCharType="end"/>
        </w:r>
      </w:hyperlink>
    </w:p>
    <w:p>
      <w:pPr>
        <w:pStyle w:val="TOC3"/>
        <w:rPr>
          <w:rFonts w:asciiTheme="minorHAnsi" w:hAnsiTheme="minorHAnsi"/>
          <w:noProof/>
          <w:sz w:val="22"/>
        </w:rPr>
      </w:pPr>
      <w:hyperlink w:anchor="_Toc256000170" w:history="1">
        <w:r>
          <w:rPr>
            <w:rStyle w:val="Hyperlink"/>
          </w:rPr>
          <w:t>11.1.3.</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_Toc256000170 \h </w:instrText>
        </w:r>
        <w:r>
          <w:fldChar w:fldCharType="separate"/>
        </w:r>
        <w:r>
          <w:t>818</w:t>
        </w:r>
        <w:r>
          <w:fldChar w:fldCharType="end"/>
        </w:r>
      </w:hyperlink>
    </w:p>
    <w:p>
      <w:pPr>
        <w:pStyle w:val="TOC3"/>
        <w:rPr>
          <w:rFonts w:asciiTheme="minorHAnsi" w:hAnsiTheme="minorHAnsi"/>
          <w:noProof/>
          <w:sz w:val="22"/>
        </w:rPr>
      </w:pPr>
      <w:hyperlink w:anchor="_Toc256000171" w:history="1">
        <w:r>
          <w:rPr>
            <w:rStyle w:val="Hyperlink"/>
          </w:rPr>
          <w:t>11.1.4.</w:t>
        </w:r>
        <w:r>
          <w:rPr>
            <w:rStyle w:val="Hyperlink"/>
          </w:rPr>
          <w:t xml:space="preserve"> </w:t>
        </w:r>
        <w:r>
          <w:rPr>
            <w:rStyle w:val="Hyperlink"/>
          </w:rPr>
          <w:t>P4: Възстановяване, опазване и укрепване на екосистемите, свързани със селското и горското стопанство</w:t>
        </w:r>
        <w:r>
          <w:tab/>
        </w:r>
        <w:r>
          <w:fldChar w:fldCharType="begin"/>
        </w:r>
        <w:r>
          <w:instrText xml:space="preserve"> PAGEREF _Toc256000171 \h </w:instrText>
        </w:r>
        <w:r>
          <w:fldChar w:fldCharType="separate"/>
        </w:r>
        <w:r>
          <w:t>822</w:t>
        </w:r>
        <w:r>
          <w:fldChar w:fldCharType="end"/>
        </w:r>
      </w:hyperlink>
    </w:p>
    <w:p>
      <w:pPr>
        <w:pStyle w:val="TOC3"/>
        <w:rPr>
          <w:rFonts w:asciiTheme="minorHAnsi" w:hAnsiTheme="minorHAnsi"/>
          <w:noProof/>
          <w:sz w:val="22"/>
        </w:rPr>
      </w:pPr>
      <w:hyperlink w:anchor="_Toc256000172" w:history="1">
        <w:r>
          <w:rPr>
            <w:rStyle w:val="Hyperlink"/>
          </w:rPr>
          <w:t>11.1.5.</w:t>
        </w:r>
        <w:r>
          <w:rPr>
            <w:rStyle w:val="Hyperlink"/>
          </w:rPr>
          <w:t xml:space="preserve"> </w:t>
        </w:r>
        <w:r>
          <w:rPr>
            <w:rStyle w:val="Hyperlink"/>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r>
          <w:tab/>
        </w:r>
        <w:r>
          <w:fldChar w:fldCharType="begin"/>
        </w:r>
        <w:r>
          <w:instrText xml:space="preserve"> PAGEREF _Toc256000172 \h </w:instrText>
        </w:r>
        <w:r>
          <w:fldChar w:fldCharType="separate"/>
        </w:r>
        <w:r>
          <w:t>827</w:t>
        </w:r>
        <w:r>
          <w:fldChar w:fldCharType="end"/>
        </w:r>
      </w:hyperlink>
    </w:p>
    <w:p>
      <w:pPr>
        <w:pStyle w:val="TOC3"/>
        <w:rPr>
          <w:rFonts w:asciiTheme="minorHAnsi" w:hAnsiTheme="minorHAnsi"/>
          <w:noProof/>
          <w:sz w:val="22"/>
        </w:rPr>
      </w:pPr>
      <w:hyperlink w:anchor="_Toc256000173" w:history="1">
        <w:r>
          <w:rPr>
            <w:rStyle w:val="Hyperlink"/>
          </w:rPr>
          <w:t>11.1.6.</w:t>
        </w:r>
        <w:r>
          <w:rPr>
            <w:rStyle w:val="Hyperlink"/>
          </w:rPr>
          <w:t xml:space="preserve"> </w:t>
        </w:r>
        <w:r>
          <w:rPr>
            <w:rStyle w:val="Hyperlink"/>
          </w:rPr>
          <w:t>P6: Насърчаване на социалното приобщаване, намаляването на бедността и икономическото развитие в селските райони</w:t>
        </w:r>
        <w:r>
          <w:tab/>
        </w:r>
        <w:r>
          <w:fldChar w:fldCharType="begin"/>
        </w:r>
        <w:r>
          <w:instrText xml:space="preserve"> PAGEREF _Toc256000173 \h </w:instrText>
        </w:r>
        <w:r>
          <w:fldChar w:fldCharType="separate"/>
        </w:r>
        <w:r>
          <w:t>835</w:t>
        </w:r>
        <w:r>
          <w:fldChar w:fldCharType="end"/>
        </w:r>
      </w:hyperlink>
    </w:p>
    <w:p>
      <w:pPr>
        <w:pStyle w:val="TOC2"/>
        <w:rPr>
          <w:rFonts w:asciiTheme="minorHAnsi" w:hAnsiTheme="minorHAnsi"/>
          <w:noProof/>
          <w:sz w:val="22"/>
        </w:rPr>
      </w:pPr>
      <w:hyperlink w:anchor="_Toc256000174" w:history="1">
        <w:r>
          <w:rPr>
            <w:rStyle w:val="Hyperlink"/>
          </w:rPr>
          <w:t>11.2.</w:t>
        </w:r>
        <w:r>
          <w:rPr>
            <w:rStyle w:val="Hyperlink"/>
          </w:rPr>
          <w:t xml:space="preserve"> </w:t>
        </w:r>
        <w:r>
          <w:rPr>
            <w:rStyle w:val="Hyperlink"/>
          </w:rPr>
          <w:t>Преглед на планираното изпълнение и на планираните разходи по мерки и по области с поставен акцент (генериран автоматично)</w:t>
        </w:r>
        <w:r>
          <w:tab/>
        </w:r>
        <w:r>
          <w:fldChar w:fldCharType="begin"/>
        </w:r>
        <w:r>
          <w:instrText xml:space="preserve"> PAGEREF _Toc256000174 \h </w:instrText>
        </w:r>
        <w:r>
          <w:fldChar w:fldCharType="separate"/>
        </w:r>
        <w:r>
          <w:t>840</w:t>
        </w:r>
        <w:r>
          <w:fldChar w:fldCharType="end"/>
        </w:r>
      </w:hyperlink>
    </w:p>
    <w:p>
      <w:pPr>
        <w:pStyle w:val="TOC2"/>
        <w:rPr>
          <w:rFonts w:asciiTheme="minorHAnsi" w:hAnsiTheme="minorHAnsi"/>
          <w:noProof/>
          <w:sz w:val="22"/>
        </w:rPr>
      </w:pPr>
      <w:hyperlink w:anchor="_Toc256000175" w:history="1">
        <w:r>
          <w:rPr>
            <w:rStyle w:val="Hyperlink"/>
          </w:rPr>
          <w:t>11.3.</w:t>
        </w:r>
        <w:r>
          <w:rPr>
            <w:rStyle w:val="Hyperlink"/>
          </w:rPr>
          <w:t xml:space="preserve"> </w:t>
        </w:r>
        <w:r>
          <w:rPr>
            <w:rStyle w:val="Hyperlink"/>
          </w:rPr>
          <w:t>Вторични въздействия: установяване на потенциалния принос на мерките/подмерките за развитие на селските райони по дадена област с поставен акцент към други области с поставен акцент / цели</w:t>
        </w:r>
        <w:r>
          <w:tab/>
        </w:r>
        <w:r>
          <w:fldChar w:fldCharType="begin"/>
        </w:r>
        <w:r>
          <w:instrText xml:space="preserve"> PAGEREF _Toc256000175 \h </w:instrText>
        </w:r>
        <w:r>
          <w:fldChar w:fldCharType="separate"/>
        </w:r>
        <w:r>
          <w:t>846</w:t>
        </w:r>
        <w:r>
          <w:fldChar w:fldCharType="end"/>
        </w:r>
      </w:hyperlink>
    </w:p>
    <w:p>
      <w:pPr>
        <w:pStyle w:val="TOC2"/>
        <w:rPr>
          <w:rFonts w:asciiTheme="minorHAnsi" w:hAnsiTheme="minorHAnsi"/>
          <w:noProof/>
          <w:sz w:val="22"/>
        </w:rPr>
      </w:pPr>
      <w:hyperlink w:anchor="_Toc256000176" w:history="1">
        <w:r>
          <w:rPr>
            <w:rStyle w:val="Hyperlink"/>
          </w:rPr>
          <w:t>11.4.</w:t>
        </w:r>
        <w:r>
          <w:rPr>
            <w:rStyle w:val="Hyperlink"/>
          </w:rPr>
          <w:t xml:space="preserve"> </w:t>
        </w:r>
        <w:r>
          <w:rPr>
            <w:rStyle w:val="Hyperlink"/>
          </w:rPr>
          <w:t>Помощна таблица, с която да се покаже по какъв начин са програмирани мярката/схемите за околната среда, така че да се постигнат една (или повече) от целите в областта на околната среда/климата</w:t>
        </w:r>
        <w:r>
          <w:tab/>
        </w:r>
        <w:r>
          <w:fldChar w:fldCharType="begin"/>
        </w:r>
        <w:r>
          <w:instrText xml:space="preserve"> PAGEREF _Toc256000176 \h </w:instrText>
        </w:r>
        <w:r>
          <w:fldChar w:fldCharType="separate"/>
        </w:r>
        <w:r>
          <w:t>856</w:t>
        </w:r>
        <w:r>
          <w:fldChar w:fldCharType="end"/>
        </w:r>
      </w:hyperlink>
    </w:p>
    <w:p>
      <w:pPr>
        <w:pStyle w:val="TOC3"/>
        <w:rPr>
          <w:rFonts w:asciiTheme="minorHAnsi" w:hAnsiTheme="minorHAnsi"/>
          <w:noProof/>
          <w:sz w:val="22"/>
        </w:rPr>
      </w:pPr>
      <w:hyperlink w:anchor="_Toc256000177" w:history="1">
        <w:r>
          <w:rPr>
            <w:rStyle w:val="Hyperlink"/>
          </w:rPr>
          <w:t>11.4.1.</w:t>
        </w:r>
        <w:r>
          <w:rPr>
            <w:rStyle w:val="Hyperlink"/>
          </w:rPr>
          <w:t xml:space="preserve"> </w:t>
        </w:r>
        <w:r>
          <w:rPr>
            <w:rStyle w:val="Hyperlink"/>
          </w:rPr>
          <w:t>Земеделска земя</w:t>
        </w:r>
        <w:r>
          <w:tab/>
        </w:r>
        <w:r>
          <w:fldChar w:fldCharType="begin"/>
        </w:r>
        <w:r>
          <w:instrText xml:space="preserve"> PAGEREF _Toc256000177 \h </w:instrText>
        </w:r>
        <w:r>
          <w:fldChar w:fldCharType="separate"/>
        </w:r>
        <w:r>
          <w:t>856</w:t>
        </w:r>
        <w:r>
          <w:fldChar w:fldCharType="end"/>
        </w:r>
      </w:hyperlink>
    </w:p>
    <w:p>
      <w:pPr>
        <w:pStyle w:val="TOC3"/>
        <w:rPr>
          <w:rFonts w:asciiTheme="minorHAnsi" w:hAnsiTheme="minorHAnsi"/>
          <w:noProof/>
          <w:sz w:val="22"/>
        </w:rPr>
      </w:pPr>
      <w:hyperlink w:anchor="_Toc256000178" w:history="1">
        <w:r>
          <w:rPr>
            <w:rStyle w:val="Hyperlink"/>
          </w:rPr>
          <w:t>11.4.2.</w:t>
        </w:r>
        <w:r>
          <w:rPr>
            <w:rStyle w:val="Hyperlink"/>
          </w:rPr>
          <w:t xml:space="preserve"> </w:t>
        </w:r>
        <w:r>
          <w:rPr>
            <w:rStyle w:val="Hyperlink"/>
          </w:rPr>
          <w:t>Горски площи</w:t>
        </w:r>
        <w:r>
          <w:tab/>
        </w:r>
        <w:r>
          <w:fldChar w:fldCharType="begin"/>
        </w:r>
        <w:r>
          <w:instrText xml:space="preserve"> PAGEREF _Toc256000178 \h </w:instrText>
        </w:r>
        <w:r>
          <w:fldChar w:fldCharType="separate"/>
        </w:r>
        <w:r>
          <w:t>860</w:t>
        </w:r>
        <w:r>
          <w:fldChar w:fldCharType="end"/>
        </w:r>
      </w:hyperlink>
    </w:p>
    <w:p>
      <w:pPr>
        <w:pStyle w:val="TOC2"/>
        <w:rPr>
          <w:rFonts w:asciiTheme="minorHAnsi" w:hAnsiTheme="minorHAnsi"/>
          <w:noProof/>
          <w:sz w:val="22"/>
        </w:rPr>
      </w:pPr>
      <w:hyperlink w:anchor="_Toc256000179" w:history="1">
        <w:r>
          <w:rPr>
            <w:rStyle w:val="Hyperlink"/>
          </w:rPr>
          <w:t>11.5.</w:t>
        </w:r>
        <w:r>
          <w:rPr>
            <w:rStyle w:val="Hyperlink"/>
          </w:rPr>
          <w:t xml:space="preserve"> </w:t>
        </w:r>
        <w:r>
          <w:rPr>
            <w:rStyle w:val="Hyperlink"/>
          </w:rPr>
          <w:t>Специфични за програмата цел и изпълнение</w:t>
        </w:r>
        <w:r>
          <w:tab/>
        </w:r>
        <w:r>
          <w:fldChar w:fldCharType="begin"/>
        </w:r>
        <w:r>
          <w:instrText xml:space="preserve"> PAGEREF _Toc256000179 \h </w:instrText>
        </w:r>
        <w:r>
          <w:fldChar w:fldCharType="separate"/>
        </w:r>
        <w:r>
          <w:t>861</w:t>
        </w:r>
        <w:r>
          <w:fldChar w:fldCharType="end"/>
        </w:r>
      </w:hyperlink>
    </w:p>
    <w:p>
      <w:pPr>
        <w:pStyle w:val="TOC1"/>
        <w:rPr>
          <w:rFonts w:asciiTheme="minorHAnsi" w:hAnsiTheme="minorHAnsi"/>
          <w:noProof/>
          <w:sz w:val="22"/>
        </w:rPr>
      </w:pPr>
      <w:hyperlink w:anchor="_Toc256000180" w:history="1">
        <w:r>
          <w:rPr>
            <w:rStyle w:val="Hyperlink"/>
          </w:rPr>
          <w:t>12.</w:t>
        </w:r>
        <w:r>
          <w:rPr>
            <w:rStyle w:val="Hyperlink"/>
          </w:rPr>
          <w:t xml:space="preserve"> </w:t>
        </w:r>
        <w:r>
          <w:rPr>
            <w:rStyle w:val="Hyperlink"/>
          </w:rPr>
          <w:t>Допълнително национално финансиране</w:t>
        </w:r>
        <w:r>
          <w:tab/>
        </w:r>
        <w:r>
          <w:fldChar w:fldCharType="begin"/>
        </w:r>
        <w:r>
          <w:instrText xml:space="preserve"> PAGEREF _Toc256000180 \h </w:instrText>
        </w:r>
        <w:r>
          <w:fldChar w:fldCharType="separate"/>
        </w:r>
        <w:r>
          <w:t>862</w:t>
        </w:r>
        <w:r>
          <w:fldChar w:fldCharType="end"/>
        </w:r>
      </w:hyperlink>
    </w:p>
    <w:p>
      <w:pPr>
        <w:pStyle w:val="TOC2"/>
        <w:rPr>
          <w:rFonts w:asciiTheme="minorHAnsi" w:hAnsiTheme="minorHAnsi"/>
          <w:noProof/>
          <w:sz w:val="22"/>
        </w:rPr>
      </w:pPr>
      <w:hyperlink w:anchor="_Toc256000181" w:history="1">
        <w:r>
          <w:rPr>
            <w:rStyle w:val="Hyperlink"/>
          </w:rPr>
          <w:t>12.1.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_Toc256000181 \h </w:instrText>
        </w:r>
        <w:r>
          <w:fldChar w:fldCharType="separate"/>
        </w:r>
        <w:r>
          <w:t>863</w:t>
        </w:r>
        <w:r>
          <w:fldChar w:fldCharType="end"/>
        </w:r>
      </w:hyperlink>
    </w:p>
    <w:p>
      <w:pPr>
        <w:pStyle w:val="TOC2"/>
        <w:rPr>
          <w:rFonts w:asciiTheme="minorHAnsi" w:hAnsiTheme="minorHAnsi"/>
          <w:noProof/>
          <w:sz w:val="22"/>
        </w:rPr>
      </w:pPr>
      <w:hyperlink w:anchor="_Toc256000182" w:history="1">
        <w:r>
          <w:rPr>
            <w:rStyle w:val="Hyperlink"/>
          </w:rPr>
          <w:t>12.2.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_Toc256000182 \h </w:instrText>
        </w:r>
        <w:r>
          <w:fldChar w:fldCharType="separate"/>
        </w:r>
        <w:r>
          <w:t>863</w:t>
        </w:r>
        <w:r>
          <w:fldChar w:fldCharType="end"/>
        </w:r>
      </w:hyperlink>
    </w:p>
    <w:p>
      <w:pPr>
        <w:pStyle w:val="TOC2"/>
        <w:rPr>
          <w:rFonts w:asciiTheme="minorHAnsi" w:hAnsiTheme="minorHAnsi"/>
          <w:noProof/>
          <w:sz w:val="22"/>
        </w:rPr>
      </w:pPr>
      <w:hyperlink w:anchor="_Toc256000183" w:history="1">
        <w:r>
          <w:rPr>
            <w:rStyle w:val="Hyperlink"/>
          </w:rPr>
          <w:t>12.3.</w:t>
        </w:r>
        <w:r>
          <w:rPr>
            <w:rStyle w:val="Hyperlink"/>
          </w:rPr>
          <w:t xml:space="preserve"> </w:t>
        </w:r>
        <w:r>
          <w:rPr>
            <w:rStyle w:val="Hyperlink"/>
          </w:rPr>
          <w:t>M04 — Инвестиции в материални активи (член 17)</w:t>
        </w:r>
        <w:r>
          <w:tab/>
        </w:r>
        <w:r>
          <w:fldChar w:fldCharType="begin"/>
        </w:r>
        <w:r>
          <w:instrText xml:space="preserve"> PAGEREF _Toc256000183 \h </w:instrText>
        </w:r>
        <w:r>
          <w:fldChar w:fldCharType="separate"/>
        </w:r>
        <w:r>
          <w:t>863</w:t>
        </w:r>
        <w:r>
          <w:fldChar w:fldCharType="end"/>
        </w:r>
      </w:hyperlink>
    </w:p>
    <w:p>
      <w:pPr>
        <w:pStyle w:val="TOC2"/>
        <w:rPr>
          <w:rFonts w:asciiTheme="minorHAnsi" w:hAnsiTheme="minorHAnsi"/>
          <w:noProof/>
          <w:sz w:val="22"/>
        </w:rPr>
      </w:pPr>
      <w:hyperlink w:anchor="_Toc256000184" w:history="1">
        <w:r>
          <w:rPr>
            <w:rStyle w:val="Hyperlink"/>
          </w:rPr>
          <w:t>12.4.</w:t>
        </w:r>
        <w:r>
          <w:rPr>
            <w:rStyle w:val="Hyperlink"/>
          </w:rPr>
          <w:t xml:space="preserve"> </w:t>
        </w:r>
        <w:r>
          <w:rPr>
            <w:rStyle w:val="Hyperlink"/>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r>
          <w:tab/>
        </w:r>
        <w:r>
          <w:fldChar w:fldCharType="begin"/>
        </w:r>
        <w:r>
          <w:instrText xml:space="preserve"> PAGEREF _Toc256000184 \h </w:instrText>
        </w:r>
        <w:r>
          <w:fldChar w:fldCharType="separate"/>
        </w:r>
        <w:r>
          <w:t>863</w:t>
        </w:r>
        <w:r>
          <w:fldChar w:fldCharType="end"/>
        </w:r>
      </w:hyperlink>
    </w:p>
    <w:p>
      <w:pPr>
        <w:pStyle w:val="TOC2"/>
        <w:rPr>
          <w:rFonts w:asciiTheme="minorHAnsi" w:hAnsiTheme="minorHAnsi"/>
          <w:noProof/>
          <w:sz w:val="22"/>
        </w:rPr>
      </w:pPr>
      <w:hyperlink w:anchor="_Toc256000185" w:history="1">
        <w:r>
          <w:rPr>
            <w:rStyle w:val="Hyperlink"/>
          </w:rPr>
          <w:t>12.5.</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_Toc256000185 \h </w:instrText>
        </w:r>
        <w:r>
          <w:fldChar w:fldCharType="separate"/>
        </w:r>
        <w:r>
          <w:t>863</w:t>
        </w:r>
        <w:r>
          <w:fldChar w:fldCharType="end"/>
        </w:r>
      </w:hyperlink>
    </w:p>
    <w:p>
      <w:pPr>
        <w:pStyle w:val="TOC2"/>
        <w:rPr>
          <w:rFonts w:asciiTheme="minorHAnsi" w:hAnsiTheme="minorHAnsi"/>
          <w:noProof/>
          <w:sz w:val="22"/>
        </w:rPr>
      </w:pPr>
      <w:hyperlink w:anchor="_Toc256000186" w:history="1">
        <w:r>
          <w:rPr>
            <w:rStyle w:val="Hyperlink"/>
          </w:rPr>
          <w:t>12.6.</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_Toc256000186 \h </w:instrText>
        </w:r>
        <w:r>
          <w:fldChar w:fldCharType="separate"/>
        </w:r>
        <w:r>
          <w:t>864</w:t>
        </w:r>
        <w:r>
          <w:fldChar w:fldCharType="end"/>
        </w:r>
      </w:hyperlink>
    </w:p>
    <w:p>
      <w:pPr>
        <w:pStyle w:val="TOC2"/>
        <w:rPr>
          <w:rFonts w:asciiTheme="minorHAnsi" w:hAnsiTheme="minorHAnsi"/>
          <w:noProof/>
          <w:sz w:val="22"/>
        </w:rPr>
      </w:pPr>
      <w:hyperlink w:anchor="_Toc256000187" w:history="1">
        <w:r>
          <w:rPr>
            <w:rStyle w:val="Hyperlink"/>
          </w:rPr>
          <w:t>12.7.</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_Toc256000187 \h </w:instrText>
        </w:r>
        <w:r>
          <w:fldChar w:fldCharType="separate"/>
        </w:r>
        <w:r>
          <w:t>864</w:t>
        </w:r>
        <w:r>
          <w:fldChar w:fldCharType="end"/>
        </w:r>
      </w:hyperlink>
    </w:p>
    <w:p>
      <w:pPr>
        <w:pStyle w:val="TOC2"/>
        <w:rPr>
          <w:rFonts w:asciiTheme="minorHAnsi" w:hAnsiTheme="minorHAnsi"/>
          <w:noProof/>
          <w:sz w:val="22"/>
        </w:rPr>
      </w:pPr>
      <w:hyperlink w:anchor="_Toc256000188" w:history="1">
        <w:r>
          <w:rPr>
            <w:rStyle w:val="Hyperlink"/>
          </w:rPr>
          <w:t>12.8.</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_Toc256000188 \h </w:instrText>
        </w:r>
        <w:r>
          <w:fldChar w:fldCharType="separate"/>
        </w:r>
        <w:r>
          <w:t>864</w:t>
        </w:r>
        <w:r>
          <w:fldChar w:fldCharType="end"/>
        </w:r>
      </w:hyperlink>
    </w:p>
    <w:p>
      <w:pPr>
        <w:pStyle w:val="TOC2"/>
        <w:rPr>
          <w:rFonts w:asciiTheme="minorHAnsi" w:hAnsiTheme="minorHAnsi"/>
          <w:noProof/>
          <w:sz w:val="22"/>
        </w:rPr>
      </w:pPr>
      <w:hyperlink w:anchor="_Toc256000189" w:history="1">
        <w:r>
          <w:rPr>
            <w:rStyle w:val="Hyperlink"/>
          </w:rPr>
          <w:t>12.9.</w:t>
        </w:r>
        <w:r>
          <w:rPr>
            <w:rStyle w:val="Hyperlink"/>
          </w:rPr>
          <w:t xml:space="preserve"> </w:t>
        </w:r>
        <w:r>
          <w:rPr>
            <w:rStyle w:val="Hyperlink"/>
          </w:rPr>
          <w:t>M10 — Агроекология и климат (член 28)</w:t>
        </w:r>
        <w:r>
          <w:tab/>
        </w:r>
        <w:r>
          <w:fldChar w:fldCharType="begin"/>
        </w:r>
        <w:r>
          <w:instrText xml:space="preserve"> PAGEREF _Toc256000189 \h </w:instrText>
        </w:r>
        <w:r>
          <w:fldChar w:fldCharType="separate"/>
        </w:r>
        <w:r>
          <w:t>864</w:t>
        </w:r>
        <w:r>
          <w:fldChar w:fldCharType="end"/>
        </w:r>
      </w:hyperlink>
    </w:p>
    <w:p>
      <w:pPr>
        <w:pStyle w:val="TOC2"/>
        <w:rPr>
          <w:rFonts w:asciiTheme="minorHAnsi" w:hAnsiTheme="minorHAnsi"/>
          <w:noProof/>
          <w:sz w:val="22"/>
        </w:rPr>
      </w:pPr>
      <w:hyperlink w:anchor="_Toc256000190" w:history="1">
        <w:r>
          <w:rPr>
            <w:rStyle w:val="Hyperlink"/>
          </w:rPr>
          <w:t>12.10.</w:t>
        </w:r>
        <w:r>
          <w:rPr>
            <w:rStyle w:val="Hyperlink"/>
          </w:rPr>
          <w:t xml:space="preserve"> </w:t>
        </w:r>
        <w:r>
          <w:rPr>
            <w:rStyle w:val="Hyperlink"/>
          </w:rPr>
          <w:t>М11 — Биологично земеделие (член 29)</w:t>
        </w:r>
        <w:r>
          <w:tab/>
        </w:r>
        <w:r>
          <w:fldChar w:fldCharType="begin"/>
        </w:r>
        <w:r>
          <w:instrText xml:space="preserve"> PAGEREF _Toc256000190 \h </w:instrText>
        </w:r>
        <w:r>
          <w:fldChar w:fldCharType="separate"/>
        </w:r>
        <w:r>
          <w:t>864</w:t>
        </w:r>
        <w:r>
          <w:fldChar w:fldCharType="end"/>
        </w:r>
      </w:hyperlink>
    </w:p>
    <w:p>
      <w:pPr>
        <w:pStyle w:val="TOC2"/>
        <w:rPr>
          <w:rFonts w:asciiTheme="minorHAnsi" w:hAnsiTheme="minorHAnsi"/>
          <w:noProof/>
          <w:sz w:val="22"/>
        </w:rPr>
      </w:pPr>
      <w:hyperlink w:anchor="_Toc256000191" w:history="1">
        <w:r>
          <w:rPr>
            <w:rStyle w:val="Hyperlink"/>
          </w:rPr>
          <w:t>12.11.</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_Toc256000191 \h </w:instrText>
        </w:r>
        <w:r>
          <w:fldChar w:fldCharType="separate"/>
        </w:r>
        <w:r>
          <w:t>865</w:t>
        </w:r>
        <w:r>
          <w:fldChar w:fldCharType="end"/>
        </w:r>
      </w:hyperlink>
    </w:p>
    <w:p>
      <w:pPr>
        <w:pStyle w:val="TOC2"/>
        <w:rPr>
          <w:rFonts w:asciiTheme="minorHAnsi" w:hAnsiTheme="minorHAnsi"/>
          <w:noProof/>
          <w:sz w:val="22"/>
        </w:rPr>
      </w:pPr>
      <w:hyperlink w:anchor="_Toc256000192" w:history="1">
        <w:r>
          <w:rPr>
            <w:rStyle w:val="Hyperlink"/>
          </w:rPr>
          <w:t>12.12.</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_Toc256000192 \h </w:instrText>
        </w:r>
        <w:r>
          <w:fldChar w:fldCharType="separate"/>
        </w:r>
        <w:r>
          <w:t>865</w:t>
        </w:r>
        <w:r>
          <w:fldChar w:fldCharType="end"/>
        </w:r>
      </w:hyperlink>
    </w:p>
    <w:p>
      <w:pPr>
        <w:pStyle w:val="TOC2"/>
        <w:rPr>
          <w:rFonts w:asciiTheme="minorHAnsi" w:hAnsiTheme="minorHAnsi"/>
          <w:noProof/>
          <w:sz w:val="22"/>
        </w:rPr>
      </w:pPr>
      <w:hyperlink w:anchor="_Toc256000193" w:history="1">
        <w:r>
          <w:rPr>
            <w:rStyle w:val="Hyperlink"/>
          </w:rPr>
          <w:t>12.13.</w:t>
        </w:r>
        <w:r>
          <w:rPr>
            <w:rStyle w:val="Hyperlink"/>
          </w:rPr>
          <w:t xml:space="preserve"> </w:t>
        </w:r>
        <w:r>
          <w:rPr>
            <w:rStyle w:val="Hyperlink"/>
          </w:rPr>
          <w:t>M14 — Хуманно отношение към животните (член 33)</w:t>
        </w:r>
        <w:r>
          <w:tab/>
        </w:r>
        <w:r>
          <w:fldChar w:fldCharType="begin"/>
        </w:r>
        <w:r>
          <w:instrText xml:space="preserve"> PAGEREF _Toc256000193 \h </w:instrText>
        </w:r>
        <w:r>
          <w:fldChar w:fldCharType="separate"/>
        </w:r>
        <w:r>
          <w:t>865</w:t>
        </w:r>
        <w:r>
          <w:fldChar w:fldCharType="end"/>
        </w:r>
      </w:hyperlink>
    </w:p>
    <w:p>
      <w:pPr>
        <w:pStyle w:val="TOC2"/>
        <w:rPr>
          <w:rFonts w:asciiTheme="minorHAnsi" w:hAnsiTheme="minorHAnsi"/>
          <w:noProof/>
          <w:sz w:val="22"/>
        </w:rPr>
      </w:pPr>
      <w:hyperlink w:anchor="_Toc256000194" w:history="1">
        <w:r>
          <w:rPr>
            <w:rStyle w:val="Hyperlink"/>
          </w:rPr>
          <w:t>12.14.</w:t>
        </w:r>
        <w:r>
          <w:rPr>
            <w:rStyle w:val="Hyperlink"/>
          </w:rPr>
          <w:t xml:space="preserve"> </w:t>
        </w:r>
        <w:r>
          <w:rPr>
            <w:rStyle w:val="Hyperlink"/>
          </w:rPr>
          <w:t>M16 — Сътрудничество (член 35)</w:t>
        </w:r>
        <w:r>
          <w:tab/>
        </w:r>
        <w:r>
          <w:fldChar w:fldCharType="begin"/>
        </w:r>
        <w:r>
          <w:instrText xml:space="preserve"> PAGEREF _Toc256000194 \h </w:instrText>
        </w:r>
        <w:r>
          <w:fldChar w:fldCharType="separate"/>
        </w:r>
        <w:r>
          <w:t>865</w:t>
        </w:r>
        <w:r>
          <w:fldChar w:fldCharType="end"/>
        </w:r>
      </w:hyperlink>
    </w:p>
    <w:p>
      <w:pPr>
        <w:pStyle w:val="TOC2"/>
        <w:rPr>
          <w:rFonts w:asciiTheme="minorHAnsi" w:hAnsiTheme="minorHAnsi"/>
          <w:noProof/>
          <w:sz w:val="22"/>
        </w:rPr>
      </w:pPr>
      <w:hyperlink w:anchor="_Toc256000195" w:history="1">
        <w:r>
          <w:rPr>
            <w:rStyle w:val="Hyperlink"/>
          </w:rPr>
          <w:t>12.15.</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_Toc256000195 \h </w:instrText>
        </w:r>
        <w:r>
          <w:fldChar w:fldCharType="separate"/>
        </w:r>
        <w:r>
          <w:t>866</w:t>
        </w:r>
        <w:r>
          <w:fldChar w:fldCharType="end"/>
        </w:r>
      </w:hyperlink>
    </w:p>
    <w:p>
      <w:pPr>
        <w:pStyle w:val="TOC2"/>
        <w:rPr>
          <w:rFonts w:asciiTheme="minorHAnsi" w:hAnsiTheme="minorHAnsi"/>
          <w:noProof/>
          <w:sz w:val="22"/>
        </w:rPr>
      </w:pPr>
      <w:hyperlink w:anchor="_Toc256000196" w:history="1">
        <w:r>
          <w:rPr>
            <w:rStyle w:val="Hyperlink"/>
          </w:rPr>
          <w:t>12.16.</w:t>
        </w:r>
        <w:r>
          <w:rPr>
            <w:rStyle w:val="Hyperlink"/>
          </w:rPr>
          <w:t xml:space="preserve"> </w:t>
        </w:r>
        <w:r>
          <w:rPr>
            <w:rStyle w:val="Hyperlink"/>
          </w:rPr>
          <w:t>М20 — Техническа помощ държави членки (членове 51 — 54)</w:t>
        </w:r>
        <w:r>
          <w:tab/>
        </w:r>
        <w:r>
          <w:fldChar w:fldCharType="begin"/>
        </w:r>
        <w:r>
          <w:instrText xml:space="preserve"> PAGEREF _Toc256000196 \h </w:instrText>
        </w:r>
        <w:r>
          <w:fldChar w:fldCharType="separate"/>
        </w:r>
        <w:r>
          <w:t>866</w:t>
        </w:r>
        <w:r>
          <w:fldChar w:fldCharType="end"/>
        </w:r>
      </w:hyperlink>
    </w:p>
    <w:p>
      <w:pPr>
        <w:pStyle w:val="TOC2"/>
        <w:rPr>
          <w:rFonts w:asciiTheme="minorHAnsi" w:hAnsiTheme="minorHAnsi"/>
          <w:noProof/>
          <w:sz w:val="22"/>
        </w:rPr>
      </w:pPr>
      <w:hyperlink w:anchor="_Toc256000197" w:history="1">
        <w:r>
          <w:rPr>
            <w:rStyle w:val="Hyperlink"/>
          </w:rPr>
          <w:t>12.17.</w:t>
        </w:r>
        <w:r>
          <w:rPr>
            <w:rStyle w:val="Hyperlink"/>
          </w:rPr>
          <w:t xml:space="preserve"> </w:t>
        </w:r>
        <w:r>
          <w:rPr>
            <w:rStyle w:val="Hyperlink"/>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r>
          <w:tab/>
        </w:r>
        <w:r>
          <w:fldChar w:fldCharType="begin"/>
        </w:r>
        <w:r>
          <w:instrText xml:space="preserve"> PAGEREF _Toc256000197 \h </w:instrText>
        </w:r>
        <w:r>
          <w:fldChar w:fldCharType="separate"/>
        </w:r>
        <w:r>
          <w:t>866</w:t>
        </w:r>
        <w:r>
          <w:fldChar w:fldCharType="end"/>
        </w:r>
      </w:hyperlink>
    </w:p>
    <w:p>
      <w:pPr>
        <w:pStyle w:val="TOC2"/>
        <w:rPr>
          <w:rFonts w:asciiTheme="minorHAnsi" w:hAnsiTheme="minorHAnsi"/>
          <w:noProof/>
          <w:sz w:val="22"/>
        </w:rPr>
      </w:pPr>
      <w:hyperlink w:anchor="_Toc256000198" w:history="1">
        <w:r>
          <w:rPr>
            <w:rStyle w:val="Hyperlink"/>
          </w:rPr>
          <w:t>12.18.</w:t>
        </w:r>
        <w:r>
          <w:rPr>
            <w:rStyle w:val="Hyperlink"/>
          </w:rPr>
          <w:t xml:space="preserve"> </w:t>
        </w:r>
        <w:r>
          <w:rPr>
            <w:rStyle w:val="Hyperlink"/>
          </w:rPr>
          <w:t>M22 — Извънредно временно подпомагане за земеделските стопани и МСП, които са особено засегнати от последиците от руското нашествие в Украйна (член 39в)</w:t>
        </w:r>
        <w:r>
          <w:tab/>
        </w:r>
        <w:r>
          <w:fldChar w:fldCharType="begin"/>
        </w:r>
        <w:r>
          <w:instrText xml:space="preserve"> PAGEREF _Toc256000198 \h </w:instrText>
        </w:r>
        <w:r>
          <w:fldChar w:fldCharType="separate"/>
        </w:r>
        <w:r>
          <w:t>866</w:t>
        </w:r>
        <w:r>
          <w:fldChar w:fldCharType="end"/>
        </w:r>
      </w:hyperlink>
    </w:p>
    <w:p>
      <w:pPr>
        <w:pStyle w:val="TOC1"/>
        <w:rPr>
          <w:rFonts w:asciiTheme="minorHAnsi" w:hAnsiTheme="minorHAnsi"/>
          <w:noProof/>
          <w:sz w:val="22"/>
        </w:rPr>
      </w:pPr>
      <w:hyperlink w:anchor="_Toc256000199" w:history="1">
        <w:r>
          <w:rPr>
            <w:rStyle w:val="Hyperlink"/>
          </w:rPr>
          <w:t>13.</w:t>
        </w:r>
        <w:r>
          <w:rPr>
            <w:rStyle w:val="Hyperlink"/>
          </w:rPr>
          <w:t xml:space="preserve"> </w:t>
        </w:r>
        <w:r>
          <w:rPr>
            <w:rStyle w:val="Hyperlink"/>
          </w:rPr>
          <w:t>Елементи, необходими за оценка на държавната помощ</w:t>
        </w:r>
        <w:r>
          <w:tab/>
        </w:r>
        <w:r>
          <w:fldChar w:fldCharType="begin"/>
        </w:r>
        <w:r>
          <w:instrText xml:space="preserve"> PAGEREF _Toc256000199 \h </w:instrText>
        </w:r>
        <w:r>
          <w:fldChar w:fldCharType="separate"/>
        </w:r>
        <w:r>
          <w:t>867</w:t>
        </w:r>
        <w:r>
          <w:fldChar w:fldCharType="end"/>
        </w:r>
      </w:hyperlink>
    </w:p>
    <w:p>
      <w:pPr>
        <w:pStyle w:val="TOC2"/>
        <w:rPr>
          <w:rFonts w:asciiTheme="minorHAnsi" w:hAnsiTheme="minorHAnsi"/>
          <w:noProof/>
          <w:sz w:val="22"/>
        </w:rPr>
      </w:pPr>
      <w:hyperlink w:anchor="_Toc256000200" w:history="1">
        <w:r>
          <w:rPr>
            <w:rStyle w:val="Hyperlink"/>
          </w:rPr>
          <w:t>13.1.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_Toc256000200 \h </w:instrText>
        </w:r>
        <w:r>
          <w:fldChar w:fldCharType="separate"/>
        </w:r>
        <w:r>
          <w:t>870</w:t>
        </w:r>
        <w:r>
          <w:fldChar w:fldCharType="end"/>
        </w:r>
      </w:hyperlink>
    </w:p>
    <w:p>
      <w:pPr>
        <w:pStyle w:val="TOC2"/>
        <w:rPr>
          <w:rFonts w:asciiTheme="minorHAnsi" w:hAnsiTheme="minorHAnsi"/>
          <w:noProof/>
          <w:sz w:val="22"/>
        </w:rPr>
      </w:pPr>
      <w:hyperlink w:anchor="_Toc256000201" w:history="1">
        <w:r>
          <w:rPr>
            <w:rStyle w:val="Hyperlink"/>
          </w:rPr>
          <w:t>13.2.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_Toc256000201 \h </w:instrText>
        </w:r>
        <w:r>
          <w:fldChar w:fldCharType="separate"/>
        </w:r>
        <w:r>
          <w:t>870</w:t>
        </w:r>
        <w:r>
          <w:fldChar w:fldCharType="end"/>
        </w:r>
      </w:hyperlink>
    </w:p>
    <w:p>
      <w:pPr>
        <w:pStyle w:val="TOC2"/>
        <w:rPr>
          <w:rFonts w:asciiTheme="minorHAnsi" w:hAnsiTheme="minorHAnsi"/>
          <w:noProof/>
          <w:sz w:val="22"/>
        </w:rPr>
      </w:pPr>
      <w:hyperlink w:anchor="_Toc256000202" w:history="1">
        <w:r>
          <w:rPr>
            <w:rStyle w:val="Hyperlink"/>
          </w:rPr>
          <w:t>13.3.</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_Toc256000202 \h </w:instrText>
        </w:r>
        <w:r>
          <w:fldChar w:fldCharType="separate"/>
        </w:r>
        <w:r>
          <w:t>871</w:t>
        </w:r>
        <w:r>
          <w:fldChar w:fldCharType="end"/>
        </w:r>
      </w:hyperlink>
    </w:p>
    <w:p>
      <w:pPr>
        <w:pStyle w:val="TOC2"/>
        <w:rPr>
          <w:rFonts w:asciiTheme="minorHAnsi" w:hAnsiTheme="minorHAnsi"/>
          <w:noProof/>
          <w:sz w:val="22"/>
        </w:rPr>
      </w:pPr>
      <w:hyperlink w:anchor="_Toc256000203" w:history="1">
        <w:r>
          <w:rPr>
            <w:rStyle w:val="Hyperlink"/>
          </w:rPr>
          <w:t>13.4.</w:t>
        </w:r>
        <w:r>
          <w:rPr>
            <w:rStyle w:val="Hyperlink"/>
          </w:rPr>
          <w:t xml:space="preserve"> </w:t>
        </w:r>
        <w:r>
          <w:rPr>
            <w:rStyle w:val="Hyperlink"/>
          </w:rPr>
          <w:t>M04 — Инвестиции в материални активи (член 17)</w:t>
        </w:r>
        <w:r>
          <w:tab/>
        </w:r>
        <w:r>
          <w:fldChar w:fldCharType="begin"/>
        </w:r>
        <w:r>
          <w:instrText xml:space="preserve"> PAGEREF _Toc256000203 \h </w:instrText>
        </w:r>
        <w:r>
          <w:fldChar w:fldCharType="separate"/>
        </w:r>
        <w:r>
          <w:t>871</w:t>
        </w:r>
        <w:r>
          <w:fldChar w:fldCharType="end"/>
        </w:r>
      </w:hyperlink>
    </w:p>
    <w:p>
      <w:pPr>
        <w:pStyle w:val="TOC2"/>
        <w:rPr>
          <w:rFonts w:asciiTheme="minorHAnsi" w:hAnsiTheme="minorHAnsi"/>
          <w:noProof/>
          <w:sz w:val="22"/>
        </w:rPr>
      </w:pPr>
      <w:hyperlink w:anchor="_Toc256000204" w:history="1">
        <w:r>
          <w:rPr>
            <w:rStyle w:val="Hyperlink"/>
          </w:rPr>
          <w:t>13.5.</w:t>
        </w:r>
        <w:r>
          <w:rPr>
            <w:rStyle w:val="Hyperlink"/>
          </w:rPr>
          <w:t xml:space="preserve"> </w:t>
        </w:r>
        <w:r>
          <w:rPr>
            <w:rStyle w:val="Hyperlink"/>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r>
          <w:tab/>
        </w:r>
        <w:r>
          <w:fldChar w:fldCharType="begin"/>
        </w:r>
        <w:r>
          <w:instrText xml:space="preserve"> PAGEREF _Toc256000204 \h </w:instrText>
        </w:r>
        <w:r>
          <w:fldChar w:fldCharType="separate"/>
        </w:r>
        <w:r>
          <w:t>872</w:t>
        </w:r>
        <w:r>
          <w:fldChar w:fldCharType="end"/>
        </w:r>
      </w:hyperlink>
    </w:p>
    <w:p>
      <w:pPr>
        <w:pStyle w:val="TOC2"/>
        <w:rPr>
          <w:rFonts w:asciiTheme="minorHAnsi" w:hAnsiTheme="minorHAnsi"/>
          <w:noProof/>
          <w:sz w:val="22"/>
        </w:rPr>
      </w:pPr>
      <w:hyperlink w:anchor="_Toc256000205" w:history="1">
        <w:r>
          <w:rPr>
            <w:rStyle w:val="Hyperlink"/>
          </w:rPr>
          <w:t>13.6.</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_Toc256000205 \h </w:instrText>
        </w:r>
        <w:r>
          <w:fldChar w:fldCharType="separate"/>
        </w:r>
        <w:r>
          <w:t>872</w:t>
        </w:r>
        <w:r>
          <w:fldChar w:fldCharType="end"/>
        </w:r>
      </w:hyperlink>
    </w:p>
    <w:p>
      <w:pPr>
        <w:pStyle w:val="TOC2"/>
        <w:rPr>
          <w:rFonts w:asciiTheme="minorHAnsi" w:hAnsiTheme="minorHAnsi"/>
          <w:noProof/>
          <w:sz w:val="22"/>
        </w:rPr>
      </w:pPr>
      <w:hyperlink w:anchor="_Toc256000206" w:history="1">
        <w:r>
          <w:rPr>
            <w:rStyle w:val="Hyperlink"/>
          </w:rPr>
          <w:t>13.7.</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_Toc256000206 \h </w:instrText>
        </w:r>
        <w:r>
          <w:fldChar w:fldCharType="separate"/>
        </w:r>
        <w:r>
          <w:t>873</w:t>
        </w:r>
        <w:r>
          <w:fldChar w:fldCharType="end"/>
        </w:r>
      </w:hyperlink>
    </w:p>
    <w:p>
      <w:pPr>
        <w:pStyle w:val="TOC2"/>
        <w:rPr>
          <w:rFonts w:asciiTheme="minorHAnsi" w:hAnsiTheme="minorHAnsi"/>
          <w:noProof/>
          <w:sz w:val="22"/>
        </w:rPr>
      </w:pPr>
      <w:hyperlink w:anchor="_Toc256000207" w:history="1">
        <w:r>
          <w:rPr>
            <w:rStyle w:val="Hyperlink"/>
          </w:rPr>
          <w:t>13.8.</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_Toc256000207 \h </w:instrText>
        </w:r>
        <w:r>
          <w:fldChar w:fldCharType="separate"/>
        </w:r>
        <w:r>
          <w:t>873</w:t>
        </w:r>
        <w:r>
          <w:fldChar w:fldCharType="end"/>
        </w:r>
      </w:hyperlink>
    </w:p>
    <w:p>
      <w:pPr>
        <w:pStyle w:val="TOC2"/>
        <w:rPr>
          <w:rFonts w:asciiTheme="minorHAnsi" w:hAnsiTheme="minorHAnsi"/>
          <w:noProof/>
          <w:sz w:val="22"/>
        </w:rPr>
      </w:pPr>
      <w:hyperlink w:anchor="_Toc256000208" w:history="1">
        <w:r>
          <w:rPr>
            <w:rStyle w:val="Hyperlink"/>
          </w:rPr>
          <w:t>13.9.</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_Toc256000208 \h </w:instrText>
        </w:r>
        <w:r>
          <w:fldChar w:fldCharType="separate"/>
        </w:r>
        <w:r>
          <w:t>874</w:t>
        </w:r>
        <w:r>
          <w:fldChar w:fldCharType="end"/>
        </w:r>
      </w:hyperlink>
    </w:p>
    <w:p>
      <w:pPr>
        <w:pStyle w:val="TOC2"/>
        <w:rPr>
          <w:rFonts w:asciiTheme="minorHAnsi" w:hAnsiTheme="minorHAnsi"/>
          <w:noProof/>
          <w:sz w:val="22"/>
        </w:rPr>
      </w:pPr>
      <w:hyperlink w:anchor="_Toc256000209" w:history="1">
        <w:r>
          <w:rPr>
            <w:rStyle w:val="Hyperlink"/>
          </w:rPr>
          <w:t>13.10.</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_Toc256000209 \h </w:instrText>
        </w:r>
        <w:r>
          <w:fldChar w:fldCharType="separate"/>
        </w:r>
        <w:r>
          <w:t>874</w:t>
        </w:r>
        <w:r>
          <w:fldChar w:fldCharType="end"/>
        </w:r>
      </w:hyperlink>
    </w:p>
    <w:p>
      <w:pPr>
        <w:pStyle w:val="TOC2"/>
        <w:rPr>
          <w:rFonts w:asciiTheme="minorHAnsi" w:hAnsiTheme="minorHAnsi"/>
          <w:noProof/>
          <w:sz w:val="22"/>
        </w:rPr>
      </w:pPr>
      <w:hyperlink w:anchor="_Toc256000210" w:history="1">
        <w:r>
          <w:rPr>
            <w:rStyle w:val="Hyperlink"/>
          </w:rPr>
          <w:t>13.11.</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_Toc256000210 \h </w:instrText>
        </w:r>
        <w:r>
          <w:fldChar w:fldCharType="separate"/>
        </w:r>
        <w:r>
          <w:t>875</w:t>
        </w:r>
        <w:r>
          <w:fldChar w:fldCharType="end"/>
        </w:r>
      </w:hyperlink>
    </w:p>
    <w:p>
      <w:pPr>
        <w:pStyle w:val="TOC2"/>
        <w:rPr>
          <w:rFonts w:asciiTheme="minorHAnsi" w:hAnsiTheme="minorHAnsi"/>
          <w:noProof/>
          <w:sz w:val="22"/>
        </w:rPr>
      </w:pPr>
      <w:hyperlink w:anchor="_Toc256000211" w:history="1">
        <w:r>
          <w:rPr>
            <w:rStyle w:val="Hyperlink"/>
          </w:rPr>
          <w:t>13.12.</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_Toc256000211 \h </w:instrText>
        </w:r>
        <w:r>
          <w:fldChar w:fldCharType="separate"/>
        </w:r>
        <w:r>
          <w:t>875</w:t>
        </w:r>
        <w:r>
          <w:fldChar w:fldCharType="end"/>
        </w:r>
      </w:hyperlink>
    </w:p>
    <w:p>
      <w:pPr>
        <w:pStyle w:val="TOC2"/>
        <w:rPr>
          <w:rFonts w:asciiTheme="minorHAnsi" w:hAnsiTheme="minorHAnsi"/>
          <w:noProof/>
          <w:sz w:val="22"/>
        </w:rPr>
      </w:pPr>
      <w:hyperlink w:anchor="_Toc256000212" w:history="1">
        <w:r>
          <w:rPr>
            <w:rStyle w:val="Hyperlink"/>
          </w:rPr>
          <w:t>13.13.</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_Toc256000212 \h </w:instrText>
        </w:r>
        <w:r>
          <w:fldChar w:fldCharType="separate"/>
        </w:r>
        <w:r>
          <w:t>876</w:t>
        </w:r>
        <w:r>
          <w:fldChar w:fldCharType="end"/>
        </w:r>
      </w:hyperlink>
    </w:p>
    <w:p>
      <w:pPr>
        <w:pStyle w:val="TOC2"/>
        <w:rPr>
          <w:rFonts w:asciiTheme="minorHAnsi" w:hAnsiTheme="minorHAnsi"/>
          <w:noProof/>
          <w:sz w:val="22"/>
        </w:rPr>
      </w:pPr>
      <w:hyperlink w:anchor="_Toc256000213" w:history="1">
        <w:r>
          <w:rPr>
            <w:rStyle w:val="Hyperlink"/>
          </w:rPr>
          <w:t>13.14.</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_Toc256000213 \h </w:instrText>
        </w:r>
        <w:r>
          <w:fldChar w:fldCharType="separate"/>
        </w:r>
        <w:r>
          <w:t>876</w:t>
        </w:r>
        <w:r>
          <w:fldChar w:fldCharType="end"/>
        </w:r>
      </w:hyperlink>
    </w:p>
    <w:p>
      <w:pPr>
        <w:pStyle w:val="TOC2"/>
        <w:rPr>
          <w:rFonts w:asciiTheme="minorHAnsi" w:hAnsiTheme="minorHAnsi"/>
          <w:noProof/>
          <w:sz w:val="22"/>
        </w:rPr>
      </w:pPr>
      <w:hyperlink w:anchor="_Toc256000214" w:history="1">
        <w:r>
          <w:rPr>
            <w:rStyle w:val="Hyperlink"/>
          </w:rPr>
          <w:t>13.15.</w:t>
        </w:r>
        <w:r>
          <w:rPr>
            <w:rStyle w:val="Hyperlink"/>
          </w:rPr>
          <w:t xml:space="preserve"> </w:t>
        </w:r>
        <w:r>
          <w:rPr>
            <w:rStyle w:val="Hyperlink"/>
          </w:rPr>
          <w:t>M10 — Агроекология и климат (член 28)</w:t>
        </w:r>
        <w:r>
          <w:tab/>
        </w:r>
        <w:r>
          <w:fldChar w:fldCharType="begin"/>
        </w:r>
        <w:r>
          <w:instrText xml:space="preserve"> PAGEREF _Toc256000214 \h </w:instrText>
        </w:r>
        <w:r>
          <w:fldChar w:fldCharType="separate"/>
        </w:r>
        <w:r>
          <w:t>877</w:t>
        </w:r>
        <w:r>
          <w:fldChar w:fldCharType="end"/>
        </w:r>
      </w:hyperlink>
    </w:p>
    <w:p>
      <w:pPr>
        <w:pStyle w:val="TOC2"/>
        <w:rPr>
          <w:rFonts w:asciiTheme="minorHAnsi" w:hAnsiTheme="minorHAnsi"/>
          <w:noProof/>
          <w:sz w:val="22"/>
        </w:rPr>
      </w:pPr>
      <w:hyperlink w:anchor="_Toc256000215" w:history="1">
        <w:r>
          <w:rPr>
            <w:rStyle w:val="Hyperlink"/>
          </w:rPr>
          <w:t>13.16.</w:t>
        </w:r>
        <w:r>
          <w:rPr>
            <w:rStyle w:val="Hyperlink"/>
          </w:rPr>
          <w:t xml:space="preserve"> </w:t>
        </w:r>
        <w:r>
          <w:rPr>
            <w:rStyle w:val="Hyperlink"/>
          </w:rPr>
          <w:t>М11 — Биологично земеделие (член 29)</w:t>
        </w:r>
        <w:r>
          <w:tab/>
        </w:r>
        <w:r>
          <w:fldChar w:fldCharType="begin"/>
        </w:r>
        <w:r>
          <w:instrText xml:space="preserve"> PAGEREF _Toc256000215 \h </w:instrText>
        </w:r>
        <w:r>
          <w:fldChar w:fldCharType="separate"/>
        </w:r>
        <w:r>
          <w:t>877</w:t>
        </w:r>
        <w:r>
          <w:fldChar w:fldCharType="end"/>
        </w:r>
      </w:hyperlink>
    </w:p>
    <w:p>
      <w:pPr>
        <w:pStyle w:val="TOC2"/>
        <w:rPr>
          <w:rFonts w:asciiTheme="minorHAnsi" w:hAnsiTheme="minorHAnsi"/>
          <w:noProof/>
          <w:sz w:val="22"/>
        </w:rPr>
      </w:pPr>
      <w:hyperlink w:anchor="_Toc256000216" w:history="1">
        <w:r>
          <w:rPr>
            <w:rStyle w:val="Hyperlink"/>
          </w:rPr>
          <w:t>13.17.</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_Toc256000216 \h </w:instrText>
        </w:r>
        <w:r>
          <w:fldChar w:fldCharType="separate"/>
        </w:r>
        <w:r>
          <w:t>878</w:t>
        </w:r>
        <w:r>
          <w:fldChar w:fldCharType="end"/>
        </w:r>
      </w:hyperlink>
    </w:p>
    <w:p>
      <w:pPr>
        <w:pStyle w:val="TOC2"/>
        <w:rPr>
          <w:rFonts w:asciiTheme="minorHAnsi" w:hAnsiTheme="minorHAnsi"/>
          <w:noProof/>
          <w:sz w:val="22"/>
        </w:rPr>
      </w:pPr>
      <w:hyperlink w:anchor="_Toc256000217" w:history="1">
        <w:r>
          <w:rPr>
            <w:rStyle w:val="Hyperlink"/>
          </w:rPr>
          <w:t>13.18.</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_Toc256000217 \h </w:instrText>
        </w:r>
        <w:r>
          <w:fldChar w:fldCharType="separate"/>
        </w:r>
        <w:r>
          <w:t>878</w:t>
        </w:r>
        <w:r>
          <w:fldChar w:fldCharType="end"/>
        </w:r>
      </w:hyperlink>
    </w:p>
    <w:p>
      <w:pPr>
        <w:pStyle w:val="TOC2"/>
        <w:rPr>
          <w:rFonts w:asciiTheme="minorHAnsi" w:hAnsiTheme="minorHAnsi"/>
          <w:noProof/>
          <w:sz w:val="22"/>
        </w:rPr>
      </w:pPr>
      <w:hyperlink w:anchor="_Toc256000218" w:history="1">
        <w:r>
          <w:rPr>
            <w:rStyle w:val="Hyperlink"/>
          </w:rPr>
          <w:t>13.19.</w:t>
        </w:r>
        <w:r>
          <w:rPr>
            <w:rStyle w:val="Hyperlink"/>
          </w:rPr>
          <w:t xml:space="preserve"> </w:t>
        </w:r>
        <w:r>
          <w:rPr>
            <w:rStyle w:val="Hyperlink"/>
          </w:rPr>
          <w:t>M14 — Хуманно отношение към животните (член 33)</w:t>
        </w:r>
        <w:r>
          <w:tab/>
        </w:r>
        <w:r>
          <w:fldChar w:fldCharType="begin"/>
        </w:r>
        <w:r>
          <w:instrText xml:space="preserve"> PAGEREF _Toc256000218 \h </w:instrText>
        </w:r>
        <w:r>
          <w:fldChar w:fldCharType="separate"/>
        </w:r>
        <w:r>
          <w:t>878</w:t>
        </w:r>
        <w:r>
          <w:fldChar w:fldCharType="end"/>
        </w:r>
      </w:hyperlink>
    </w:p>
    <w:p>
      <w:pPr>
        <w:pStyle w:val="TOC2"/>
        <w:rPr>
          <w:rFonts w:asciiTheme="minorHAnsi" w:hAnsiTheme="minorHAnsi"/>
          <w:noProof/>
          <w:sz w:val="22"/>
        </w:rPr>
      </w:pPr>
      <w:hyperlink w:anchor="_Toc256000219" w:history="1">
        <w:r>
          <w:rPr>
            <w:rStyle w:val="Hyperlink"/>
          </w:rPr>
          <w:t>13.20.</w:t>
        </w:r>
        <w:r>
          <w:rPr>
            <w:rStyle w:val="Hyperlink"/>
          </w:rPr>
          <w:t xml:space="preserve"> </w:t>
        </w:r>
        <w:r>
          <w:rPr>
            <w:rStyle w:val="Hyperlink"/>
          </w:rPr>
          <w:t>M16 — Сътрудничество (член 35)</w:t>
        </w:r>
        <w:r>
          <w:tab/>
        </w:r>
        <w:r>
          <w:fldChar w:fldCharType="begin"/>
        </w:r>
        <w:r>
          <w:instrText xml:space="preserve"> PAGEREF _Toc256000219 \h </w:instrText>
        </w:r>
        <w:r>
          <w:fldChar w:fldCharType="separate"/>
        </w:r>
        <w:r>
          <w:t>879</w:t>
        </w:r>
        <w:r>
          <w:fldChar w:fldCharType="end"/>
        </w:r>
      </w:hyperlink>
    </w:p>
    <w:p>
      <w:pPr>
        <w:pStyle w:val="TOC2"/>
        <w:rPr>
          <w:rFonts w:asciiTheme="minorHAnsi" w:hAnsiTheme="minorHAnsi"/>
          <w:noProof/>
          <w:sz w:val="22"/>
        </w:rPr>
      </w:pPr>
      <w:hyperlink w:anchor="_Toc256000220" w:history="1">
        <w:r>
          <w:rPr>
            <w:rStyle w:val="Hyperlink"/>
          </w:rPr>
          <w:t>13.21.</w:t>
        </w:r>
        <w:r>
          <w:rPr>
            <w:rStyle w:val="Hyperlink"/>
          </w:rPr>
          <w:t xml:space="preserve"> </w:t>
        </w:r>
        <w:r>
          <w:rPr>
            <w:rStyle w:val="Hyperlink"/>
          </w:rPr>
          <w:t>M16 — Сътрудничество (член 35)</w:t>
        </w:r>
        <w:r>
          <w:tab/>
        </w:r>
        <w:r>
          <w:fldChar w:fldCharType="begin"/>
        </w:r>
        <w:r>
          <w:instrText xml:space="preserve"> PAGEREF _Toc256000220 \h </w:instrText>
        </w:r>
        <w:r>
          <w:fldChar w:fldCharType="separate"/>
        </w:r>
        <w:r>
          <w:t>879</w:t>
        </w:r>
        <w:r>
          <w:fldChar w:fldCharType="end"/>
        </w:r>
      </w:hyperlink>
    </w:p>
    <w:p>
      <w:pPr>
        <w:pStyle w:val="TOC2"/>
        <w:rPr>
          <w:rFonts w:asciiTheme="minorHAnsi" w:hAnsiTheme="minorHAnsi"/>
          <w:noProof/>
          <w:sz w:val="22"/>
        </w:rPr>
      </w:pPr>
      <w:hyperlink w:anchor="_Toc256000221" w:history="1">
        <w:r>
          <w:rPr>
            <w:rStyle w:val="Hyperlink"/>
          </w:rPr>
          <w:t>13.22.</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_Toc256000221 \h </w:instrText>
        </w:r>
        <w:r>
          <w:fldChar w:fldCharType="separate"/>
        </w:r>
        <w:r>
          <w:t>880</w:t>
        </w:r>
        <w:r>
          <w:fldChar w:fldCharType="end"/>
        </w:r>
      </w:hyperlink>
    </w:p>
    <w:p>
      <w:pPr>
        <w:pStyle w:val="TOC2"/>
        <w:rPr>
          <w:rFonts w:asciiTheme="minorHAnsi" w:hAnsiTheme="minorHAnsi"/>
          <w:noProof/>
          <w:sz w:val="22"/>
        </w:rPr>
      </w:pPr>
      <w:hyperlink w:anchor="_Toc256000222" w:history="1">
        <w:r>
          <w:rPr>
            <w:rStyle w:val="Hyperlink"/>
          </w:rPr>
          <w:t>13.23.</w:t>
        </w:r>
        <w:r>
          <w:rPr>
            <w:rStyle w:val="Hyperlink"/>
          </w:rPr>
          <w:t xml:space="preserve"> </w:t>
        </w:r>
        <w:r>
          <w:rPr>
            <w:rStyle w:val="Hyperlink"/>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r>
          <w:tab/>
        </w:r>
        <w:r>
          <w:fldChar w:fldCharType="begin"/>
        </w:r>
        <w:r>
          <w:instrText xml:space="preserve"> PAGEREF _Toc256000222 \h </w:instrText>
        </w:r>
        <w:r>
          <w:fldChar w:fldCharType="separate"/>
        </w:r>
        <w:r>
          <w:t>881</w:t>
        </w:r>
        <w:r>
          <w:fldChar w:fldCharType="end"/>
        </w:r>
      </w:hyperlink>
    </w:p>
    <w:p>
      <w:pPr>
        <w:pStyle w:val="TOC2"/>
        <w:rPr>
          <w:rFonts w:asciiTheme="minorHAnsi" w:hAnsiTheme="minorHAnsi"/>
          <w:noProof/>
          <w:sz w:val="22"/>
        </w:rPr>
      </w:pPr>
      <w:hyperlink w:anchor="_Toc256000223" w:history="1">
        <w:r>
          <w:rPr>
            <w:rStyle w:val="Hyperlink"/>
          </w:rPr>
          <w:t>13.24.</w:t>
        </w:r>
        <w:r>
          <w:rPr>
            <w:rStyle w:val="Hyperlink"/>
          </w:rPr>
          <w:t xml:space="preserve"> </w:t>
        </w:r>
        <w:r>
          <w:rPr>
            <w:rStyle w:val="Hyperlink"/>
          </w:rPr>
          <w:t>M22 — Извънредно временно подпомагане за земеделските стопани и МСП, които са особено засегнати от последиците от руското нашествие в Украйна (член 39в)</w:t>
        </w:r>
        <w:r>
          <w:tab/>
        </w:r>
        <w:r>
          <w:fldChar w:fldCharType="begin"/>
        </w:r>
        <w:r>
          <w:instrText xml:space="preserve"> PAGEREF _Toc256000223 \h </w:instrText>
        </w:r>
        <w:r>
          <w:fldChar w:fldCharType="separate"/>
        </w:r>
        <w:r>
          <w:t>881</w:t>
        </w:r>
        <w:r>
          <w:fldChar w:fldCharType="end"/>
        </w:r>
      </w:hyperlink>
    </w:p>
    <w:p>
      <w:pPr>
        <w:pStyle w:val="TOC1"/>
        <w:rPr>
          <w:rFonts w:asciiTheme="minorHAnsi" w:hAnsiTheme="minorHAnsi"/>
          <w:noProof/>
          <w:sz w:val="22"/>
        </w:rPr>
      </w:pPr>
      <w:hyperlink w:anchor="_Toc256000224" w:history="1">
        <w:r>
          <w:rPr>
            <w:rStyle w:val="Hyperlink"/>
          </w:rPr>
          <w:t>14.</w:t>
        </w:r>
        <w:r>
          <w:rPr>
            <w:rStyle w:val="Hyperlink"/>
          </w:rPr>
          <w:t xml:space="preserve"> </w:t>
        </w:r>
        <w:r>
          <w:rPr>
            <w:rStyle w:val="Hyperlink"/>
          </w:rPr>
          <w:t>Информация относно взаимното допълване</w:t>
        </w:r>
        <w:r>
          <w:tab/>
        </w:r>
        <w:r>
          <w:fldChar w:fldCharType="begin"/>
        </w:r>
        <w:r>
          <w:instrText xml:space="preserve"> PAGEREF _Toc256000224 \h </w:instrText>
        </w:r>
        <w:r>
          <w:fldChar w:fldCharType="separate"/>
        </w:r>
        <w:r>
          <w:t>882</w:t>
        </w:r>
        <w:r>
          <w:fldChar w:fldCharType="end"/>
        </w:r>
      </w:hyperlink>
    </w:p>
    <w:p>
      <w:pPr>
        <w:pStyle w:val="TOC2"/>
        <w:rPr>
          <w:rFonts w:asciiTheme="minorHAnsi" w:hAnsiTheme="minorHAnsi"/>
          <w:noProof/>
          <w:sz w:val="22"/>
        </w:rPr>
      </w:pPr>
      <w:hyperlink w:anchor="_Toc256000225" w:history="1">
        <w:r>
          <w:rPr>
            <w:rStyle w:val="Hyperlink"/>
          </w:rPr>
          <w:t>14.1.</w:t>
        </w:r>
        <w:r>
          <w:rPr>
            <w:rStyle w:val="Hyperlink"/>
          </w:rPr>
          <w:t xml:space="preserve"> </w:t>
        </w:r>
        <w:r>
          <w:rPr>
            <w:rStyle w:val="Hyperlink"/>
          </w:rPr>
          <w:t>Описание на средствата за осигуряване на допълняемост и съгласуваност със:</w:t>
        </w:r>
        <w:r>
          <w:tab/>
        </w:r>
        <w:r>
          <w:fldChar w:fldCharType="begin"/>
        </w:r>
        <w:r>
          <w:instrText xml:space="preserve"> PAGEREF _Toc256000225 \h </w:instrText>
        </w:r>
        <w:r>
          <w:fldChar w:fldCharType="separate"/>
        </w:r>
        <w:r>
          <w:t>882</w:t>
        </w:r>
        <w:r>
          <w:fldChar w:fldCharType="end"/>
        </w:r>
      </w:hyperlink>
    </w:p>
    <w:p>
      <w:pPr>
        <w:pStyle w:val="TOC3"/>
        <w:rPr>
          <w:rFonts w:asciiTheme="minorHAnsi" w:hAnsiTheme="minorHAnsi"/>
          <w:noProof/>
          <w:sz w:val="22"/>
        </w:rPr>
      </w:pPr>
      <w:hyperlink w:anchor="_Toc256000226" w:history="1">
        <w:r>
          <w:rPr>
            <w:rStyle w:val="Hyperlink"/>
          </w:rPr>
          <w:t>14.1.1.</w:t>
        </w:r>
        <w:r>
          <w:rPr>
            <w:rStyle w:val="Hyperlink"/>
          </w:rPr>
          <w:t xml:space="preserve"> </w:t>
        </w:r>
        <w:r>
          <w:rPr>
            <w:rStyle w:val="Hyperlink"/>
          </w:rPr>
          <w:t>Други инструменти на Съюза, и по-специално европейските структурни и инвестиционни фондове и инструментите по стълб 1, включително плащанията за екологизиране и други инструменти на общата селскостопанска политика;</w:t>
        </w:r>
        <w:r>
          <w:tab/>
        </w:r>
        <w:r>
          <w:fldChar w:fldCharType="begin"/>
        </w:r>
        <w:r>
          <w:instrText xml:space="preserve"> PAGEREF _Toc256000226 \h </w:instrText>
        </w:r>
        <w:r>
          <w:fldChar w:fldCharType="separate"/>
        </w:r>
        <w:r>
          <w:t>882</w:t>
        </w:r>
        <w:r>
          <w:fldChar w:fldCharType="end"/>
        </w:r>
      </w:hyperlink>
    </w:p>
    <w:p>
      <w:pPr>
        <w:pStyle w:val="TOC3"/>
        <w:rPr>
          <w:rFonts w:asciiTheme="minorHAnsi" w:hAnsiTheme="minorHAnsi"/>
          <w:noProof/>
          <w:sz w:val="22"/>
        </w:rPr>
      </w:pPr>
      <w:hyperlink w:anchor="_Toc256000227" w:history="1">
        <w:r>
          <w:rPr>
            <w:rStyle w:val="Hyperlink"/>
          </w:rPr>
          <w:t>14.1.2.</w:t>
        </w:r>
        <w:r>
          <w:rPr>
            <w:rStyle w:val="Hyperlink"/>
          </w:rPr>
          <w:t xml:space="preserve"> </w:t>
        </w:r>
        <w:r>
          <w:rPr>
            <w:rStyle w:val="Hyperlink"/>
          </w:rPr>
          <w:t>Когато държавата членка е избрала да представи национална програма, и пакет от регионални програми, както е посочено в член 6, параграф 2 от Регламент (ЕС) № 1305/2013 — информация за взаимно допълване помежду им</w:t>
        </w:r>
        <w:r>
          <w:tab/>
        </w:r>
        <w:r>
          <w:fldChar w:fldCharType="begin"/>
        </w:r>
        <w:r>
          <w:instrText xml:space="preserve"> PAGEREF _Toc256000227 \h </w:instrText>
        </w:r>
        <w:r>
          <w:fldChar w:fldCharType="separate"/>
        </w:r>
        <w:r>
          <w:t>890</w:t>
        </w:r>
        <w:r>
          <w:fldChar w:fldCharType="end"/>
        </w:r>
      </w:hyperlink>
    </w:p>
    <w:p>
      <w:pPr>
        <w:pStyle w:val="TOC2"/>
        <w:rPr>
          <w:rFonts w:asciiTheme="minorHAnsi" w:hAnsiTheme="minorHAnsi"/>
          <w:noProof/>
          <w:sz w:val="22"/>
        </w:rPr>
      </w:pPr>
      <w:hyperlink w:anchor="_Toc256000228" w:history="1">
        <w:r>
          <w:rPr>
            <w:rStyle w:val="Hyperlink"/>
          </w:rPr>
          <w:t>14.2.</w:t>
        </w:r>
        <w:r>
          <w:rPr>
            <w:rStyle w:val="Hyperlink"/>
          </w:rPr>
          <w:t xml:space="preserve"> </w:t>
        </w:r>
        <w:r>
          <w:rPr>
            <w:rStyle w:val="Hyperlink"/>
          </w:rPr>
          <w:t>Когато е целесъобразно, информация за взаимното допълване с други финансови инструменти на Съюза, включително програма LIFE</w:t>
        </w:r>
        <w:r>
          <w:tab/>
        </w:r>
        <w:r>
          <w:fldChar w:fldCharType="begin"/>
        </w:r>
        <w:r>
          <w:instrText xml:space="preserve"> PAGEREF _Toc256000228 \h </w:instrText>
        </w:r>
        <w:r>
          <w:fldChar w:fldCharType="separate"/>
        </w:r>
        <w:r>
          <w:t>890</w:t>
        </w:r>
        <w:r>
          <w:fldChar w:fldCharType="end"/>
        </w:r>
      </w:hyperlink>
    </w:p>
    <w:p>
      <w:pPr>
        <w:pStyle w:val="TOC1"/>
        <w:rPr>
          <w:rFonts w:asciiTheme="minorHAnsi" w:hAnsiTheme="minorHAnsi"/>
          <w:noProof/>
          <w:sz w:val="22"/>
        </w:rPr>
      </w:pPr>
      <w:hyperlink w:anchor="_Toc256000229" w:history="1">
        <w:r>
          <w:rPr>
            <w:rStyle w:val="Hyperlink"/>
          </w:rPr>
          <w:t>15.</w:t>
        </w:r>
        <w:r>
          <w:rPr>
            <w:rStyle w:val="Hyperlink"/>
          </w:rPr>
          <w:t xml:space="preserve"> </w:t>
        </w:r>
        <w:r>
          <w:rPr>
            <w:rStyle w:val="Hyperlink"/>
          </w:rPr>
          <w:t>Организация за изпълнението на програмата</w:t>
        </w:r>
        <w:r>
          <w:tab/>
        </w:r>
        <w:r>
          <w:fldChar w:fldCharType="begin"/>
        </w:r>
        <w:r>
          <w:instrText xml:space="preserve"> PAGEREF _Toc256000229 \h </w:instrText>
        </w:r>
        <w:r>
          <w:fldChar w:fldCharType="separate"/>
        </w:r>
        <w:r>
          <w:t>893</w:t>
        </w:r>
        <w:r>
          <w:fldChar w:fldCharType="end"/>
        </w:r>
      </w:hyperlink>
    </w:p>
    <w:p>
      <w:pPr>
        <w:pStyle w:val="TOC2"/>
        <w:rPr>
          <w:rFonts w:asciiTheme="minorHAnsi" w:hAnsiTheme="minorHAnsi"/>
          <w:noProof/>
          <w:sz w:val="22"/>
        </w:rPr>
      </w:pPr>
      <w:hyperlink w:anchor="_Toc256000230" w:history="1">
        <w:r>
          <w:rPr>
            <w:rStyle w:val="Hyperlink"/>
          </w:rPr>
          <w:t>15.1.</w:t>
        </w:r>
        <w:r>
          <w:rPr>
            <w:rStyle w:val="Hyperlink"/>
          </w:rPr>
          <w:t xml:space="preserve"> </w:t>
        </w:r>
        <w:r>
          <w:rPr>
            <w:rStyle w:val="Hyperlink"/>
          </w:rPr>
          <w:t>Всички определени от държавата членка органи, предвидени в член 65, параграф 2 от Регламент (ЕС) № 1305/2013, и кратко описание на структурата за управление и контрол на програмата съгласно изискването в член 55, параграф 3, буква и) от Регламент (ЕС) № 1303/2013 и на уредбата, предвидена в член 74, параграф 3 от Регламент (ЕС) № 1303/2013</w:t>
        </w:r>
        <w:r>
          <w:tab/>
        </w:r>
        <w:r>
          <w:fldChar w:fldCharType="begin"/>
        </w:r>
        <w:r>
          <w:instrText xml:space="preserve"> PAGEREF _Toc256000230 \h </w:instrText>
        </w:r>
        <w:r>
          <w:fldChar w:fldCharType="separate"/>
        </w:r>
        <w:r>
          <w:t>893</w:t>
        </w:r>
        <w:r>
          <w:fldChar w:fldCharType="end"/>
        </w:r>
      </w:hyperlink>
    </w:p>
    <w:p>
      <w:pPr>
        <w:pStyle w:val="TOC3"/>
        <w:rPr>
          <w:rFonts w:asciiTheme="minorHAnsi" w:hAnsiTheme="minorHAnsi"/>
          <w:noProof/>
          <w:sz w:val="22"/>
        </w:rPr>
      </w:pPr>
      <w:hyperlink w:anchor="_Toc256000231" w:history="1">
        <w:r>
          <w:rPr>
            <w:rStyle w:val="Hyperlink"/>
          </w:rPr>
          <w:t>15.1.1.</w:t>
        </w:r>
        <w:r>
          <w:rPr>
            <w:rStyle w:val="Hyperlink"/>
          </w:rPr>
          <w:t xml:space="preserve"> </w:t>
        </w:r>
        <w:r>
          <w:rPr>
            <w:rStyle w:val="Hyperlink"/>
          </w:rPr>
          <w:t>Органи</w:t>
        </w:r>
        <w:r>
          <w:tab/>
        </w:r>
        <w:r>
          <w:fldChar w:fldCharType="begin"/>
        </w:r>
        <w:r>
          <w:instrText xml:space="preserve"> PAGEREF _Toc256000231 \h </w:instrText>
        </w:r>
        <w:r>
          <w:fldChar w:fldCharType="separate"/>
        </w:r>
        <w:r>
          <w:t>893</w:t>
        </w:r>
        <w:r>
          <w:fldChar w:fldCharType="end"/>
        </w:r>
      </w:hyperlink>
    </w:p>
    <w:p>
      <w:pPr>
        <w:pStyle w:val="TOC3"/>
        <w:rPr>
          <w:rFonts w:asciiTheme="minorHAnsi" w:hAnsiTheme="minorHAnsi"/>
          <w:noProof/>
          <w:sz w:val="22"/>
        </w:rPr>
      </w:pPr>
      <w:hyperlink w:anchor="_Toc256000232" w:history="1">
        <w:r>
          <w:rPr>
            <w:rStyle w:val="Hyperlink"/>
          </w:rPr>
          <w:t>15.1.2.</w:t>
        </w:r>
        <w:r>
          <w:rPr>
            <w:rStyle w:val="Hyperlink"/>
          </w:rPr>
          <w:t xml:space="preserve"> </w:t>
        </w:r>
        <w:r>
          <w:rPr>
            <w:rStyle w:val="Hyperlink"/>
          </w:rPr>
          <w:t>Кратко описание на структурата за управление и контрол на програмата и на процедурите за независимо разглеждане на жалби</w:t>
        </w:r>
        <w:r>
          <w:tab/>
        </w:r>
        <w:r>
          <w:fldChar w:fldCharType="begin"/>
        </w:r>
        <w:r>
          <w:instrText xml:space="preserve"> PAGEREF _Toc256000232 \h </w:instrText>
        </w:r>
        <w:r>
          <w:fldChar w:fldCharType="separate"/>
        </w:r>
        <w:r>
          <w:t>893</w:t>
        </w:r>
        <w:r>
          <w:fldChar w:fldCharType="end"/>
        </w:r>
      </w:hyperlink>
    </w:p>
    <w:p>
      <w:pPr>
        <w:pStyle w:val="TOC2"/>
        <w:rPr>
          <w:rFonts w:asciiTheme="minorHAnsi" w:hAnsiTheme="minorHAnsi"/>
          <w:noProof/>
          <w:sz w:val="22"/>
        </w:rPr>
      </w:pPr>
      <w:hyperlink w:anchor="_Toc256000233" w:history="1">
        <w:r>
          <w:rPr>
            <w:rStyle w:val="Hyperlink"/>
          </w:rPr>
          <w:t>15.2.</w:t>
        </w:r>
        <w:r>
          <w:rPr>
            <w:rStyle w:val="Hyperlink"/>
          </w:rPr>
          <w:t xml:space="preserve"> </w:t>
        </w:r>
        <w:r>
          <w:rPr>
            <w:rStyle w:val="Hyperlink"/>
          </w:rPr>
          <w:t>Предлаган състав на мониторинговия комитет</w:t>
        </w:r>
        <w:r>
          <w:tab/>
        </w:r>
        <w:r>
          <w:fldChar w:fldCharType="begin"/>
        </w:r>
        <w:r>
          <w:instrText xml:space="preserve"> PAGEREF _Toc256000233 \h </w:instrText>
        </w:r>
        <w:r>
          <w:fldChar w:fldCharType="separate"/>
        </w:r>
        <w:r>
          <w:t>897</w:t>
        </w:r>
        <w:r>
          <w:fldChar w:fldCharType="end"/>
        </w:r>
      </w:hyperlink>
    </w:p>
    <w:p>
      <w:pPr>
        <w:pStyle w:val="TOC2"/>
        <w:rPr>
          <w:rFonts w:asciiTheme="minorHAnsi" w:hAnsiTheme="minorHAnsi"/>
          <w:noProof/>
          <w:sz w:val="22"/>
        </w:rPr>
      </w:pPr>
      <w:hyperlink w:anchor="_Toc256000234" w:history="1">
        <w:r>
          <w:rPr>
            <w:rStyle w:val="Hyperlink"/>
          </w:rPr>
          <w:t>15.3.</w:t>
        </w:r>
        <w:r>
          <w:rPr>
            <w:rStyle w:val="Hyperlink"/>
          </w:rPr>
          <w:t xml:space="preserve"> </w:t>
        </w:r>
        <w:r>
          <w:rPr>
            <w:rStyle w:val="Hyperlink"/>
          </w:rPr>
          <w:t>Разпоредби, с които да се гарантира, че програмата е оповестена публично, включително чрез националната мрежа за селските райони, с позоваване на стратегията за информация и публичност, посочена в член 13 от Регламент за изпълнение (ЕС) № 808/2014</w:t>
        </w:r>
        <w:r>
          <w:tab/>
        </w:r>
        <w:r>
          <w:fldChar w:fldCharType="begin"/>
        </w:r>
        <w:r>
          <w:instrText xml:space="preserve"> PAGEREF _Toc256000234 \h </w:instrText>
        </w:r>
        <w:r>
          <w:fldChar w:fldCharType="separate"/>
        </w:r>
        <w:r>
          <w:t>899</w:t>
        </w:r>
        <w:r>
          <w:fldChar w:fldCharType="end"/>
        </w:r>
      </w:hyperlink>
    </w:p>
    <w:p>
      <w:pPr>
        <w:pStyle w:val="TOC2"/>
        <w:rPr>
          <w:rFonts w:asciiTheme="minorHAnsi" w:hAnsiTheme="minorHAnsi"/>
          <w:noProof/>
          <w:sz w:val="22"/>
        </w:rPr>
      </w:pPr>
      <w:hyperlink w:anchor="_Toc256000235" w:history="1">
        <w:r>
          <w:rPr>
            <w:rStyle w:val="Hyperlink"/>
          </w:rPr>
          <w:t>15.4.</w:t>
        </w:r>
        <w:r>
          <w:rPr>
            <w:rStyle w:val="Hyperlink"/>
          </w:rPr>
          <w:t xml:space="preserve"> </w:t>
        </w:r>
        <w:r>
          <w:rPr>
            <w:rStyle w:val="Hyperlink"/>
          </w:rPr>
          <w:t>Описание на механизмите за гарантиране на последователност по отношение на стратегиите за местно развитие, изпълнявани по LEADER, дейностите, предвидени по мярката за сътрудничество, посочена в член 35 от Регламент (ЕС) № 1305/2013, мярката за основни услуги и обновяване на селата в селските райони, посочена в член 20 от същия регламент, и другите ЕСИ фондове</w:t>
        </w:r>
        <w:r>
          <w:tab/>
        </w:r>
        <w:r>
          <w:fldChar w:fldCharType="begin"/>
        </w:r>
        <w:r>
          <w:instrText xml:space="preserve"> PAGEREF _Toc256000235 \h </w:instrText>
        </w:r>
        <w:r>
          <w:fldChar w:fldCharType="separate"/>
        </w:r>
        <w:r>
          <w:t>905</w:t>
        </w:r>
        <w:r>
          <w:fldChar w:fldCharType="end"/>
        </w:r>
      </w:hyperlink>
    </w:p>
    <w:p>
      <w:pPr>
        <w:pStyle w:val="TOC2"/>
        <w:rPr>
          <w:rFonts w:asciiTheme="minorHAnsi" w:hAnsiTheme="minorHAnsi"/>
          <w:noProof/>
          <w:sz w:val="22"/>
        </w:rPr>
      </w:pPr>
      <w:hyperlink w:anchor="_Toc256000236" w:history="1">
        <w:r>
          <w:rPr>
            <w:rStyle w:val="Hyperlink"/>
          </w:rPr>
          <w:t>15.5.</w:t>
        </w:r>
        <w:r>
          <w:rPr>
            <w:rStyle w:val="Hyperlink"/>
          </w:rPr>
          <w:t xml:space="preserve"> </w:t>
        </w:r>
        <w:r>
          <w:rPr>
            <w:rStyle w:val="Hyperlink"/>
          </w:rPr>
          <w:t>Описание на дейностите за намаляване на административната тежест за бенефициерите, посочени в член 27, параграф 1 от Регламент (ЕС) №1303/2013;</w:t>
        </w:r>
        <w:r>
          <w:tab/>
        </w:r>
        <w:r>
          <w:fldChar w:fldCharType="begin"/>
        </w:r>
        <w:r>
          <w:instrText xml:space="preserve"> PAGEREF _Toc256000236 \h </w:instrText>
        </w:r>
        <w:r>
          <w:fldChar w:fldCharType="separate"/>
        </w:r>
        <w:r>
          <w:t>906</w:t>
        </w:r>
        <w:r>
          <w:fldChar w:fldCharType="end"/>
        </w:r>
      </w:hyperlink>
    </w:p>
    <w:p>
      <w:pPr>
        <w:pStyle w:val="TOC2"/>
        <w:rPr>
          <w:rFonts w:asciiTheme="minorHAnsi" w:hAnsiTheme="minorHAnsi"/>
          <w:noProof/>
          <w:sz w:val="22"/>
        </w:rPr>
      </w:pPr>
      <w:hyperlink w:anchor="_Toc256000237" w:history="1">
        <w:r>
          <w:rPr>
            <w:rStyle w:val="Hyperlink"/>
          </w:rPr>
          <w:t>15.6.</w:t>
        </w:r>
        <w:r>
          <w:rPr>
            <w:rStyle w:val="Hyperlink"/>
          </w:rPr>
          <w:t xml:space="preserve"> </w:t>
        </w:r>
        <w:r>
          <w:rPr>
            <w:rStyle w:val="Hyperlink"/>
          </w:rPr>
          <w:t>Описание на използването на техническа помощ, включително действията, свързани с подготовката, управлението, мониторинга, оценката, информацията и контрола на програмата и нейното изпълнение, както и на дейностите, които се отнасят до предходни и последващи периоди на програмиране, както е посочено в член 59, параграф 1 от Регламент (ЕС) № 1303/2013</w:t>
        </w:r>
        <w:r>
          <w:tab/>
        </w:r>
        <w:r>
          <w:fldChar w:fldCharType="begin"/>
        </w:r>
        <w:r>
          <w:instrText xml:space="preserve"> PAGEREF _Toc256000237 \h </w:instrText>
        </w:r>
        <w:r>
          <w:fldChar w:fldCharType="separate"/>
        </w:r>
        <w:r>
          <w:t>909</w:t>
        </w:r>
        <w:r>
          <w:fldChar w:fldCharType="end"/>
        </w:r>
      </w:hyperlink>
    </w:p>
    <w:p>
      <w:pPr>
        <w:pStyle w:val="TOC1"/>
        <w:rPr>
          <w:rFonts w:asciiTheme="minorHAnsi" w:hAnsiTheme="minorHAnsi"/>
          <w:noProof/>
          <w:sz w:val="22"/>
        </w:rPr>
      </w:pPr>
      <w:hyperlink w:anchor="_Toc256000238" w:history="1">
        <w:r>
          <w:rPr>
            <w:rStyle w:val="Hyperlink"/>
          </w:rPr>
          <w:t>16.</w:t>
        </w:r>
        <w:r>
          <w:rPr>
            <w:rStyle w:val="Hyperlink"/>
          </w:rPr>
          <w:t xml:space="preserve"> </w:t>
        </w:r>
        <w:r>
          <w:rPr>
            <w:rStyle w:val="Hyperlink"/>
          </w:rPr>
          <w:t>Списък на действията за привличане на партньорите</w:t>
        </w:r>
        <w:r>
          <w:tab/>
        </w:r>
        <w:r>
          <w:fldChar w:fldCharType="begin"/>
        </w:r>
        <w:r>
          <w:instrText xml:space="preserve"> PAGEREF _Toc256000238 \h </w:instrText>
        </w:r>
        <w:r>
          <w:fldChar w:fldCharType="separate"/>
        </w:r>
        <w:r>
          <w:t>913</w:t>
        </w:r>
        <w:r>
          <w:fldChar w:fldCharType="end"/>
        </w:r>
      </w:hyperlink>
    </w:p>
    <w:p>
      <w:pPr>
        <w:pStyle w:val="TOC2"/>
        <w:rPr>
          <w:rFonts w:asciiTheme="minorHAnsi" w:hAnsiTheme="minorHAnsi"/>
          <w:noProof/>
          <w:sz w:val="22"/>
        </w:rPr>
      </w:pPr>
      <w:hyperlink w:anchor="_Toc256000239" w:history="1">
        <w:r>
          <w:rPr>
            <w:rStyle w:val="Hyperlink"/>
          </w:rPr>
          <w:t>16.1.</w:t>
        </w:r>
        <w:r>
          <w:rPr>
            <w:rStyle w:val="Hyperlink"/>
          </w:rPr>
          <w:t xml:space="preserve"> </w:t>
        </w:r>
        <w:r>
          <w:rPr>
            <w:rStyle w:val="Hyperlink"/>
          </w:rPr>
          <w:t>16.1.1.Създаване на Тематична работна група (ТРГ) за разработване на ПРСР(2014-2020) с участие на партньорите</w:t>
        </w:r>
        <w:r>
          <w:tab/>
        </w:r>
        <w:r>
          <w:fldChar w:fldCharType="begin"/>
        </w:r>
        <w:r>
          <w:instrText xml:space="preserve"> PAGEREF _Toc256000239 \h </w:instrText>
        </w:r>
        <w:r>
          <w:fldChar w:fldCharType="separate"/>
        </w:r>
        <w:r>
          <w:t>913</w:t>
        </w:r>
        <w:r>
          <w:fldChar w:fldCharType="end"/>
        </w:r>
      </w:hyperlink>
    </w:p>
    <w:p>
      <w:pPr>
        <w:pStyle w:val="TOC3"/>
        <w:rPr>
          <w:rFonts w:asciiTheme="minorHAnsi" w:hAnsiTheme="minorHAnsi"/>
          <w:noProof/>
          <w:sz w:val="22"/>
        </w:rPr>
      </w:pPr>
      <w:hyperlink w:anchor="_Toc256000240" w:history="1">
        <w:r>
          <w:rPr>
            <w:rStyle w:val="Hyperlink"/>
          </w:rPr>
          <w:t>16.1.1.</w:t>
        </w:r>
        <w:r>
          <w:rPr>
            <w:rStyle w:val="Hyperlink"/>
          </w:rPr>
          <w:t xml:space="preserve"> </w:t>
        </w:r>
        <w:r>
          <w:rPr>
            <w:rStyle w:val="Hyperlink"/>
          </w:rPr>
          <w:t>Предмет на съответната консултация</w:t>
        </w:r>
        <w:r>
          <w:tab/>
        </w:r>
        <w:r>
          <w:fldChar w:fldCharType="begin"/>
        </w:r>
        <w:r>
          <w:instrText xml:space="preserve"> PAGEREF _Toc256000240 \h </w:instrText>
        </w:r>
        <w:r>
          <w:fldChar w:fldCharType="separate"/>
        </w:r>
        <w:r>
          <w:t>913</w:t>
        </w:r>
        <w:r>
          <w:fldChar w:fldCharType="end"/>
        </w:r>
      </w:hyperlink>
    </w:p>
    <w:p>
      <w:pPr>
        <w:pStyle w:val="TOC3"/>
        <w:rPr>
          <w:rFonts w:asciiTheme="minorHAnsi" w:hAnsiTheme="minorHAnsi"/>
          <w:noProof/>
          <w:sz w:val="22"/>
        </w:rPr>
      </w:pPr>
      <w:hyperlink w:anchor="_Toc256000241" w:history="1">
        <w:r>
          <w:rPr>
            <w:rStyle w:val="Hyperlink"/>
          </w:rPr>
          <w:t>16.1.2.</w:t>
        </w:r>
        <w:r>
          <w:rPr>
            <w:rStyle w:val="Hyperlink"/>
          </w:rPr>
          <w:t xml:space="preserve"> </w:t>
        </w:r>
        <w:r>
          <w:rPr>
            <w:rStyle w:val="Hyperlink"/>
          </w:rPr>
          <w:t>Обобщение на резултатите</w:t>
        </w:r>
        <w:r>
          <w:tab/>
        </w:r>
        <w:r>
          <w:fldChar w:fldCharType="begin"/>
        </w:r>
        <w:r>
          <w:instrText xml:space="preserve"> PAGEREF _Toc256000241 \h </w:instrText>
        </w:r>
        <w:r>
          <w:fldChar w:fldCharType="separate"/>
        </w:r>
        <w:r>
          <w:t>913</w:t>
        </w:r>
        <w:r>
          <w:fldChar w:fldCharType="end"/>
        </w:r>
      </w:hyperlink>
    </w:p>
    <w:p>
      <w:pPr>
        <w:pStyle w:val="TOC2"/>
        <w:rPr>
          <w:rFonts w:asciiTheme="minorHAnsi" w:hAnsiTheme="minorHAnsi"/>
          <w:noProof/>
          <w:sz w:val="22"/>
        </w:rPr>
      </w:pPr>
      <w:hyperlink w:anchor="_Toc256000242" w:history="1">
        <w:r>
          <w:rPr>
            <w:rStyle w:val="Hyperlink"/>
          </w:rPr>
          <w:t>16.2.</w:t>
        </w:r>
        <w:r>
          <w:rPr>
            <w:rStyle w:val="Hyperlink"/>
          </w:rPr>
          <w:t xml:space="preserve"> </w:t>
        </w:r>
        <w:r>
          <w:rPr>
            <w:rStyle w:val="Hyperlink"/>
          </w:rPr>
          <w:t>16.1.2. Провеждане на 7 заседания на ТРГ.</w:t>
        </w:r>
        <w:r>
          <w:tab/>
        </w:r>
        <w:r>
          <w:fldChar w:fldCharType="begin"/>
        </w:r>
        <w:r>
          <w:instrText xml:space="preserve"> PAGEREF _Toc256000242 \h </w:instrText>
        </w:r>
        <w:r>
          <w:fldChar w:fldCharType="separate"/>
        </w:r>
        <w:r>
          <w:t>913</w:t>
        </w:r>
        <w:r>
          <w:fldChar w:fldCharType="end"/>
        </w:r>
      </w:hyperlink>
    </w:p>
    <w:p>
      <w:pPr>
        <w:pStyle w:val="TOC3"/>
        <w:rPr>
          <w:rFonts w:asciiTheme="minorHAnsi" w:hAnsiTheme="minorHAnsi"/>
          <w:noProof/>
          <w:sz w:val="22"/>
        </w:rPr>
      </w:pPr>
      <w:hyperlink w:anchor="_Toc256000243" w:history="1">
        <w:r>
          <w:rPr>
            <w:rStyle w:val="Hyperlink"/>
          </w:rPr>
          <w:t>16.2.1.</w:t>
        </w:r>
        <w:r>
          <w:rPr>
            <w:rStyle w:val="Hyperlink"/>
          </w:rPr>
          <w:t xml:space="preserve"> </w:t>
        </w:r>
        <w:r>
          <w:rPr>
            <w:rStyle w:val="Hyperlink"/>
          </w:rPr>
          <w:t>Предмет на съответната консултация</w:t>
        </w:r>
        <w:r>
          <w:tab/>
        </w:r>
        <w:r>
          <w:fldChar w:fldCharType="begin"/>
        </w:r>
        <w:r>
          <w:instrText xml:space="preserve"> PAGEREF _Toc256000243 \h </w:instrText>
        </w:r>
        <w:r>
          <w:fldChar w:fldCharType="separate"/>
        </w:r>
        <w:r>
          <w:t>913</w:t>
        </w:r>
        <w:r>
          <w:fldChar w:fldCharType="end"/>
        </w:r>
      </w:hyperlink>
    </w:p>
    <w:p>
      <w:pPr>
        <w:pStyle w:val="TOC3"/>
        <w:rPr>
          <w:rFonts w:asciiTheme="minorHAnsi" w:hAnsiTheme="minorHAnsi"/>
          <w:noProof/>
          <w:sz w:val="22"/>
        </w:rPr>
      </w:pPr>
      <w:hyperlink w:anchor="_Toc256000244" w:history="1">
        <w:r>
          <w:rPr>
            <w:rStyle w:val="Hyperlink"/>
          </w:rPr>
          <w:t>16.2.2.</w:t>
        </w:r>
        <w:r>
          <w:rPr>
            <w:rStyle w:val="Hyperlink"/>
          </w:rPr>
          <w:t xml:space="preserve"> </w:t>
        </w:r>
        <w:r>
          <w:rPr>
            <w:rStyle w:val="Hyperlink"/>
          </w:rPr>
          <w:t>Обобщение на резултатите</w:t>
        </w:r>
        <w:r>
          <w:tab/>
        </w:r>
        <w:r>
          <w:fldChar w:fldCharType="begin"/>
        </w:r>
        <w:r>
          <w:instrText xml:space="preserve"> PAGEREF _Toc256000244 \h </w:instrText>
        </w:r>
        <w:r>
          <w:fldChar w:fldCharType="separate"/>
        </w:r>
        <w:r>
          <w:t>913</w:t>
        </w:r>
        <w:r>
          <w:fldChar w:fldCharType="end"/>
        </w:r>
      </w:hyperlink>
    </w:p>
    <w:p>
      <w:pPr>
        <w:pStyle w:val="TOC2"/>
        <w:rPr>
          <w:rFonts w:asciiTheme="minorHAnsi" w:hAnsiTheme="minorHAnsi"/>
          <w:noProof/>
          <w:sz w:val="22"/>
        </w:rPr>
      </w:pPr>
      <w:hyperlink w:anchor="_Toc256000245" w:history="1">
        <w:r>
          <w:rPr>
            <w:rStyle w:val="Hyperlink"/>
          </w:rPr>
          <w:t>16.3.</w:t>
        </w:r>
        <w:r>
          <w:rPr>
            <w:rStyle w:val="Hyperlink"/>
          </w:rPr>
          <w:t xml:space="preserve"> </w:t>
        </w:r>
        <w:r>
          <w:rPr>
            <w:rStyle w:val="Hyperlink"/>
          </w:rPr>
          <w:t>16.1.3. Сформиране на фокус групи</w:t>
        </w:r>
        <w:r>
          <w:tab/>
        </w:r>
        <w:r>
          <w:fldChar w:fldCharType="begin"/>
        </w:r>
        <w:r>
          <w:instrText xml:space="preserve"> PAGEREF _Toc256000245 \h </w:instrText>
        </w:r>
        <w:r>
          <w:fldChar w:fldCharType="separate"/>
        </w:r>
        <w:r>
          <w:t>914</w:t>
        </w:r>
        <w:r>
          <w:fldChar w:fldCharType="end"/>
        </w:r>
      </w:hyperlink>
    </w:p>
    <w:p>
      <w:pPr>
        <w:pStyle w:val="TOC3"/>
        <w:rPr>
          <w:rFonts w:asciiTheme="minorHAnsi" w:hAnsiTheme="minorHAnsi"/>
          <w:noProof/>
          <w:sz w:val="22"/>
        </w:rPr>
      </w:pPr>
      <w:hyperlink w:anchor="_Toc256000246" w:history="1">
        <w:r>
          <w:rPr>
            <w:rStyle w:val="Hyperlink"/>
          </w:rPr>
          <w:t>16.3.1.</w:t>
        </w:r>
        <w:r>
          <w:rPr>
            <w:rStyle w:val="Hyperlink"/>
          </w:rPr>
          <w:t xml:space="preserve"> </w:t>
        </w:r>
        <w:r>
          <w:rPr>
            <w:rStyle w:val="Hyperlink"/>
          </w:rPr>
          <w:t>Предмет на съответната консултация</w:t>
        </w:r>
        <w:r>
          <w:tab/>
        </w:r>
        <w:r>
          <w:fldChar w:fldCharType="begin"/>
        </w:r>
        <w:r>
          <w:instrText xml:space="preserve"> PAGEREF _Toc256000246 \h </w:instrText>
        </w:r>
        <w:r>
          <w:fldChar w:fldCharType="separate"/>
        </w:r>
        <w:r>
          <w:t>914</w:t>
        </w:r>
        <w:r>
          <w:fldChar w:fldCharType="end"/>
        </w:r>
      </w:hyperlink>
    </w:p>
    <w:p>
      <w:pPr>
        <w:pStyle w:val="TOC3"/>
        <w:rPr>
          <w:rFonts w:asciiTheme="minorHAnsi" w:hAnsiTheme="minorHAnsi"/>
          <w:noProof/>
          <w:sz w:val="22"/>
        </w:rPr>
      </w:pPr>
      <w:hyperlink w:anchor="_Toc256000247" w:history="1">
        <w:r>
          <w:rPr>
            <w:rStyle w:val="Hyperlink"/>
          </w:rPr>
          <w:t>16.3.2.</w:t>
        </w:r>
        <w:r>
          <w:rPr>
            <w:rStyle w:val="Hyperlink"/>
          </w:rPr>
          <w:t xml:space="preserve"> </w:t>
        </w:r>
        <w:r>
          <w:rPr>
            <w:rStyle w:val="Hyperlink"/>
          </w:rPr>
          <w:t>Обобщение на резултатите</w:t>
        </w:r>
        <w:r>
          <w:tab/>
        </w:r>
        <w:r>
          <w:fldChar w:fldCharType="begin"/>
        </w:r>
        <w:r>
          <w:instrText xml:space="preserve"> PAGEREF _Toc256000247 \h </w:instrText>
        </w:r>
        <w:r>
          <w:fldChar w:fldCharType="separate"/>
        </w:r>
        <w:r>
          <w:t>914</w:t>
        </w:r>
        <w:r>
          <w:fldChar w:fldCharType="end"/>
        </w:r>
      </w:hyperlink>
    </w:p>
    <w:p>
      <w:pPr>
        <w:pStyle w:val="TOC2"/>
        <w:rPr>
          <w:rFonts w:asciiTheme="minorHAnsi" w:hAnsiTheme="minorHAnsi"/>
          <w:noProof/>
          <w:sz w:val="22"/>
        </w:rPr>
      </w:pPr>
      <w:hyperlink w:anchor="_Toc256000248" w:history="1">
        <w:r>
          <w:rPr>
            <w:rStyle w:val="Hyperlink"/>
          </w:rPr>
          <w:t>16.4.</w:t>
        </w:r>
        <w:r>
          <w:rPr>
            <w:rStyle w:val="Hyperlink"/>
          </w:rPr>
          <w:t xml:space="preserve"> </w:t>
        </w:r>
        <w:r>
          <w:rPr>
            <w:rStyle w:val="Hyperlink"/>
          </w:rPr>
          <w:t>16.1.4.Привличане на партньори със съвещателен глас</w:t>
        </w:r>
        <w:r>
          <w:tab/>
        </w:r>
        <w:r>
          <w:fldChar w:fldCharType="begin"/>
        </w:r>
        <w:r>
          <w:instrText xml:space="preserve"> PAGEREF _Toc256000248 \h </w:instrText>
        </w:r>
        <w:r>
          <w:fldChar w:fldCharType="separate"/>
        </w:r>
        <w:r>
          <w:t>914</w:t>
        </w:r>
        <w:r>
          <w:fldChar w:fldCharType="end"/>
        </w:r>
      </w:hyperlink>
    </w:p>
    <w:p>
      <w:pPr>
        <w:pStyle w:val="TOC3"/>
        <w:rPr>
          <w:rFonts w:asciiTheme="minorHAnsi" w:hAnsiTheme="minorHAnsi"/>
          <w:noProof/>
          <w:sz w:val="22"/>
        </w:rPr>
      </w:pPr>
      <w:hyperlink w:anchor="_Toc256000249" w:history="1">
        <w:r>
          <w:rPr>
            <w:rStyle w:val="Hyperlink"/>
          </w:rPr>
          <w:t>16.4.1.</w:t>
        </w:r>
        <w:r>
          <w:rPr>
            <w:rStyle w:val="Hyperlink"/>
          </w:rPr>
          <w:t xml:space="preserve"> </w:t>
        </w:r>
        <w:r>
          <w:rPr>
            <w:rStyle w:val="Hyperlink"/>
          </w:rPr>
          <w:t>Предмет на съответната консултация</w:t>
        </w:r>
        <w:r>
          <w:tab/>
        </w:r>
        <w:r>
          <w:fldChar w:fldCharType="begin"/>
        </w:r>
        <w:r>
          <w:instrText xml:space="preserve"> PAGEREF _Toc256000249 \h </w:instrText>
        </w:r>
        <w:r>
          <w:fldChar w:fldCharType="separate"/>
        </w:r>
        <w:r>
          <w:t>914</w:t>
        </w:r>
        <w:r>
          <w:fldChar w:fldCharType="end"/>
        </w:r>
      </w:hyperlink>
    </w:p>
    <w:p>
      <w:pPr>
        <w:pStyle w:val="TOC3"/>
        <w:rPr>
          <w:rFonts w:asciiTheme="minorHAnsi" w:hAnsiTheme="minorHAnsi"/>
          <w:noProof/>
          <w:sz w:val="22"/>
        </w:rPr>
      </w:pPr>
      <w:hyperlink w:anchor="_Toc256000250" w:history="1">
        <w:r>
          <w:rPr>
            <w:rStyle w:val="Hyperlink"/>
          </w:rPr>
          <w:t>16.4.2.</w:t>
        </w:r>
        <w:r>
          <w:rPr>
            <w:rStyle w:val="Hyperlink"/>
          </w:rPr>
          <w:t xml:space="preserve"> </w:t>
        </w:r>
        <w:r>
          <w:rPr>
            <w:rStyle w:val="Hyperlink"/>
          </w:rPr>
          <w:t>Обобщение на резултатите</w:t>
        </w:r>
        <w:r>
          <w:tab/>
        </w:r>
        <w:r>
          <w:fldChar w:fldCharType="begin"/>
        </w:r>
        <w:r>
          <w:instrText xml:space="preserve"> PAGEREF _Toc256000250 \h </w:instrText>
        </w:r>
        <w:r>
          <w:fldChar w:fldCharType="separate"/>
        </w:r>
        <w:r>
          <w:t>914</w:t>
        </w:r>
        <w:r>
          <w:fldChar w:fldCharType="end"/>
        </w:r>
      </w:hyperlink>
    </w:p>
    <w:p>
      <w:pPr>
        <w:pStyle w:val="TOC2"/>
        <w:rPr>
          <w:rFonts w:asciiTheme="minorHAnsi" w:hAnsiTheme="minorHAnsi"/>
          <w:noProof/>
          <w:sz w:val="22"/>
        </w:rPr>
      </w:pPr>
      <w:hyperlink w:anchor="_Toc256000251" w:history="1">
        <w:r>
          <w:rPr>
            <w:rStyle w:val="Hyperlink"/>
          </w:rPr>
          <w:t>16.5.</w:t>
        </w:r>
        <w:r>
          <w:rPr>
            <w:rStyle w:val="Hyperlink"/>
          </w:rPr>
          <w:t xml:space="preserve"> </w:t>
        </w:r>
        <w:r>
          <w:rPr>
            <w:rStyle w:val="Hyperlink"/>
          </w:rPr>
          <w:t>16.1.5.Представяне на ПРСР на три заседания на КН</w:t>
        </w:r>
        <w:r>
          <w:tab/>
        </w:r>
        <w:r>
          <w:fldChar w:fldCharType="begin"/>
        </w:r>
        <w:r>
          <w:instrText xml:space="preserve"> PAGEREF _Toc256000251 \h </w:instrText>
        </w:r>
        <w:r>
          <w:fldChar w:fldCharType="separate"/>
        </w:r>
        <w:r>
          <w:t>915</w:t>
        </w:r>
        <w:r>
          <w:fldChar w:fldCharType="end"/>
        </w:r>
      </w:hyperlink>
    </w:p>
    <w:p>
      <w:pPr>
        <w:pStyle w:val="TOC3"/>
        <w:rPr>
          <w:rFonts w:asciiTheme="minorHAnsi" w:hAnsiTheme="minorHAnsi"/>
          <w:noProof/>
          <w:sz w:val="22"/>
        </w:rPr>
      </w:pPr>
      <w:hyperlink w:anchor="_Toc256000252" w:history="1">
        <w:r>
          <w:rPr>
            <w:rStyle w:val="Hyperlink"/>
          </w:rPr>
          <w:t>16.5.1.</w:t>
        </w:r>
        <w:r>
          <w:rPr>
            <w:rStyle w:val="Hyperlink"/>
          </w:rPr>
          <w:t xml:space="preserve"> </w:t>
        </w:r>
        <w:r>
          <w:rPr>
            <w:rStyle w:val="Hyperlink"/>
          </w:rPr>
          <w:t>Предмет на съответната консултация</w:t>
        </w:r>
        <w:r>
          <w:tab/>
        </w:r>
        <w:r>
          <w:fldChar w:fldCharType="begin"/>
        </w:r>
        <w:r>
          <w:instrText xml:space="preserve"> PAGEREF _Toc256000252 \h </w:instrText>
        </w:r>
        <w:r>
          <w:fldChar w:fldCharType="separate"/>
        </w:r>
        <w:r>
          <w:t>915</w:t>
        </w:r>
        <w:r>
          <w:fldChar w:fldCharType="end"/>
        </w:r>
      </w:hyperlink>
    </w:p>
    <w:p>
      <w:pPr>
        <w:pStyle w:val="TOC3"/>
        <w:rPr>
          <w:rFonts w:asciiTheme="minorHAnsi" w:hAnsiTheme="minorHAnsi"/>
          <w:noProof/>
          <w:sz w:val="22"/>
        </w:rPr>
      </w:pPr>
      <w:hyperlink w:anchor="_Toc256000253" w:history="1">
        <w:r>
          <w:rPr>
            <w:rStyle w:val="Hyperlink"/>
          </w:rPr>
          <w:t>16.5.2.</w:t>
        </w:r>
        <w:r>
          <w:rPr>
            <w:rStyle w:val="Hyperlink"/>
          </w:rPr>
          <w:t xml:space="preserve"> </w:t>
        </w:r>
        <w:r>
          <w:rPr>
            <w:rStyle w:val="Hyperlink"/>
          </w:rPr>
          <w:t>Обобщение на резултатите</w:t>
        </w:r>
        <w:r>
          <w:tab/>
        </w:r>
        <w:r>
          <w:fldChar w:fldCharType="begin"/>
        </w:r>
        <w:r>
          <w:instrText xml:space="preserve"> PAGEREF _Toc256000253 \h </w:instrText>
        </w:r>
        <w:r>
          <w:fldChar w:fldCharType="separate"/>
        </w:r>
        <w:r>
          <w:t>915</w:t>
        </w:r>
        <w:r>
          <w:fldChar w:fldCharType="end"/>
        </w:r>
      </w:hyperlink>
    </w:p>
    <w:p>
      <w:pPr>
        <w:pStyle w:val="TOC2"/>
        <w:rPr>
          <w:rFonts w:asciiTheme="minorHAnsi" w:hAnsiTheme="minorHAnsi"/>
          <w:noProof/>
          <w:sz w:val="22"/>
        </w:rPr>
      </w:pPr>
      <w:hyperlink w:anchor="_Toc256000254" w:history="1">
        <w:r>
          <w:rPr>
            <w:rStyle w:val="Hyperlink"/>
          </w:rPr>
          <w:t>16.6.</w:t>
        </w:r>
        <w:r>
          <w:rPr>
            <w:rStyle w:val="Hyperlink"/>
          </w:rPr>
          <w:t xml:space="preserve"> </w:t>
        </w:r>
        <w:r>
          <w:rPr>
            <w:rStyle w:val="Hyperlink"/>
          </w:rPr>
          <w:t>16.1.6.Достъп до информация, прозрачност</w:t>
        </w:r>
        <w:r>
          <w:tab/>
        </w:r>
        <w:r>
          <w:fldChar w:fldCharType="begin"/>
        </w:r>
        <w:r>
          <w:instrText xml:space="preserve"> PAGEREF _Toc256000254 \h </w:instrText>
        </w:r>
        <w:r>
          <w:fldChar w:fldCharType="separate"/>
        </w:r>
        <w:r>
          <w:t>915</w:t>
        </w:r>
        <w:r>
          <w:fldChar w:fldCharType="end"/>
        </w:r>
      </w:hyperlink>
    </w:p>
    <w:p>
      <w:pPr>
        <w:pStyle w:val="TOC3"/>
        <w:rPr>
          <w:rFonts w:asciiTheme="minorHAnsi" w:hAnsiTheme="minorHAnsi"/>
          <w:noProof/>
          <w:sz w:val="22"/>
        </w:rPr>
      </w:pPr>
      <w:hyperlink w:anchor="_Toc256000255" w:history="1">
        <w:r>
          <w:rPr>
            <w:rStyle w:val="Hyperlink"/>
          </w:rPr>
          <w:t>16.6.1.</w:t>
        </w:r>
        <w:r>
          <w:rPr>
            <w:rStyle w:val="Hyperlink"/>
          </w:rPr>
          <w:t xml:space="preserve"> </w:t>
        </w:r>
        <w:r>
          <w:rPr>
            <w:rStyle w:val="Hyperlink"/>
          </w:rPr>
          <w:t>Предмет на съответната консултация</w:t>
        </w:r>
        <w:r>
          <w:tab/>
        </w:r>
        <w:r>
          <w:fldChar w:fldCharType="begin"/>
        </w:r>
        <w:r>
          <w:instrText xml:space="preserve"> PAGEREF _Toc256000255 \h </w:instrText>
        </w:r>
        <w:r>
          <w:fldChar w:fldCharType="separate"/>
        </w:r>
        <w:r>
          <w:t>915</w:t>
        </w:r>
        <w:r>
          <w:fldChar w:fldCharType="end"/>
        </w:r>
      </w:hyperlink>
    </w:p>
    <w:p>
      <w:pPr>
        <w:pStyle w:val="TOC3"/>
        <w:rPr>
          <w:rFonts w:asciiTheme="minorHAnsi" w:hAnsiTheme="minorHAnsi"/>
          <w:noProof/>
          <w:sz w:val="22"/>
        </w:rPr>
      </w:pPr>
      <w:hyperlink w:anchor="_Toc256000256" w:history="1">
        <w:r>
          <w:rPr>
            <w:rStyle w:val="Hyperlink"/>
          </w:rPr>
          <w:t>16.6.2.</w:t>
        </w:r>
        <w:r>
          <w:rPr>
            <w:rStyle w:val="Hyperlink"/>
          </w:rPr>
          <w:t xml:space="preserve"> </w:t>
        </w:r>
        <w:r>
          <w:rPr>
            <w:rStyle w:val="Hyperlink"/>
          </w:rPr>
          <w:t>Обобщение на резултатите</w:t>
        </w:r>
        <w:r>
          <w:tab/>
        </w:r>
        <w:r>
          <w:fldChar w:fldCharType="begin"/>
        </w:r>
        <w:r>
          <w:instrText xml:space="preserve"> PAGEREF _Toc256000256 \h </w:instrText>
        </w:r>
        <w:r>
          <w:fldChar w:fldCharType="separate"/>
        </w:r>
        <w:r>
          <w:t>915</w:t>
        </w:r>
        <w:r>
          <w:fldChar w:fldCharType="end"/>
        </w:r>
      </w:hyperlink>
    </w:p>
    <w:p>
      <w:pPr>
        <w:pStyle w:val="TOC2"/>
        <w:rPr>
          <w:rFonts w:asciiTheme="minorHAnsi" w:hAnsiTheme="minorHAnsi"/>
          <w:noProof/>
          <w:sz w:val="22"/>
        </w:rPr>
      </w:pPr>
      <w:hyperlink w:anchor="_Toc256000257" w:history="1">
        <w:r>
          <w:rPr>
            <w:rStyle w:val="Hyperlink"/>
          </w:rPr>
          <w:t>16.7.</w:t>
        </w:r>
        <w:r>
          <w:rPr>
            <w:rStyle w:val="Hyperlink"/>
          </w:rPr>
          <w:t xml:space="preserve"> </w:t>
        </w:r>
        <w:r>
          <w:rPr>
            <w:rStyle w:val="Hyperlink"/>
          </w:rPr>
          <w:t>(Незадължително) разяснения или допълнителна информация за допълване на списъка с действия</w:t>
        </w:r>
        <w:r>
          <w:tab/>
        </w:r>
        <w:r>
          <w:fldChar w:fldCharType="begin"/>
        </w:r>
        <w:r>
          <w:instrText xml:space="preserve"> PAGEREF _Toc256000257 \h </w:instrText>
        </w:r>
        <w:r>
          <w:fldChar w:fldCharType="separate"/>
        </w:r>
        <w:r>
          <w:t>915</w:t>
        </w:r>
        <w:r>
          <w:fldChar w:fldCharType="end"/>
        </w:r>
      </w:hyperlink>
    </w:p>
    <w:p>
      <w:pPr>
        <w:pStyle w:val="TOC1"/>
        <w:rPr>
          <w:rFonts w:asciiTheme="minorHAnsi" w:hAnsiTheme="minorHAnsi"/>
          <w:noProof/>
          <w:sz w:val="22"/>
        </w:rPr>
      </w:pPr>
      <w:hyperlink w:anchor="_Toc256000258" w:history="1">
        <w:r>
          <w:rPr>
            <w:rStyle w:val="Hyperlink"/>
          </w:rPr>
          <w:t>17.</w:t>
        </w:r>
        <w:r>
          <w:rPr>
            <w:rStyle w:val="Hyperlink"/>
          </w:rPr>
          <w:t xml:space="preserve"> </w:t>
        </w:r>
        <w:r>
          <w:rPr>
            <w:rStyle w:val="Hyperlink"/>
          </w:rPr>
          <w:t>Национална мрежа за селските райони</w:t>
        </w:r>
        <w:r>
          <w:tab/>
        </w:r>
        <w:r>
          <w:fldChar w:fldCharType="begin"/>
        </w:r>
        <w:r>
          <w:instrText xml:space="preserve"> PAGEREF _Toc256000258 \h </w:instrText>
        </w:r>
        <w:r>
          <w:fldChar w:fldCharType="separate"/>
        </w:r>
        <w:r>
          <w:t>919</w:t>
        </w:r>
        <w:r>
          <w:fldChar w:fldCharType="end"/>
        </w:r>
      </w:hyperlink>
    </w:p>
    <w:p>
      <w:pPr>
        <w:pStyle w:val="TOC2"/>
        <w:rPr>
          <w:rFonts w:asciiTheme="minorHAnsi" w:hAnsiTheme="minorHAnsi"/>
          <w:noProof/>
          <w:sz w:val="22"/>
        </w:rPr>
      </w:pPr>
      <w:hyperlink w:anchor="_Toc256000259" w:history="1">
        <w:r>
          <w:rPr>
            <w:rStyle w:val="Hyperlink"/>
          </w:rPr>
          <w:t>17.1.</w:t>
        </w:r>
        <w:r>
          <w:rPr>
            <w:rStyle w:val="Hyperlink"/>
          </w:rPr>
          <w:t xml:space="preserve"> </w:t>
        </w:r>
        <w:r>
          <w:rPr>
            <w:rStyle w:val="Hyperlink"/>
          </w:rPr>
          <w:t>Процедура и график за създаването на националната мрежа за селските райони („НМСР“)</w:t>
        </w:r>
        <w:r>
          <w:tab/>
        </w:r>
        <w:r>
          <w:fldChar w:fldCharType="begin"/>
        </w:r>
        <w:r>
          <w:instrText xml:space="preserve"> PAGEREF _Toc256000259 \h </w:instrText>
        </w:r>
        <w:r>
          <w:fldChar w:fldCharType="separate"/>
        </w:r>
        <w:r>
          <w:t>919</w:t>
        </w:r>
        <w:r>
          <w:fldChar w:fldCharType="end"/>
        </w:r>
      </w:hyperlink>
    </w:p>
    <w:p>
      <w:pPr>
        <w:pStyle w:val="TOC2"/>
        <w:rPr>
          <w:rFonts w:asciiTheme="minorHAnsi" w:hAnsiTheme="minorHAnsi"/>
          <w:noProof/>
          <w:sz w:val="22"/>
        </w:rPr>
      </w:pPr>
      <w:hyperlink w:anchor="_Toc256000260" w:history="1">
        <w:r>
          <w:rPr>
            <w:rStyle w:val="Hyperlink"/>
          </w:rPr>
          <w:t>17.2.</w:t>
        </w:r>
        <w:r>
          <w:rPr>
            <w:rStyle w:val="Hyperlink"/>
          </w:rPr>
          <w:t xml:space="preserve"> </w:t>
        </w:r>
        <w:r>
          <w:rPr>
            <w:rStyle w:val="Hyperlink"/>
          </w:rPr>
          <w:t>Планираната организация на мрежата, а именно начинът, по който организациите и администрациите, ангажирани в развитието на селските райони, включително партньорите, както е посочено в член 54, параграф 1 от Регламент (ЕС) № 1305/2013, ще бъдат включени, и как ще се посредничи при работата в мрежа</w:t>
        </w:r>
        <w:r>
          <w:tab/>
        </w:r>
        <w:r>
          <w:fldChar w:fldCharType="begin"/>
        </w:r>
        <w:r>
          <w:instrText xml:space="preserve"> PAGEREF _Toc256000260 \h </w:instrText>
        </w:r>
        <w:r>
          <w:fldChar w:fldCharType="separate"/>
        </w:r>
        <w:r>
          <w:t>919</w:t>
        </w:r>
        <w:r>
          <w:fldChar w:fldCharType="end"/>
        </w:r>
      </w:hyperlink>
    </w:p>
    <w:p>
      <w:pPr>
        <w:pStyle w:val="TOC2"/>
        <w:rPr>
          <w:rFonts w:asciiTheme="minorHAnsi" w:hAnsiTheme="minorHAnsi"/>
          <w:noProof/>
          <w:sz w:val="22"/>
        </w:rPr>
      </w:pPr>
      <w:hyperlink w:anchor="_Toc256000261" w:history="1">
        <w:r>
          <w:rPr>
            <w:rStyle w:val="Hyperlink"/>
          </w:rPr>
          <w:t>17.3.</w:t>
        </w:r>
        <w:r>
          <w:rPr>
            <w:rStyle w:val="Hyperlink"/>
          </w:rPr>
          <w:t xml:space="preserve"> </w:t>
        </w:r>
        <w:r>
          <w:rPr>
            <w:rStyle w:val="Hyperlink"/>
          </w:rPr>
          <w:t>Обобщено описание на основните категории дейности на националната мрежа за селските райони в съответствие с целите на програмата</w:t>
        </w:r>
        <w:r>
          <w:tab/>
        </w:r>
        <w:r>
          <w:fldChar w:fldCharType="begin"/>
        </w:r>
        <w:r>
          <w:instrText xml:space="preserve"> PAGEREF _Toc256000261 \h </w:instrText>
        </w:r>
        <w:r>
          <w:fldChar w:fldCharType="separate"/>
        </w:r>
        <w:r>
          <w:t>921</w:t>
        </w:r>
        <w:r>
          <w:fldChar w:fldCharType="end"/>
        </w:r>
      </w:hyperlink>
    </w:p>
    <w:p>
      <w:pPr>
        <w:pStyle w:val="TOC2"/>
        <w:rPr>
          <w:rFonts w:asciiTheme="minorHAnsi" w:hAnsiTheme="minorHAnsi"/>
          <w:noProof/>
          <w:sz w:val="22"/>
        </w:rPr>
      </w:pPr>
      <w:hyperlink w:anchor="_Toc256000262" w:history="1">
        <w:r>
          <w:rPr>
            <w:rStyle w:val="Hyperlink"/>
          </w:rPr>
          <w:t>17.4.</w:t>
        </w:r>
        <w:r>
          <w:rPr>
            <w:rStyle w:val="Hyperlink"/>
          </w:rPr>
          <w:t xml:space="preserve"> </w:t>
        </w:r>
        <w:r>
          <w:rPr>
            <w:rStyle w:val="Hyperlink"/>
          </w:rPr>
          <w:t>Налични ресурси за създаването и привеждането в действие на националната мрежа за селските райони</w:t>
        </w:r>
        <w:r>
          <w:tab/>
        </w:r>
        <w:r>
          <w:fldChar w:fldCharType="begin"/>
        </w:r>
        <w:r>
          <w:instrText xml:space="preserve"> PAGEREF _Toc256000262 \h </w:instrText>
        </w:r>
        <w:r>
          <w:fldChar w:fldCharType="separate"/>
        </w:r>
        <w:r>
          <w:t>927</w:t>
        </w:r>
        <w:r>
          <w:fldChar w:fldCharType="end"/>
        </w:r>
      </w:hyperlink>
    </w:p>
    <w:p>
      <w:pPr>
        <w:pStyle w:val="TOC1"/>
        <w:rPr>
          <w:rFonts w:asciiTheme="minorHAnsi" w:hAnsiTheme="minorHAnsi"/>
          <w:noProof/>
          <w:sz w:val="22"/>
        </w:rPr>
      </w:pPr>
      <w:hyperlink w:anchor="_Toc256000263" w:history="1">
        <w:r>
          <w:rPr>
            <w:rStyle w:val="Hyperlink"/>
          </w:rPr>
          <w:t>18.</w:t>
        </w:r>
        <w:r>
          <w:rPr>
            <w:rStyle w:val="Hyperlink"/>
          </w:rPr>
          <w:t xml:space="preserve"> </w:t>
        </w:r>
        <w:r>
          <w:rPr>
            <w:rStyle w:val="Hyperlink"/>
          </w:rPr>
          <w:t>Предварителна оценка на доказуемостта и на възможността за контрол, както и на риска от грешки</w:t>
        </w:r>
        <w:r>
          <w:tab/>
        </w:r>
        <w:r>
          <w:fldChar w:fldCharType="begin"/>
        </w:r>
        <w:r>
          <w:instrText xml:space="preserve"> PAGEREF _Toc256000263 \h </w:instrText>
        </w:r>
        <w:r>
          <w:fldChar w:fldCharType="separate"/>
        </w:r>
        <w:r>
          <w:t>928</w:t>
        </w:r>
        <w:r>
          <w:fldChar w:fldCharType="end"/>
        </w:r>
      </w:hyperlink>
    </w:p>
    <w:p>
      <w:pPr>
        <w:pStyle w:val="TOC2"/>
        <w:rPr>
          <w:rFonts w:asciiTheme="minorHAnsi" w:hAnsiTheme="minorHAnsi"/>
          <w:noProof/>
          <w:sz w:val="22"/>
        </w:rPr>
      </w:pPr>
      <w:hyperlink w:anchor="_Toc256000264" w:history="1">
        <w:r>
          <w:rPr>
            <w:rStyle w:val="Hyperlink"/>
          </w:rPr>
          <w:t>18.1.</w:t>
        </w:r>
        <w:r>
          <w:rPr>
            <w:rStyle w:val="Hyperlink"/>
          </w:rPr>
          <w:t xml:space="preserve"> </w:t>
        </w:r>
        <w:r>
          <w:rPr>
            <w:rStyle w:val="Hyperlink"/>
          </w:rPr>
          <w:t>Удостоверение от управляващия орган и разплащателната агенция относно доказуемостта и възможността за контрол на мерките, подкрепяни по програмата за развитие на селските райони</w:t>
        </w:r>
        <w:r>
          <w:tab/>
        </w:r>
        <w:r>
          <w:fldChar w:fldCharType="begin"/>
        </w:r>
        <w:r>
          <w:instrText xml:space="preserve"> PAGEREF _Toc256000264 \h </w:instrText>
        </w:r>
        <w:r>
          <w:fldChar w:fldCharType="separate"/>
        </w:r>
        <w:r>
          <w:t>928</w:t>
        </w:r>
        <w:r>
          <w:fldChar w:fldCharType="end"/>
        </w:r>
      </w:hyperlink>
    </w:p>
    <w:p>
      <w:pPr>
        <w:pStyle w:val="TOC2"/>
        <w:rPr>
          <w:rFonts w:asciiTheme="minorHAnsi" w:hAnsiTheme="minorHAnsi"/>
          <w:noProof/>
          <w:sz w:val="22"/>
        </w:rPr>
      </w:pPr>
      <w:hyperlink w:anchor="_Toc256000265" w:history="1">
        <w:r>
          <w:rPr>
            <w:rStyle w:val="Hyperlink"/>
          </w:rPr>
          <w:t>18.2.</w:t>
        </w:r>
        <w:r>
          <w:rPr>
            <w:rStyle w:val="Hyperlink"/>
          </w:rPr>
          <w:t xml:space="preserve"> </w:t>
        </w:r>
        <w:r>
          <w:rPr>
            <w:rStyle w:val="Hyperlink"/>
          </w:rPr>
          <w:t>Удостоверение от органа, който е функционално независим от органите, отговарящи за изпълнението на програмата, удостоверяващо адекватността и точността на изчисленията на стандартните разходи, допълнителните разходи и пропуснатите доходи</w:t>
        </w:r>
        <w:r>
          <w:tab/>
        </w:r>
        <w:r>
          <w:fldChar w:fldCharType="begin"/>
        </w:r>
        <w:r>
          <w:instrText xml:space="preserve"> PAGEREF _Toc256000265 \h </w:instrText>
        </w:r>
        <w:r>
          <w:fldChar w:fldCharType="separate"/>
        </w:r>
        <w:r>
          <w:t>929</w:t>
        </w:r>
        <w:r>
          <w:fldChar w:fldCharType="end"/>
        </w:r>
      </w:hyperlink>
    </w:p>
    <w:p>
      <w:pPr>
        <w:pStyle w:val="TOC1"/>
        <w:rPr>
          <w:rFonts w:asciiTheme="minorHAnsi" w:hAnsiTheme="minorHAnsi"/>
          <w:noProof/>
          <w:sz w:val="22"/>
        </w:rPr>
      </w:pPr>
      <w:hyperlink w:anchor="_Toc256000266" w:history="1">
        <w:r>
          <w:rPr>
            <w:rStyle w:val="Hyperlink"/>
          </w:rPr>
          <w:t>19.</w:t>
        </w:r>
        <w:r>
          <w:rPr>
            <w:rStyle w:val="Hyperlink"/>
          </w:rPr>
          <w:t xml:space="preserve"> </w:t>
        </w:r>
        <w:r>
          <w:rPr>
            <w:rStyle w:val="Hyperlink"/>
          </w:rPr>
          <w:t>Преходни условия</w:t>
        </w:r>
        <w:r>
          <w:tab/>
        </w:r>
        <w:r>
          <w:fldChar w:fldCharType="begin"/>
        </w:r>
        <w:r>
          <w:instrText xml:space="preserve"> PAGEREF _Toc256000266 \h </w:instrText>
        </w:r>
        <w:r>
          <w:fldChar w:fldCharType="separate"/>
        </w:r>
        <w:r>
          <w:t>932</w:t>
        </w:r>
        <w:r>
          <w:fldChar w:fldCharType="end"/>
        </w:r>
      </w:hyperlink>
    </w:p>
    <w:p>
      <w:pPr>
        <w:pStyle w:val="TOC2"/>
        <w:rPr>
          <w:rFonts w:asciiTheme="minorHAnsi" w:hAnsiTheme="minorHAnsi"/>
          <w:noProof/>
          <w:sz w:val="22"/>
        </w:rPr>
      </w:pPr>
      <w:hyperlink w:anchor="_Toc256000267" w:history="1">
        <w:r>
          <w:rPr>
            <w:rStyle w:val="Hyperlink"/>
          </w:rPr>
          <w:t>19.1.</w:t>
        </w:r>
        <w:r>
          <w:rPr>
            <w:rStyle w:val="Hyperlink"/>
          </w:rPr>
          <w:t xml:space="preserve"> </w:t>
        </w:r>
        <w:r>
          <w:rPr>
            <w:rStyle w:val="Hyperlink"/>
          </w:rPr>
          <w:t>Описание на преходните условия по мерки</w:t>
        </w:r>
        <w:r>
          <w:tab/>
        </w:r>
        <w:r>
          <w:fldChar w:fldCharType="begin"/>
        </w:r>
        <w:r>
          <w:instrText xml:space="preserve"> PAGEREF _Toc256000267 \h </w:instrText>
        </w:r>
        <w:r>
          <w:fldChar w:fldCharType="separate"/>
        </w:r>
        <w:r>
          <w:t>932</w:t>
        </w:r>
        <w:r>
          <w:fldChar w:fldCharType="end"/>
        </w:r>
      </w:hyperlink>
    </w:p>
    <w:p>
      <w:pPr>
        <w:pStyle w:val="TOC2"/>
        <w:rPr>
          <w:rFonts w:asciiTheme="minorHAnsi" w:hAnsiTheme="minorHAnsi"/>
          <w:noProof/>
          <w:sz w:val="22"/>
        </w:rPr>
      </w:pPr>
      <w:hyperlink w:anchor="_Toc256000268" w:history="1">
        <w:r>
          <w:rPr>
            <w:rStyle w:val="Hyperlink"/>
          </w:rPr>
          <w:t>19.2.</w:t>
        </w:r>
        <w:r>
          <w:rPr>
            <w:rStyle w:val="Hyperlink"/>
          </w:rPr>
          <w:t xml:space="preserve"> </w:t>
        </w:r>
        <w:r>
          <w:rPr>
            <w:rStyle w:val="Hyperlink"/>
          </w:rPr>
          <w:t>Ориентировъчна таблица за пренос на средства</w:t>
        </w:r>
        <w:r>
          <w:tab/>
        </w:r>
        <w:r>
          <w:fldChar w:fldCharType="begin"/>
        </w:r>
        <w:r>
          <w:instrText xml:space="preserve"> PAGEREF _Toc256000268 \h </w:instrText>
        </w:r>
        <w:r>
          <w:fldChar w:fldCharType="separate"/>
        </w:r>
        <w:r>
          <w:t>934</w:t>
        </w:r>
        <w:r>
          <w:fldChar w:fldCharType="end"/>
        </w:r>
      </w:hyperlink>
    </w:p>
    <w:p>
      <w:pPr>
        <w:pStyle w:val="TOC1"/>
        <w:rPr>
          <w:rFonts w:asciiTheme="minorHAnsi" w:hAnsiTheme="minorHAnsi"/>
          <w:noProof/>
          <w:sz w:val="22"/>
        </w:rPr>
      </w:pPr>
      <w:hyperlink w:anchor="_Toc256000269" w:history="1">
        <w:r>
          <w:rPr>
            <w:rStyle w:val="Hyperlink"/>
          </w:rPr>
          <w:t>20.</w:t>
        </w:r>
        <w:r>
          <w:rPr>
            <w:rStyle w:val="Hyperlink"/>
          </w:rPr>
          <w:t xml:space="preserve"> </w:t>
        </w:r>
        <w:r>
          <w:rPr>
            <w:rStyle w:val="Hyperlink"/>
          </w:rPr>
          <w:t>Тематични подпрограми</w:t>
        </w:r>
        <w:r>
          <w:tab/>
        </w:r>
        <w:r>
          <w:fldChar w:fldCharType="begin"/>
        </w:r>
        <w:r>
          <w:instrText xml:space="preserve"> PAGEREF _Toc256000269 \h </w:instrText>
        </w:r>
        <w:r>
          <w:fldChar w:fldCharType="separate"/>
        </w:r>
        <w:r>
          <w:t>936</w:t>
        </w:r>
        <w:r>
          <w:fldChar w:fldCharType="end"/>
        </w:r>
      </w:hyperlink>
    </w:p>
    <w:p>
      <w:pPr>
        <w:pStyle w:val="TOC2"/>
        <w:rPr>
          <w:rFonts w:asciiTheme="minorHAnsi" w:hAnsiTheme="minorHAnsi"/>
          <w:noProof/>
          <w:sz w:val="22"/>
        </w:rPr>
      </w:pPr>
      <w:hyperlink w:anchor="_Toc256000270" w:history="1">
        <w:r>
          <w:rPr>
            <w:rStyle w:val="Hyperlink"/>
          </w:rPr>
          <w:t>Документи</w:t>
        </w:r>
        <w:r>
          <w:tab/>
        </w:r>
        <w:r>
          <w:fldChar w:fldCharType="begin"/>
        </w:r>
        <w:r>
          <w:instrText xml:space="preserve"> PAGEREF _Toc256000270 \h </w:instrText>
        </w:r>
        <w:r>
          <w:fldChar w:fldCharType="separate"/>
        </w:r>
        <w:r>
          <w:t>937</w:t>
        </w:r>
        <w:r>
          <w:fldChar w:fldCharType="end"/>
        </w:r>
      </w:hyperlink>
    </w:p>
    <w:p>
      <w:pPr>
        <w:sectPr>
          <w:pgMar w:top="900" w:right="900" w:bottom="900" w:left="900" w:header="720" w:footer="720"/>
          <w:cols w:space="720"/>
        </w:sectPr>
      </w:pPr>
      <w:r>
        <w:fldChar w:fldCharType="end"/>
      </w:r>
    </w:p>
    <w:p>
      <w:pPr>
        <w:pStyle w:val="Heading1"/>
      </w:pPr>
      <w:bookmarkStart w:id="0" w:name="_Toc256000000"/>
      <w:r>
        <w:t>Заглавие на програмата за развитие на селските райони</w:t>
      </w:r>
      <w:bookmarkEnd w:id="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pPr>
            <w:r>
              <w:t>Bulgaria - Rural Development Programme (National)</w:t>
            </w:r>
          </w:p>
        </w:tc>
      </w:tr>
    </w:tbl>
    <w:p/>
    <w:p>
      <w:pPr>
        <w:pStyle w:val="Heading2"/>
      </w:pPr>
      <w:bookmarkStart w:id="1" w:name="_Toc256000001"/>
      <w:r>
        <w:t>Изменение</w:t>
      </w:r>
      <w:bookmarkEnd w:id="1"/>
    </w:p>
    <w:p>
      <w:pPr>
        <w:pStyle w:val="Heading3"/>
        <w:jc w:val="left"/>
        <w:rPr>
          <w:b w:val="0"/>
        </w:rPr>
      </w:pPr>
      <w:bookmarkStart w:id="2" w:name="_Toc256000002"/>
      <w:r>
        <w:rPr>
          <w:b w:val="0"/>
        </w:rPr>
        <w:t>Вид изменение по Регламент (ЕС) № 1305/2013</w:t>
      </w:r>
      <w:bookmarkEnd w:id="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rPr>
                <w:b w:val="0"/>
              </w:rPr>
            </w:pPr>
            <w:r>
              <w:rPr>
                <w:b w:val="0"/>
              </w:rPr>
              <w:t>б. Решение по член 11, буква а), подточка ii) или iii)</w:t>
            </w:r>
          </w:p>
        </w:tc>
      </w:tr>
    </w:tbl>
    <w:p>
      <w:pPr>
        <w:pStyle w:val="Heading3"/>
        <w:jc w:val="left"/>
        <w:rPr>
          <w:b w:val="0"/>
        </w:rPr>
      </w:pPr>
      <w:bookmarkStart w:id="3" w:name="_Toc256000003"/>
      <w:r>
        <w:rPr>
          <w:b w:val="0"/>
        </w:rPr>
        <w:t>Изменение, с което се внасят промени в информацията, предоставена в споразумението за партньорство</w:t>
      </w:r>
      <w:bookmarkEnd w:id="3"/>
      <w:r>
        <w:rPr>
          <w:b w:val="0"/>
        </w:rPr>
        <w:t xml:space="preserv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rPr>
                <w:b w:val="0"/>
              </w:rPr>
            </w:pPr>
          </w:p>
        </w:tc>
      </w:tr>
    </w:tbl>
    <w:p>
      <w:pPr>
        <w:pStyle w:val="Heading3"/>
        <w:jc w:val="left"/>
        <w:rPr>
          <w:b w:val="0"/>
        </w:rPr>
      </w:pPr>
      <w:bookmarkStart w:id="4" w:name="_Toc256000004"/>
      <w:r>
        <w:rPr>
          <w:b w:val="0"/>
        </w:rPr>
        <w:t>Изменение, свързано с член 4, параграф 2, трета алинея от Регламент (ЕС) № 808/2014 (не се брои за целите на ограниченията, определени в посочения член)</w:t>
      </w:r>
      <w:bookmarkEnd w:id="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rPr>
                <w:b w:val="0"/>
              </w:rPr>
            </w:pPr>
          </w:p>
        </w:tc>
      </w:tr>
    </w:tbl>
    <w:p>
      <w:pPr>
        <w:pStyle w:val="Heading3"/>
        <w:jc w:val="left"/>
        <w:rPr>
          <w:b w:val="0"/>
        </w:rPr>
      </w:pPr>
      <w:bookmarkStart w:id="5" w:name="_Toc256000005"/>
      <w:r>
        <w:rPr>
          <w:b w:val="0"/>
        </w:rPr>
        <w:t>Консултации с мониторинговия комитет (член 49, параграф 3 от Регламент (ЕС) № 1303/2013)</w:t>
      </w:r>
      <w:bookmarkEnd w:id="5"/>
    </w:p>
    <w:p>
      <w:pPr>
        <w:pStyle w:val="Heading4"/>
        <w:jc w:val="left"/>
        <w:rPr>
          <w:b w:val="0"/>
        </w:rPr>
      </w:pPr>
      <w:r>
        <w:rPr>
          <w:b w:val="0"/>
        </w:rPr>
        <w:t>Дата</w:t>
      </w:r>
    </w:p>
    <w:p>
      <w:pPr>
        <w:rPr>
          <w:b w:val="0"/>
        </w:rPr>
      </w:pPr>
    </w:p>
    <w:p>
      <w:pPr>
        <w:pStyle w:val="Heading4"/>
        <w:jc w:val="left"/>
        <w:rPr>
          <w:b w:val="0"/>
        </w:rPr>
      </w:pPr>
      <w:r>
        <w:rPr>
          <w:b w:val="0"/>
        </w:rPr>
        <w:t>Становище на мониторинговия комитет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pStyle w:val="BodyText"/>
              <w:jc w:val="both"/>
              <w:rPr>
                <w:b w:val="0"/>
              </w:rPr>
            </w:pPr>
          </w:p>
        </w:tc>
      </w:tr>
    </w:tbl>
    <w:p>
      <w:pPr>
        <w:pStyle w:val="Heading3"/>
        <w:jc w:val="left"/>
        <w:rPr>
          <w:b w:val="0"/>
        </w:rPr>
      </w:pPr>
      <w:bookmarkStart w:id="6" w:name="_Toc256000006"/>
      <w:r>
        <w:rPr>
          <w:b w:val="0"/>
        </w:rPr>
        <w:t>а. Описание на изменението — член 4, параграф 1 от Регламент (ЕС) № 808/2014</w:t>
      </w:r>
      <w:bookmarkEnd w:id="6"/>
    </w:p>
    <w:p>
      <w:pPr>
        <w:pStyle w:val="Heading4"/>
        <w:jc w:val="left"/>
        <w:rPr>
          <w:b w:val="0"/>
        </w:rPr>
      </w:pPr>
      <w:r>
        <w:rPr>
          <w:b w:val="0"/>
        </w:rPr>
        <w:t>Осемнадесето изменение на ПРСР 2014-2020</w:t>
      </w:r>
    </w:p>
    <w:p>
      <w:pPr>
        <w:pStyle w:val="Heading5"/>
        <w:jc w:val="left"/>
        <w:rPr>
          <w:b w:val="0"/>
        </w:rPr>
      </w:pPr>
      <w:r>
        <w:rPr>
          <w:b w:val="0"/>
        </w:rPr>
        <w:t>Причини и/или свързани с изпълнението проблеми, които обосновават изменението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I. Обобщено преразпределение на средства по всички мерки и подмерки на ПРСР 2014-2020 в рамките на 18-то изменение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Предвид напредналото прилагане на ПРСР 2014-2020 и предстоящото приключване на програмния период откъм разплащания на 31.12.2025 г., а също така и достигнатите нива на плащане към 31.12.2024 г., УО на ПРСР предлага изменение на Програмата, което е изцяло от финансово естество.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преразпределянето на средства са взети предвид всички разпоредби на европейското и националното законодателство - по отношение на предложените за извеждане средства от Мярка 4, и пренасочване към мерки с плащане на площ - Мярка 10 „Агроекология и климат“, Мярка 11 „Биологично земеделие“, Мярка 12 „Плащания по „Натура-2000” и Рамковата директива  за водите“, Мярка 13 „Плащания за райони, изправени пред природни или други специфични ограничения“, Мярка 14 „Хуманно отношение към животните“, средствата, които са насочвани към тях са извеждани от приоритети 4 и 5 на мярка 4, които попадат също в обхвата на чл. 59, ал. 6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Предлага се извеждане на средства с цел покриване изискванията на чл. 38 от Регламент 1306/2013 за 2024 г., като същите ще бъдат изведени от остатъчни средства също в рамките на мярка 4, но от приоритети 2 и 3, които са извън обхвата на чл. 59, ал. 6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Всички промени, свързани с прехвърляне на средства, ще окажат влияние единствено на показателите за продукт (output) и целевите показатели, които директно резултират от разпределени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предвижда промяна на показателите, свързани със създаване на работни места, както и на тези, свързани с площи.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Като цяло за изменението, са отчетени и съобразени и изискванията на чл. 59, ал. 6 от Регламент 1305/2013, както и т.нар „no backsliding principle” (съгласно който тази сума трябва да бъде като съотношение над 35.7%). След всички планирани за прехвърляне суми между мерки и подмерки на ПРСР 2014-2020, особено след добавяне на средства към мерки 10, 11, 12, 13 и 14, по така направените изчисления, съотношението като процент е дори по-високо в сравнение с последното (17-то) изменение на ПРСР - в размер на 36.39%.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таблицата по-долу  е представено сумарно преразпределение на средствата, предлагано с текущото изменение, като след това е изведена подробна обосновка за предложените промени.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Таблица 1</w:t>
            </w:r>
            <w:r>
              <w:rPr>
                <w:rFonts w:ascii="Times New Roman" w:eastAsia="Times New Roman" w:hAnsi="Times New Roman" w:cs="Times New Roman"/>
                <w:szCs w:val="24"/>
              </w:rPr>
              <w:t>, сумите са в евро,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tbl>
            <w:tblPr>
              <w:tblStyle w:val="Table"/>
              <w:tblW w:w="4950"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1475"/>
              <w:gridCol w:w="816"/>
              <w:gridCol w:w="1050"/>
              <w:gridCol w:w="1050"/>
              <w:gridCol w:w="1234"/>
              <w:gridCol w:w="1268"/>
              <w:gridCol w:w="1234"/>
              <w:gridCol w:w="1268"/>
              <w:gridCol w:w="921"/>
            </w:tblGrid>
            <w:tr>
              <w:tblPrEx>
                <w:tblW w:w="4950"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2254"/>
              </w:trPr>
              <w:tc>
                <w:tcPr>
                  <w:tcW w:w="1539" w:type="pct"/>
                  <w:tcBorders>
                    <w:bottom w:val="inset" w:sz="6" w:space="0" w:color="808080"/>
                    <w:right w:val="inset" w:sz="6" w:space="0" w:color="808080"/>
                  </w:tcBorders>
                  <w:shd w:val="clear" w:color="auto" w:fill="E2EFDA"/>
                  <w:noWrap w:val="0"/>
                  <w:tcMar>
                    <w:top w:w="25"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Предложение за прехвърляне на средства между мерки/подмерки от ПРСР 2014-2020</w:t>
                  </w:r>
                </w:p>
              </w:tc>
              <w:tc>
                <w:tcPr>
                  <w:tcW w:w="530" w:type="pct"/>
                  <w:tcBorders>
                    <w:left w:val="inset" w:sz="6" w:space="0" w:color="808080"/>
                    <w:bottom w:val="inset" w:sz="6" w:space="0" w:color="808080"/>
                    <w:right w:val="inset" w:sz="6" w:space="0" w:color="808080"/>
                  </w:tcBorders>
                  <w:shd w:val="clear" w:color="auto" w:fill="E2EFDA"/>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Текущ индикативен бюджет, евро публични средства (17то изменение), включващо европейско и национално финансиране</w:t>
                  </w:r>
                </w:p>
              </w:tc>
              <w:tc>
                <w:tcPr>
                  <w:tcW w:w="385" w:type="pct"/>
                  <w:tcBorders>
                    <w:left w:val="inset" w:sz="6" w:space="0" w:color="808080"/>
                    <w:bottom w:val="inset" w:sz="6" w:space="0" w:color="808080"/>
                    <w:right w:val="inset" w:sz="6" w:space="0" w:color="808080"/>
                  </w:tcBorders>
                  <w:shd w:val="clear" w:color="auto" w:fill="E2EFDA"/>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iCs/>
                      <w:smallCaps w:val="0"/>
                      <w:color w:val="000000"/>
                      <w:szCs w:val="24"/>
                    </w:rPr>
                    <w:t>Преразпределяне вътре в подмерки, евро ЕЗФРСР  (само европейско финансиране)</w:t>
                  </w:r>
                </w:p>
              </w:tc>
              <w:tc>
                <w:tcPr>
                  <w:tcW w:w="482" w:type="pct"/>
                  <w:tcBorders>
                    <w:left w:val="inset" w:sz="6" w:space="0" w:color="808080"/>
                    <w:bottom w:val="inset" w:sz="6" w:space="0" w:color="808080"/>
                    <w:right w:val="inset" w:sz="6" w:space="0" w:color="808080"/>
                  </w:tcBorders>
                  <w:shd w:val="clear" w:color="auto" w:fill="E2EFDA"/>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iCs/>
                      <w:smallCaps w:val="0"/>
                      <w:color w:val="000000"/>
                      <w:szCs w:val="24"/>
                    </w:rPr>
                    <w:t>Преразпределяне вътре в подмерки, евро публични средства, включващи европейско и национално финансиране</w:t>
                  </w:r>
                </w:p>
              </w:tc>
              <w:tc>
                <w:tcPr>
                  <w:tcW w:w="433" w:type="pct"/>
                  <w:tcBorders>
                    <w:left w:val="inset" w:sz="6" w:space="0" w:color="808080"/>
                    <w:bottom w:val="inset" w:sz="6" w:space="0" w:color="808080"/>
                    <w:right w:val="inset" w:sz="6" w:space="0" w:color="808080"/>
                  </w:tcBorders>
                  <w:shd w:val="clear" w:color="auto" w:fill="E2EFDA"/>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Предложение за извеждане/добавяне евро ЕЗФРСР (само европейско финансиране)</w:t>
                  </w:r>
                </w:p>
              </w:tc>
              <w:tc>
                <w:tcPr>
                  <w:tcW w:w="385" w:type="pct"/>
                  <w:tcBorders>
                    <w:left w:val="inset" w:sz="6" w:space="0" w:color="808080"/>
                    <w:bottom w:val="inset" w:sz="6" w:space="0" w:color="808080"/>
                    <w:right w:val="inset" w:sz="6" w:space="0" w:color="808080"/>
                  </w:tcBorders>
                  <w:shd w:val="clear" w:color="auto" w:fill="E2EFDA"/>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Предложение за извеждане/добавяне, евро публични средства, включващи европейско и национално финансиране</w:t>
                  </w:r>
                </w:p>
              </w:tc>
              <w:tc>
                <w:tcPr>
                  <w:tcW w:w="371" w:type="pct"/>
                  <w:tcBorders>
                    <w:left w:val="inset" w:sz="6" w:space="0" w:color="808080"/>
                    <w:bottom w:val="inset" w:sz="6" w:space="0" w:color="808080"/>
                    <w:right w:val="inset" w:sz="6" w:space="0" w:color="808080"/>
                  </w:tcBorders>
                  <w:shd w:val="clear" w:color="auto" w:fill="E2EFDA"/>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Предложение за извеждане/добавяне евро ЕЗФРСР EURI</w:t>
                  </w:r>
                </w:p>
              </w:tc>
              <w:tc>
                <w:tcPr>
                  <w:tcW w:w="439" w:type="pct"/>
                  <w:tcBorders>
                    <w:left w:val="inset" w:sz="6" w:space="0" w:color="808080"/>
                    <w:bottom w:val="inset" w:sz="6" w:space="0" w:color="808080"/>
                    <w:right w:val="inset" w:sz="6" w:space="0" w:color="808080"/>
                  </w:tcBorders>
                  <w:shd w:val="clear" w:color="auto" w:fill="E2EFDA"/>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Предложение за извеждане/добавяне, евро публични средства EURI (равни на ЕЗФРСР, няма нац. финансиране по инструмента)</w:t>
                  </w:r>
                </w:p>
              </w:tc>
              <w:tc>
                <w:tcPr>
                  <w:tcW w:w="436" w:type="pct"/>
                  <w:tcBorders>
                    <w:left w:val="inset" w:sz="6" w:space="0" w:color="808080"/>
                    <w:bottom w:val="inset" w:sz="6" w:space="0" w:color="808080"/>
                  </w:tcBorders>
                  <w:shd w:val="clear" w:color="auto" w:fill="E2EFDA"/>
                  <w:noWrap w:val="0"/>
                  <w:tcMar>
                    <w:top w:w="25"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Oбщо публични средства  - след добавяне на предложените, включващи европейско и национално финансиране</w:t>
                  </w:r>
                </w:p>
              </w:tc>
            </w:tr>
            <w:tr>
              <w:tblPrEx>
                <w:tblW w:w="4950" w:type="pct"/>
                <w:tblCellMar>
                  <w:top w:w="15" w:type="dxa"/>
                  <w:left w:w="15" w:type="dxa"/>
                  <w:bottom w:w="15" w:type="dxa"/>
                  <w:right w:w="15" w:type="dxa"/>
                </w:tblCellMar>
                <w:tblLook w:val="05E0"/>
              </w:tblPrEx>
              <w:trPr>
                <w:trHeight w:val="269"/>
              </w:trPr>
              <w:tc>
                <w:tcPr>
                  <w:tcW w:w="1539" w:type="pct"/>
                  <w:tcBorders>
                    <w:top w:val="inset" w:sz="6" w:space="0" w:color="808080"/>
                    <w:bottom w:val="inset" w:sz="6" w:space="0" w:color="808080"/>
                    <w:right w:val="inset" w:sz="6" w:space="0" w:color="808080"/>
                  </w:tcBorders>
                  <w:shd w:val="clear" w:color="auto" w:fill="E2EFDA"/>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530" w:type="pct"/>
                  <w:tcBorders>
                    <w:top w:val="inset" w:sz="6" w:space="0" w:color="808080"/>
                    <w:left w:val="inset" w:sz="6" w:space="0" w:color="808080"/>
                    <w:bottom w:val="inset" w:sz="6" w:space="0" w:color="808080"/>
                    <w:right w:val="inset" w:sz="6" w:space="0" w:color="808080"/>
                  </w:tcBorders>
                  <w:shd w:val="clear" w:color="auto" w:fill="E2EFDA"/>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w:t>
                  </w:r>
                </w:p>
              </w:tc>
              <w:tc>
                <w:tcPr>
                  <w:tcW w:w="385" w:type="pct"/>
                  <w:tcBorders>
                    <w:top w:val="inset" w:sz="6" w:space="0" w:color="808080"/>
                    <w:left w:val="inset" w:sz="6" w:space="0" w:color="808080"/>
                    <w:bottom w:val="inset" w:sz="6" w:space="0" w:color="808080"/>
                    <w:right w:val="inset" w:sz="6" w:space="0" w:color="808080"/>
                  </w:tcBorders>
                  <w:shd w:val="clear" w:color="auto" w:fill="E2EFDA"/>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w:t>
                  </w:r>
                </w:p>
              </w:tc>
              <w:tc>
                <w:tcPr>
                  <w:tcW w:w="482" w:type="pct"/>
                  <w:tcBorders>
                    <w:top w:val="inset" w:sz="6" w:space="0" w:color="808080"/>
                    <w:left w:val="inset" w:sz="6" w:space="0" w:color="808080"/>
                    <w:bottom w:val="inset" w:sz="6" w:space="0" w:color="808080"/>
                    <w:right w:val="inset" w:sz="6" w:space="0" w:color="808080"/>
                  </w:tcBorders>
                  <w:shd w:val="clear" w:color="auto" w:fill="E2EFDA"/>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w:t>
                  </w:r>
                </w:p>
              </w:tc>
              <w:tc>
                <w:tcPr>
                  <w:tcW w:w="433" w:type="pct"/>
                  <w:tcBorders>
                    <w:top w:val="inset" w:sz="6" w:space="0" w:color="808080"/>
                    <w:left w:val="inset" w:sz="6" w:space="0" w:color="808080"/>
                    <w:bottom w:val="inset" w:sz="6" w:space="0" w:color="808080"/>
                    <w:right w:val="inset" w:sz="6" w:space="0" w:color="808080"/>
                  </w:tcBorders>
                  <w:shd w:val="clear" w:color="auto" w:fill="E2EFDA"/>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w:t>
                  </w:r>
                </w:p>
              </w:tc>
              <w:tc>
                <w:tcPr>
                  <w:tcW w:w="385" w:type="pct"/>
                  <w:tcBorders>
                    <w:top w:val="inset" w:sz="6" w:space="0" w:color="808080"/>
                    <w:left w:val="inset" w:sz="6" w:space="0" w:color="808080"/>
                    <w:bottom w:val="inset" w:sz="6" w:space="0" w:color="808080"/>
                    <w:right w:val="inset" w:sz="6" w:space="0" w:color="808080"/>
                  </w:tcBorders>
                  <w:shd w:val="clear" w:color="auto" w:fill="E2EFDA"/>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w:t>
                  </w:r>
                </w:p>
              </w:tc>
              <w:tc>
                <w:tcPr>
                  <w:tcW w:w="371" w:type="pct"/>
                  <w:tcBorders>
                    <w:top w:val="inset" w:sz="6" w:space="0" w:color="808080"/>
                    <w:left w:val="inset" w:sz="6" w:space="0" w:color="808080"/>
                    <w:bottom w:val="inset" w:sz="6" w:space="0" w:color="808080"/>
                    <w:right w:val="inset" w:sz="6" w:space="0" w:color="808080"/>
                  </w:tcBorders>
                  <w:shd w:val="clear" w:color="auto" w:fill="E2EFDA"/>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6</w:t>
                  </w:r>
                </w:p>
              </w:tc>
              <w:tc>
                <w:tcPr>
                  <w:tcW w:w="439" w:type="pct"/>
                  <w:tcBorders>
                    <w:top w:val="inset" w:sz="6" w:space="0" w:color="808080"/>
                    <w:left w:val="inset" w:sz="6" w:space="0" w:color="808080"/>
                    <w:bottom w:val="inset" w:sz="6" w:space="0" w:color="808080"/>
                    <w:right w:val="inset" w:sz="6" w:space="0" w:color="808080"/>
                  </w:tcBorders>
                  <w:shd w:val="clear" w:color="auto" w:fill="E2EFDA"/>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7</w:t>
                  </w:r>
                </w:p>
              </w:tc>
              <w:tc>
                <w:tcPr>
                  <w:tcW w:w="436" w:type="pct"/>
                  <w:tcBorders>
                    <w:top w:val="inset" w:sz="6" w:space="0" w:color="808080"/>
                    <w:left w:val="inset" w:sz="6" w:space="0" w:color="808080"/>
                    <w:bottom w:val="inset" w:sz="6" w:space="0" w:color="808080"/>
                  </w:tcBorders>
                  <w:shd w:val="clear" w:color="auto" w:fill="E2EFDA"/>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8</w:t>
                  </w:r>
                </w:p>
              </w:tc>
            </w:tr>
            <w:tr>
              <w:tblPrEx>
                <w:tblW w:w="4950" w:type="pct"/>
                <w:tblCellMar>
                  <w:top w:w="15" w:type="dxa"/>
                  <w:left w:w="15" w:type="dxa"/>
                  <w:bottom w:w="15" w:type="dxa"/>
                  <w:right w:w="15" w:type="dxa"/>
                </w:tblCellMar>
                <w:tblLook w:val="05E0"/>
              </w:tblPrEx>
              <w:trPr>
                <w:trHeight w:val="600"/>
              </w:trPr>
              <w:tc>
                <w:tcPr>
                  <w:tcW w:w="1539"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Мярка 2 „Консултантски услуги, управление на стопанството и услуги по заместване в стопанството"</w:t>
                  </w:r>
                </w:p>
              </w:tc>
              <w:tc>
                <w:tcPr>
                  <w:tcW w:w="530"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20 828 609</w:t>
                  </w:r>
                </w:p>
              </w:tc>
              <w:tc>
                <w:tcPr>
                  <w:tcW w:w="3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-2 074 015</w:t>
                  </w:r>
                </w:p>
              </w:tc>
              <w:tc>
                <w:tcPr>
                  <w:tcW w:w="482"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-2 440 018</w:t>
                  </w:r>
                </w:p>
              </w:tc>
              <w:tc>
                <w:tcPr>
                  <w:tcW w:w="433"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3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371"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439"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436"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r>
            <w:tr>
              <w:tblPrEx>
                <w:tblW w:w="4950" w:type="pct"/>
                <w:tblCellMar>
                  <w:top w:w="15" w:type="dxa"/>
                  <w:left w:w="15" w:type="dxa"/>
                  <w:bottom w:w="15" w:type="dxa"/>
                  <w:right w:w="15" w:type="dxa"/>
                </w:tblCellMar>
                <w:tblLook w:val="05E0"/>
              </w:tblPrEx>
              <w:trPr>
                <w:trHeight w:val="600"/>
              </w:trPr>
              <w:tc>
                <w:tcPr>
                  <w:tcW w:w="1539"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Мярка 2 „Консултантски услуги, управление на стопанството и услуги по заместване в стопанството"</w:t>
                  </w:r>
                </w:p>
              </w:tc>
              <w:tc>
                <w:tcPr>
                  <w:tcW w:w="530"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3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2 074 015</w:t>
                  </w:r>
                </w:p>
              </w:tc>
              <w:tc>
                <w:tcPr>
                  <w:tcW w:w="482"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2 440 018</w:t>
                  </w:r>
                </w:p>
              </w:tc>
              <w:tc>
                <w:tcPr>
                  <w:tcW w:w="433"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3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371"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439"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436"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20 828 609</w:t>
                  </w:r>
                </w:p>
              </w:tc>
            </w:tr>
            <w:tr>
              <w:tblPrEx>
                <w:tblW w:w="4950" w:type="pct"/>
                <w:tblCellMar>
                  <w:top w:w="15" w:type="dxa"/>
                  <w:left w:w="15" w:type="dxa"/>
                  <w:bottom w:w="15" w:type="dxa"/>
                  <w:right w:w="15" w:type="dxa"/>
                </w:tblCellMar>
                <w:tblLook w:val="05E0"/>
              </w:tblPrEx>
              <w:trPr>
                <w:trHeight w:val="630"/>
              </w:trPr>
              <w:tc>
                <w:tcPr>
                  <w:tcW w:w="1539"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Подмярка 4.1 Инвестиции в земеделски стопанства - от ФО 2А за покриване изискванията на чл. 38 от Регламент 1306/2013</w:t>
                  </w:r>
                </w:p>
              </w:tc>
              <w:tc>
                <w:tcPr>
                  <w:tcW w:w="530" w:type="pct"/>
                  <w:tcBorders>
                    <w:top w:val="inset" w:sz="6" w:space="0" w:color="808080"/>
                    <w:left w:val="inset" w:sz="6" w:space="0" w:color="808080"/>
                    <w:bottom w:val="inset" w:sz="6" w:space="0" w:color="808080"/>
                    <w:right w:val="inset" w:sz="6" w:space="0" w:color="808080"/>
                  </w:tcBorders>
                  <w:shd w:val="clear" w:color="auto" w:fill="FDE9D9"/>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716 187 639</w:t>
                  </w:r>
                </w:p>
              </w:tc>
              <w:tc>
                <w:tcPr>
                  <w:tcW w:w="385" w:type="pct"/>
                  <w:tcBorders>
                    <w:top w:val="inset" w:sz="6" w:space="0" w:color="808080"/>
                    <w:left w:val="inset" w:sz="6" w:space="0" w:color="808080"/>
                    <w:bottom w:val="inset" w:sz="6" w:space="0" w:color="808080"/>
                    <w:right w:val="inset" w:sz="6" w:space="0" w:color="808080"/>
                  </w:tcBorders>
                  <w:shd w:val="clear" w:color="auto" w:fill="FDE9D9"/>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482" w:type="pct"/>
                  <w:tcBorders>
                    <w:top w:val="inset" w:sz="6" w:space="0" w:color="808080"/>
                    <w:left w:val="inset" w:sz="6" w:space="0" w:color="808080"/>
                    <w:bottom w:val="inset" w:sz="6" w:space="0" w:color="808080"/>
                    <w:right w:val="inset" w:sz="6" w:space="0" w:color="808080"/>
                  </w:tcBorders>
                  <w:shd w:val="clear" w:color="auto" w:fill="FDE9D9"/>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433" w:type="pct"/>
                  <w:tcBorders>
                    <w:top w:val="inset" w:sz="6" w:space="0" w:color="808080"/>
                    <w:left w:val="inset" w:sz="6" w:space="0" w:color="808080"/>
                    <w:bottom w:val="inset" w:sz="6" w:space="0" w:color="808080"/>
                    <w:right w:val="inset" w:sz="6" w:space="0" w:color="808080"/>
                  </w:tcBorders>
                  <w:shd w:val="clear" w:color="auto" w:fill="FDE9D9"/>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-10 372 895</w:t>
                  </w:r>
                </w:p>
              </w:tc>
              <w:tc>
                <w:tcPr>
                  <w:tcW w:w="385" w:type="pct"/>
                  <w:tcBorders>
                    <w:top w:val="inset" w:sz="6" w:space="0" w:color="808080"/>
                    <w:left w:val="inset" w:sz="6" w:space="0" w:color="808080"/>
                    <w:bottom w:val="inset" w:sz="6" w:space="0" w:color="808080"/>
                    <w:right w:val="inset" w:sz="6" w:space="0" w:color="808080"/>
                  </w:tcBorders>
                  <w:shd w:val="clear" w:color="auto" w:fill="FDE9D9"/>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-12 203 406</w:t>
                  </w:r>
                </w:p>
              </w:tc>
              <w:tc>
                <w:tcPr>
                  <w:tcW w:w="371" w:type="pct"/>
                  <w:tcBorders>
                    <w:top w:val="inset" w:sz="6" w:space="0" w:color="808080"/>
                    <w:left w:val="inset" w:sz="6" w:space="0" w:color="808080"/>
                    <w:bottom w:val="inset" w:sz="6" w:space="0" w:color="808080"/>
                    <w:right w:val="inset" w:sz="6" w:space="0" w:color="808080"/>
                  </w:tcBorders>
                  <w:shd w:val="clear" w:color="auto" w:fill="FDE9D9"/>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439" w:type="pct"/>
                  <w:tcBorders>
                    <w:top w:val="inset" w:sz="6" w:space="0" w:color="808080"/>
                    <w:left w:val="inset" w:sz="6" w:space="0" w:color="808080"/>
                    <w:bottom w:val="inset" w:sz="6" w:space="0" w:color="808080"/>
                    <w:right w:val="inset" w:sz="6" w:space="0" w:color="808080"/>
                  </w:tcBorders>
                  <w:shd w:val="clear" w:color="auto" w:fill="FDE9D9"/>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436" w:type="pct"/>
                  <w:tcBorders>
                    <w:top w:val="inset" w:sz="6" w:space="0" w:color="808080"/>
                    <w:left w:val="inset" w:sz="6" w:space="0" w:color="808080"/>
                    <w:bottom w:val="inset" w:sz="6" w:space="0" w:color="808080"/>
                  </w:tcBorders>
                  <w:shd w:val="clear" w:color="auto" w:fill="FDE9D9"/>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r>
            <w:tr>
              <w:tblPrEx>
                <w:tblW w:w="4950" w:type="pct"/>
                <w:tblCellMar>
                  <w:top w:w="15" w:type="dxa"/>
                  <w:left w:w="15" w:type="dxa"/>
                  <w:bottom w:w="15" w:type="dxa"/>
                  <w:right w:w="15" w:type="dxa"/>
                </w:tblCellMar>
                <w:tblLook w:val="05E0"/>
              </w:tblPrEx>
              <w:trPr>
                <w:trHeight w:val="315"/>
              </w:trPr>
              <w:tc>
                <w:tcPr>
                  <w:tcW w:w="1539"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top"/>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Подмярка 4.1 Инвестиции в земеделски стопанства - от ФО 5А за М4.2 5Б и ЕУРИ </w:t>
                  </w:r>
                </w:p>
              </w:tc>
              <w:tc>
                <w:tcPr>
                  <w:tcW w:w="530"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3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482"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433"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-6 500 000</w:t>
                  </w:r>
                </w:p>
              </w:tc>
              <w:tc>
                <w:tcPr>
                  <w:tcW w:w="3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-8 666 667</w:t>
                  </w:r>
                </w:p>
              </w:tc>
              <w:tc>
                <w:tcPr>
                  <w:tcW w:w="371"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-8 181 075</w:t>
                  </w:r>
                </w:p>
              </w:tc>
              <w:tc>
                <w:tcPr>
                  <w:tcW w:w="439"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-8 181 075</w:t>
                  </w:r>
                </w:p>
              </w:tc>
              <w:tc>
                <w:tcPr>
                  <w:tcW w:w="436"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r>
            <w:tr>
              <w:tblPrEx>
                <w:tblW w:w="4950" w:type="pct"/>
                <w:tblCellMar>
                  <w:top w:w="15" w:type="dxa"/>
                  <w:left w:w="15" w:type="dxa"/>
                  <w:bottom w:w="15" w:type="dxa"/>
                  <w:right w:w="15" w:type="dxa"/>
                </w:tblCellMar>
                <w:tblLook w:val="05E0"/>
              </w:tblPrEx>
              <w:trPr>
                <w:trHeight w:val="315"/>
              </w:trPr>
              <w:tc>
                <w:tcPr>
                  <w:tcW w:w="1539"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Подмярка 4.1 „Инвестиции в земеделски стопанства" - от ФО 5A  за М4.1 P4</w:t>
                  </w:r>
                </w:p>
              </w:tc>
              <w:tc>
                <w:tcPr>
                  <w:tcW w:w="530"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3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-300 000</w:t>
                  </w:r>
                </w:p>
              </w:tc>
              <w:tc>
                <w:tcPr>
                  <w:tcW w:w="482"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-400 000</w:t>
                  </w:r>
                </w:p>
              </w:tc>
              <w:tc>
                <w:tcPr>
                  <w:tcW w:w="433"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3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371"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439"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436"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r>
            <w:tr>
              <w:tblPrEx>
                <w:tblW w:w="4950" w:type="pct"/>
                <w:tblCellMar>
                  <w:top w:w="15" w:type="dxa"/>
                  <w:left w:w="15" w:type="dxa"/>
                  <w:bottom w:w="15" w:type="dxa"/>
                  <w:right w:w="15" w:type="dxa"/>
                </w:tblCellMar>
                <w:tblLook w:val="05E0"/>
              </w:tblPrEx>
              <w:trPr>
                <w:trHeight w:val="315"/>
              </w:trPr>
              <w:tc>
                <w:tcPr>
                  <w:tcW w:w="1539"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Подмярка 4.1 „Инвестиции в земеделски стопанства" - от ФО 5A  за М4.2 5Б</w:t>
                  </w:r>
                </w:p>
              </w:tc>
              <w:tc>
                <w:tcPr>
                  <w:tcW w:w="530"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3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482"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433"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-650 000</w:t>
                  </w:r>
                </w:p>
              </w:tc>
              <w:tc>
                <w:tcPr>
                  <w:tcW w:w="3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-866 667</w:t>
                  </w:r>
                </w:p>
              </w:tc>
              <w:tc>
                <w:tcPr>
                  <w:tcW w:w="371"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439"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436"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r>
            <w:tr>
              <w:tblPrEx>
                <w:tblW w:w="4950" w:type="pct"/>
                <w:tblCellMar>
                  <w:top w:w="15" w:type="dxa"/>
                  <w:left w:w="15" w:type="dxa"/>
                  <w:bottom w:w="15" w:type="dxa"/>
                  <w:right w:w="15" w:type="dxa"/>
                </w:tblCellMar>
                <w:tblLook w:val="05E0"/>
              </w:tblPrEx>
              <w:trPr>
                <w:trHeight w:val="315"/>
              </w:trPr>
              <w:tc>
                <w:tcPr>
                  <w:tcW w:w="1539"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Подмярка 4.1 „Инвестиции в земеделски стопанства" - от ФО 5A  за М4.1 5В</w:t>
                  </w:r>
                </w:p>
              </w:tc>
              <w:tc>
                <w:tcPr>
                  <w:tcW w:w="530"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3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-800 000</w:t>
                  </w:r>
                </w:p>
              </w:tc>
              <w:tc>
                <w:tcPr>
                  <w:tcW w:w="482"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-1 066 667</w:t>
                  </w:r>
                </w:p>
              </w:tc>
              <w:tc>
                <w:tcPr>
                  <w:tcW w:w="433"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3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371"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439"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436"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r>
            <w:tr>
              <w:tblPrEx>
                <w:tblW w:w="4950" w:type="pct"/>
                <w:tblCellMar>
                  <w:top w:w="15" w:type="dxa"/>
                  <w:left w:w="15" w:type="dxa"/>
                  <w:bottom w:w="15" w:type="dxa"/>
                  <w:right w:w="15" w:type="dxa"/>
                </w:tblCellMar>
                <w:tblLook w:val="05E0"/>
              </w:tblPrEx>
              <w:trPr>
                <w:trHeight w:val="315"/>
              </w:trPr>
              <w:tc>
                <w:tcPr>
                  <w:tcW w:w="1539"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Подмярка 4.1 „Инвестиции в земеделски стопанства" - от ФО 5A  за М4.1 P4</w:t>
                  </w:r>
                </w:p>
              </w:tc>
              <w:tc>
                <w:tcPr>
                  <w:tcW w:w="530"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3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300 000</w:t>
                  </w:r>
                </w:p>
              </w:tc>
              <w:tc>
                <w:tcPr>
                  <w:tcW w:w="482"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400 000</w:t>
                  </w:r>
                </w:p>
              </w:tc>
              <w:tc>
                <w:tcPr>
                  <w:tcW w:w="433"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3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371"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439"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436"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r>
            <w:tr>
              <w:tblPrEx>
                <w:tblW w:w="4950" w:type="pct"/>
                <w:tblCellMar>
                  <w:top w:w="15" w:type="dxa"/>
                  <w:left w:w="15" w:type="dxa"/>
                  <w:bottom w:w="15" w:type="dxa"/>
                  <w:right w:w="15" w:type="dxa"/>
                </w:tblCellMar>
                <w:tblLook w:val="05E0"/>
              </w:tblPrEx>
              <w:trPr>
                <w:trHeight w:val="315"/>
              </w:trPr>
              <w:tc>
                <w:tcPr>
                  <w:tcW w:w="1539"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Подмярка 4.1 „Инвестиции в земеделски стопанства" - от ФО 5A  за М4.1 5В</w:t>
                  </w:r>
                </w:p>
              </w:tc>
              <w:tc>
                <w:tcPr>
                  <w:tcW w:w="530"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3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800 000</w:t>
                  </w:r>
                </w:p>
              </w:tc>
              <w:tc>
                <w:tcPr>
                  <w:tcW w:w="482"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1 066 667</w:t>
                  </w:r>
                </w:p>
              </w:tc>
              <w:tc>
                <w:tcPr>
                  <w:tcW w:w="433"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3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371"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439"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436"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r>
            <w:tr>
              <w:tblPrEx>
                <w:tblW w:w="4950" w:type="pct"/>
                <w:tblCellMar>
                  <w:top w:w="15" w:type="dxa"/>
                  <w:left w:w="15" w:type="dxa"/>
                  <w:bottom w:w="15" w:type="dxa"/>
                  <w:right w:w="15" w:type="dxa"/>
                </w:tblCellMar>
                <w:tblLook w:val="05E0"/>
              </w:tblPrEx>
              <w:trPr>
                <w:trHeight w:val="600"/>
              </w:trPr>
              <w:tc>
                <w:tcPr>
                  <w:tcW w:w="1539"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Подмярка 4.1 „Инвестиции в земеделски стопанства" - от ФО 5А  към М10 M11 M12 M13</w:t>
                  </w:r>
                </w:p>
              </w:tc>
              <w:tc>
                <w:tcPr>
                  <w:tcW w:w="530"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3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482"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433"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-5 088 000</w:t>
                  </w:r>
                </w:p>
              </w:tc>
              <w:tc>
                <w:tcPr>
                  <w:tcW w:w="3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-6 784 000</w:t>
                  </w:r>
                </w:p>
              </w:tc>
              <w:tc>
                <w:tcPr>
                  <w:tcW w:w="371"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439"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436"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r>
            <w:tr>
              <w:tblPrEx>
                <w:tblW w:w="4950" w:type="pct"/>
                <w:tblCellMar>
                  <w:top w:w="15" w:type="dxa"/>
                  <w:left w:w="15" w:type="dxa"/>
                  <w:bottom w:w="15" w:type="dxa"/>
                  <w:right w:w="15" w:type="dxa"/>
                </w:tblCellMar>
                <w:tblLook w:val="05E0"/>
              </w:tblPrEx>
              <w:trPr>
                <w:trHeight w:val="315"/>
              </w:trPr>
              <w:tc>
                <w:tcPr>
                  <w:tcW w:w="1539"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Подмярка 4.1 „Инвестиции в земеделски стопанства" - от ФО 2Б към M14</w:t>
                  </w:r>
                </w:p>
              </w:tc>
              <w:tc>
                <w:tcPr>
                  <w:tcW w:w="530"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3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482"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433"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-270 000</w:t>
                  </w:r>
                </w:p>
              </w:tc>
              <w:tc>
                <w:tcPr>
                  <w:tcW w:w="3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-317 647</w:t>
                  </w:r>
                </w:p>
              </w:tc>
              <w:tc>
                <w:tcPr>
                  <w:tcW w:w="371"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439"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436"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679 168 178</w:t>
                  </w:r>
                </w:p>
              </w:tc>
            </w:tr>
            <w:tr>
              <w:tblPrEx>
                <w:tblW w:w="4950" w:type="pct"/>
                <w:tblCellMar>
                  <w:top w:w="15" w:type="dxa"/>
                  <w:left w:w="15" w:type="dxa"/>
                  <w:bottom w:w="15" w:type="dxa"/>
                  <w:right w:w="15" w:type="dxa"/>
                </w:tblCellMar>
                <w:tblLook w:val="05E0"/>
              </w:tblPrEx>
              <w:trPr>
                <w:trHeight w:val="600"/>
              </w:trPr>
              <w:tc>
                <w:tcPr>
                  <w:tcW w:w="1539"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Подмярка 4.2. „Инвестиции в преработка/маркетинг на селскостопански продукти“ - от 4.1 в 5В и ЕУРИ</w:t>
                  </w:r>
                </w:p>
              </w:tc>
              <w:tc>
                <w:tcPr>
                  <w:tcW w:w="530"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513 825 749</w:t>
                  </w:r>
                </w:p>
              </w:tc>
              <w:tc>
                <w:tcPr>
                  <w:tcW w:w="3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482"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433"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7 150 000</w:t>
                  </w:r>
                </w:p>
              </w:tc>
              <w:tc>
                <w:tcPr>
                  <w:tcW w:w="3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9 533 333</w:t>
                  </w:r>
                </w:p>
              </w:tc>
              <w:tc>
                <w:tcPr>
                  <w:tcW w:w="371"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8 031 075</w:t>
                  </w:r>
                </w:p>
              </w:tc>
              <w:tc>
                <w:tcPr>
                  <w:tcW w:w="439"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8 031 075</w:t>
                  </w:r>
                </w:p>
              </w:tc>
              <w:tc>
                <w:tcPr>
                  <w:tcW w:w="436"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526 684 275</w:t>
                  </w:r>
                </w:p>
              </w:tc>
            </w:tr>
            <w:tr>
              <w:tblPrEx>
                <w:tblW w:w="4950" w:type="pct"/>
                <w:tblCellMar>
                  <w:top w:w="15" w:type="dxa"/>
                  <w:left w:w="15" w:type="dxa"/>
                  <w:bottom w:w="15" w:type="dxa"/>
                  <w:right w:w="15" w:type="dxa"/>
                </w:tblCellMar>
                <w:tblLook w:val="05E0"/>
              </w:tblPrEx>
              <w:trPr>
                <w:trHeight w:val="91"/>
              </w:trPr>
              <w:tc>
                <w:tcPr>
                  <w:tcW w:w="1539"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Подмярка 4.2 „Инвестиции в преработка/маркетинг на селскостопански продукти“  - от ФО 3А за  покриване изискванията на чл. 38 от Регламент 1306/2013</w:t>
                  </w:r>
                </w:p>
              </w:tc>
              <w:tc>
                <w:tcPr>
                  <w:tcW w:w="530" w:type="pct"/>
                  <w:tcBorders>
                    <w:top w:val="inset" w:sz="6" w:space="0" w:color="808080"/>
                    <w:left w:val="inset" w:sz="6" w:space="0" w:color="808080"/>
                    <w:bottom w:val="inset" w:sz="6" w:space="0" w:color="808080"/>
                    <w:right w:val="inset" w:sz="6" w:space="0" w:color="808080"/>
                  </w:tcBorders>
                  <w:shd w:val="clear" w:color="auto" w:fill="FDE9D9"/>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385" w:type="pct"/>
                  <w:tcBorders>
                    <w:top w:val="inset" w:sz="6" w:space="0" w:color="808080"/>
                    <w:left w:val="inset" w:sz="6" w:space="0" w:color="808080"/>
                    <w:bottom w:val="inset" w:sz="6" w:space="0" w:color="808080"/>
                    <w:right w:val="inset" w:sz="6" w:space="0" w:color="808080"/>
                  </w:tcBorders>
                  <w:shd w:val="clear" w:color="auto" w:fill="FDE9D9"/>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482" w:type="pct"/>
                  <w:tcBorders>
                    <w:top w:val="inset" w:sz="6" w:space="0" w:color="808080"/>
                    <w:left w:val="inset" w:sz="6" w:space="0" w:color="808080"/>
                    <w:bottom w:val="inset" w:sz="6" w:space="0" w:color="808080"/>
                    <w:right w:val="inset" w:sz="6" w:space="0" w:color="808080"/>
                  </w:tcBorders>
                  <w:shd w:val="clear" w:color="auto" w:fill="FDE9D9"/>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433" w:type="pct"/>
                  <w:tcBorders>
                    <w:top w:val="inset" w:sz="6" w:space="0" w:color="808080"/>
                    <w:left w:val="inset" w:sz="6" w:space="0" w:color="808080"/>
                    <w:bottom w:val="inset" w:sz="6" w:space="0" w:color="808080"/>
                    <w:right w:val="inset" w:sz="6" w:space="0" w:color="808080"/>
                  </w:tcBorders>
                  <w:shd w:val="clear" w:color="auto" w:fill="FDE9D9"/>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-4 000 000</w:t>
                  </w:r>
                </w:p>
              </w:tc>
              <w:tc>
                <w:tcPr>
                  <w:tcW w:w="385" w:type="pct"/>
                  <w:tcBorders>
                    <w:top w:val="inset" w:sz="6" w:space="0" w:color="808080"/>
                    <w:left w:val="inset" w:sz="6" w:space="0" w:color="808080"/>
                    <w:bottom w:val="inset" w:sz="6" w:space="0" w:color="808080"/>
                    <w:right w:val="inset" w:sz="6" w:space="0" w:color="808080"/>
                  </w:tcBorders>
                  <w:shd w:val="clear" w:color="auto" w:fill="FDE9D9"/>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-4 705 882</w:t>
                  </w:r>
                </w:p>
              </w:tc>
              <w:tc>
                <w:tcPr>
                  <w:tcW w:w="371" w:type="pct"/>
                  <w:tcBorders>
                    <w:top w:val="inset" w:sz="6" w:space="0" w:color="808080"/>
                    <w:left w:val="inset" w:sz="6" w:space="0" w:color="808080"/>
                    <w:bottom w:val="inset" w:sz="6" w:space="0" w:color="808080"/>
                    <w:right w:val="inset" w:sz="6" w:space="0" w:color="808080"/>
                  </w:tcBorders>
                  <w:shd w:val="clear" w:color="auto" w:fill="FDE9D9"/>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439" w:type="pct"/>
                  <w:tcBorders>
                    <w:top w:val="inset" w:sz="6" w:space="0" w:color="808080"/>
                    <w:left w:val="inset" w:sz="6" w:space="0" w:color="808080"/>
                    <w:bottom w:val="inset" w:sz="6" w:space="0" w:color="808080"/>
                    <w:right w:val="inset" w:sz="6" w:space="0" w:color="808080"/>
                  </w:tcBorders>
                  <w:shd w:val="clear" w:color="auto" w:fill="FDE9D9"/>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436" w:type="pct"/>
                  <w:tcBorders>
                    <w:top w:val="inset" w:sz="6" w:space="0" w:color="808080"/>
                    <w:left w:val="inset" w:sz="6" w:space="0" w:color="808080"/>
                    <w:bottom w:val="inset" w:sz="6" w:space="0" w:color="808080"/>
                  </w:tcBorders>
                  <w:shd w:val="clear" w:color="auto" w:fill="FDE9D9"/>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r>
            <w:tr>
              <w:tblPrEx>
                <w:tblW w:w="4950" w:type="pct"/>
                <w:tblCellMar>
                  <w:top w:w="15" w:type="dxa"/>
                  <w:left w:w="15" w:type="dxa"/>
                  <w:bottom w:w="15" w:type="dxa"/>
                  <w:right w:w="15" w:type="dxa"/>
                </w:tblCellMar>
                <w:tblLook w:val="05E0"/>
              </w:tblPrEx>
              <w:trPr>
                <w:trHeight w:val="315"/>
              </w:trPr>
              <w:tc>
                <w:tcPr>
                  <w:tcW w:w="1539"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Подмярка 6.4.1. „Инвестиционна подкрепа за неземеделски дейности“  </w:t>
                  </w:r>
                </w:p>
              </w:tc>
              <w:tc>
                <w:tcPr>
                  <w:tcW w:w="530"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32 750 112</w:t>
                  </w:r>
                </w:p>
              </w:tc>
              <w:tc>
                <w:tcPr>
                  <w:tcW w:w="3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482"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433"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1 054 000</w:t>
                  </w:r>
                </w:p>
              </w:tc>
              <w:tc>
                <w:tcPr>
                  <w:tcW w:w="3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1 240 000</w:t>
                  </w:r>
                </w:p>
              </w:tc>
              <w:tc>
                <w:tcPr>
                  <w:tcW w:w="371"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439"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436"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33 990 112</w:t>
                  </w:r>
                </w:p>
              </w:tc>
            </w:tr>
            <w:tr>
              <w:tblPrEx>
                <w:tblW w:w="4950" w:type="pct"/>
                <w:tblCellMar>
                  <w:top w:w="15" w:type="dxa"/>
                  <w:left w:w="15" w:type="dxa"/>
                  <w:bottom w:w="15" w:type="dxa"/>
                  <w:right w:w="15" w:type="dxa"/>
                </w:tblCellMar>
                <w:tblLook w:val="05E0"/>
              </w:tblPrEx>
              <w:trPr>
                <w:trHeight w:val="945"/>
              </w:trPr>
              <w:tc>
                <w:tcPr>
                  <w:tcW w:w="1539"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Подмярка 7.2. „Инвестиции в създаването, подобряването или разширяването на всички видове малка по мащаби инфраструктура" - за "ЕЕФ" от подмярка 7.2 ФО 6Б - за ФО 5В и за 6.4.1</w:t>
                  </w:r>
                </w:p>
              </w:tc>
              <w:tc>
                <w:tcPr>
                  <w:tcW w:w="530"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765 460 947</w:t>
                  </w:r>
                </w:p>
              </w:tc>
              <w:tc>
                <w:tcPr>
                  <w:tcW w:w="3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-3 813 290</w:t>
                  </w:r>
                </w:p>
              </w:tc>
              <w:tc>
                <w:tcPr>
                  <w:tcW w:w="482"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-4 486 223</w:t>
                  </w:r>
                </w:p>
              </w:tc>
              <w:tc>
                <w:tcPr>
                  <w:tcW w:w="433"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-1 054 000</w:t>
                  </w:r>
                </w:p>
              </w:tc>
              <w:tc>
                <w:tcPr>
                  <w:tcW w:w="3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-1 240 000</w:t>
                  </w:r>
                </w:p>
              </w:tc>
              <w:tc>
                <w:tcPr>
                  <w:tcW w:w="371"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439"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436"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r>
            <w:tr>
              <w:tblPrEx>
                <w:tblW w:w="4950" w:type="pct"/>
                <w:tblCellMar>
                  <w:top w:w="15" w:type="dxa"/>
                  <w:left w:w="15" w:type="dxa"/>
                  <w:bottom w:w="15" w:type="dxa"/>
                  <w:right w:w="15" w:type="dxa"/>
                </w:tblCellMar>
                <w:tblLook w:val="05E0"/>
              </w:tblPrEx>
              <w:trPr>
                <w:trHeight w:val="630"/>
              </w:trPr>
              <w:tc>
                <w:tcPr>
                  <w:tcW w:w="1539"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Подмярка 7.2. „Инвестиции в създаването, подобряването или разширяването на всички видове малка по мащаби инфраструктура" за ФО 5В</w:t>
                  </w:r>
                </w:p>
              </w:tc>
              <w:tc>
                <w:tcPr>
                  <w:tcW w:w="530"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3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3 813 290</w:t>
                  </w:r>
                </w:p>
              </w:tc>
              <w:tc>
                <w:tcPr>
                  <w:tcW w:w="482"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4 486 223</w:t>
                  </w:r>
                </w:p>
              </w:tc>
              <w:tc>
                <w:tcPr>
                  <w:tcW w:w="433"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3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371"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439"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436"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764 220 947</w:t>
                  </w:r>
                </w:p>
              </w:tc>
            </w:tr>
            <w:tr>
              <w:tblPrEx>
                <w:tblW w:w="4950" w:type="pct"/>
                <w:tblCellMar>
                  <w:top w:w="15" w:type="dxa"/>
                  <w:left w:w="15" w:type="dxa"/>
                  <w:bottom w:w="15" w:type="dxa"/>
                  <w:right w:w="15" w:type="dxa"/>
                </w:tblCellMar>
                <w:tblLook w:val="05E0"/>
              </w:tblPrEx>
              <w:trPr>
                <w:trHeight w:val="315"/>
              </w:trPr>
              <w:tc>
                <w:tcPr>
                  <w:tcW w:w="1539"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Мярка 10 „Агроекология и климат" от ФО 5Г за П4</w:t>
                  </w:r>
                </w:p>
              </w:tc>
              <w:tc>
                <w:tcPr>
                  <w:tcW w:w="530"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266 151 283</w:t>
                  </w:r>
                </w:p>
              </w:tc>
              <w:tc>
                <w:tcPr>
                  <w:tcW w:w="3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-2 543 251</w:t>
                  </w:r>
                </w:p>
              </w:tc>
              <w:tc>
                <w:tcPr>
                  <w:tcW w:w="482"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-3 391 001</w:t>
                  </w:r>
                </w:p>
              </w:tc>
              <w:tc>
                <w:tcPr>
                  <w:tcW w:w="433"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3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371"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439"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436"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r>
            <w:tr>
              <w:tblPrEx>
                <w:tblW w:w="4950" w:type="pct"/>
                <w:tblCellMar>
                  <w:top w:w="15" w:type="dxa"/>
                  <w:left w:w="15" w:type="dxa"/>
                  <w:bottom w:w="15" w:type="dxa"/>
                  <w:right w:w="15" w:type="dxa"/>
                </w:tblCellMar>
                <w:tblLook w:val="05E0"/>
              </w:tblPrEx>
              <w:trPr>
                <w:trHeight w:val="315"/>
              </w:trPr>
              <w:tc>
                <w:tcPr>
                  <w:tcW w:w="1539"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Мярка 10 „Агроекология и климат" от ФО 5Г и от М4.1 в П4</w:t>
                  </w:r>
                </w:p>
              </w:tc>
              <w:tc>
                <w:tcPr>
                  <w:tcW w:w="530"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3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2 543 251</w:t>
                  </w:r>
                </w:p>
              </w:tc>
              <w:tc>
                <w:tcPr>
                  <w:tcW w:w="482"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3 391 001</w:t>
                  </w:r>
                </w:p>
              </w:tc>
              <w:tc>
                <w:tcPr>
                  <w:tcW w:w="433"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3 430 000</w:t>
                  </w:r>
                </w:p>
              </w:tc>
              <w:tc>
                <w:tcPr>
                  <w:tcW w:w="3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4 573 333</w:t>
                  </w:r>
                </w:p>
              </w:tc>
              <w:tc>
                <w:tcPr>
                  <w:tcW w:w="371"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150 000</w:t>
                  </w:r>
                </w:p>
              </w:tc>
              <w:tc>
                <w:tcPr>
                  <w:tcW w:w="439"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150 000</w:t>
                  </w:r>
                </w:p>
              </w:tc>
              <w:tc>
                <w:tcPr>
                  <w:tcW w:w="436"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270 874 616</w:t>
                  </w:r>
                </w:p>
              </w:tc>
            </w:tr>
            <w:tr>
              <w:tblPrEx>
                <w:tblW w:w="4950" w:type="pct"/>
                <w:tblCellMar>
                  <w:top w:w="15" w:type="dxa"/>
                  <w:left w:w="15" w:type="dxa"/>
                  <w:bottom w:w="15" w:type="dxa"/>
                  <w:right w:w="15" w:type="dxa"/>
                </w:tblCellMar>
                <w:tblLook w:val="05E0"/>
              </w:tblPrEx>
              <w:trPr>
                <w:trHeight w:val="315"/>
              </w:trPr>
              <w:tc>
                <w:tcPr>
                  <w:tcW w:w="1539"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Мярка 11 „Биологично земеделие"</w:t>
                  </w:r>
                </w:p>
              </w:tc>
              <w:tc>
                <w:tcPr>
                  <w:tcW w:w="530"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207 443 439</w:t>
                  </w:r>
                </w:p>
              </w:tc>
              <w:tc>
                <w:tcPr>
                  <w:tcW w:w="3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482"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433"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1 550 000</w:t>
                  </w:r>
                </w:p>
              </w:tc>
              <w:tc>
                <w:tcPr>
                  <w:tcW w:w="3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2 066 667</w:t>
                  </w:r>
                </w:p>
              </w:tc>
              <w:tc>
                <w:tcPr>
                  <w:tcW w:w="371"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439"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436"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209 510 106</w:t>
                  </w:r>
                </w:p>
              </w:tc>
            </w:tr>
            <w:tr>
              <w:tblPrEx>
                <w:tblW w:w="4950" w:type="pct"/>
                <w:tblCellMar>
                  <w:top w:w="15" w:type="dxa"/>
                  <w:left w:w="15" w:type="dxa"/>
                  <w:bottom w:w="15" w:type="dxa"/>
                  <w:right w:w="15" w:type="dxa"/>
                </w:tblCellMar>
                <w:tblLook w:val="05E0"/>
              </w:tblPrEx>
              <w:trPr>
                <w:trHeight w:val="315"/>
              </w:trPr>
              <w:tc>
                <w:tcPr>
                  <w:tcW w:w="1539"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Мярка 12 „Плащания по „Натура-2000” и Рамковата директива  за водите"</w:t>
                  </w:r>
                </w:p>
              </w:tc>
              <w:tc>
                <w:tcPr>
                  <w:tcW w:w="530"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198 276 037</w:t>
                  </w:r>
                </w:p>
              </w:tc>
              <w:tc>
                <w:tcPr>
                  <w:tcW w:w="3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482"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433"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100 000</w:t>
                  </w:r>
                </w:p>
              </w:tc>
              <w:tc>
                <w:tcPr>
                  <w:tcW w:w="3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133 333</w:t>
                  </w:r>
                </w:p>
              </w:tc>
              <w:tc>
                <w:tcPr>
                  <w:tcW w:w="371"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439"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436"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198 409 371</w:t>
                  </w:r>
                </w:p>
              </w:tc>
            </w:tr>
            <w:tr>
              <w:tblPrEx>
                <w:tblW w:w="4950" w:type="pct"/>
                <w:tblCellMar>
                  <w:top w:w="15" w:type="dxa"/>
                  <w:left w:w="15" w:type="dxa"/>
                  <w:bottom w:w="15" w:type="dxa"/>
                  <w:right w:w="15" w:type="dxa"/>
                </w:tblCellMar>
                <w:tblLook w:val="05E0"/>
              </w:tblPrEx>
              <w:trPr>
                <w:trHeight w:val="630"/>
              </w:trPr>
              <w:tc>
                <w:tcPr>
                  <w:tcW w:w="1539"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Мярка 13 „Плащания за райони, изправени пред природни или други специфични ограничения"</w:t>
                  </w:r>
                </w:p>
              </w:tc>
              <w:tc>
                <w:tcPr>
                  <w:tcW w:w="530"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383 814 674</w:t>
                  </w:r>
                </w:p>
              </w:tc>
              <w:tc>
                <w:tcPr>
                  <w:tcW w:w="3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482"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433"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8 000</w:t>
                  </w:r>
                </w:p>
              </w:tc>
              <w:tc>
                <w:tcPr>
                  <w:tcW w:w="3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10 667</w:t>
                  </w:r>
                </w:p>
              </w:tc>
              <w:tc>
                <w:tcPr>
                  <w:tcW w:w="371"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439"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436"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383 825 341</w:t>
                  </w:r>
                </w:p>
              </w:tc>
            </w:tr>
            <w:tr>
              <w:tblPrEx>
                <w:tblW w:w="4950" w:type="pct"/>
                <w:tblCellMar>
                  <w:top w:w="15" w:type="dxa"/>
                  <w:left w:w="15" w:type="dxa"/>
                  <w:bottom w:w="15" w:type="dxa"/>
                  <w:right w:w="15" w:type="dxa"/>
                </w:tblCellMar>
                <w:tblLook w:val="05E0"/>
              </w:tblPrEx>
              <w:trPr>
                <w:trHeight w:val="315"/>
              </w:trPr>
              <w:tc>
                <w:tcPr>
                  <w:tcW w:w="1539"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Мярка 14 „Хуманно отношение към животните" </w:t>
                  </w:r>
                </w:p>
              </w:tc>
              <w:tc>
                <w:tcPr>
                  <w:tcW w:w="530"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22 391 536</w:t>
                  </w:r>
                </w:p>
              </w:tc>
              <w:tc>
                <w:tcPr>
                  <w:tcW w:w="3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482"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433"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270 000</w:t>
                  </w:r>
                </w:p>
              </w:tc>
              <w:tc>
                <w:tcPr>
                  <w:tcW w:w="3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317 647</w:t>
                  </w:r>
                </w:p>
              </w:tc>
              <w:tc>
                <w:tcPr>
                  <w:tcW w:w="371"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439"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436"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22 709 184</w:t>
                  </w:r>
                </w:p>
              </w:tc>
            </w:tr>
            <w:tr>
              <w:tblPrEx>
                <w:tblW w:w="4950" w:type="pct"/>
                <w:tblCellMar>
                  <w:top w:w="15" w:type="dxa"/>
                  <w:left w:w="15" w:type="dxa"/>
                  <w:bottom w:w="15" w:type="dxa"/>
                  <w:right w:w="15" w:type="dxa"/>
                </w:tblCellMar>
                <w:tblLook w:val="05E0"/>
              </w:tblPrEx>
              <w:trPr>
                <w:trHeight w:val="345"/>
              </w:trPr>
              <w:tc>
                <w:tcPr>
                  <w:tcW w:w="1539"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Общо изведени средства  </w:t>
                  </w:r>
                </w:p>
              </w:tc>
              <w:tc>
                <w:tcPr>
                  <w:tcW w:w="530"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3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-9 530 555</w:t>
                  </w:r>
                </w:p>
              </w:tc>
              <w:tc>
                <w:tcPr>
                  <w:tcW w:w="482"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-11 783 908</w:t>
                  </w:r>
                </w:p>
              </w:tc>
              <w:tc>
                <w:tcPr>
                  <w:tcW w:w="433"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-27 934 895</w:t>
                  </w:r>
                </w:p>
              </w:tc>
              <w:tc>
                <w:tcPr>
                  <w:tcW w:w="3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-34 784 269</w:t>
                  </w:r>
                </w:p>
              </w:tc>
              <w:tc>
                <w:tcPr>
                  <w:tcW w:w="371"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-8 181 075</w:t>
                  </w:r>
                </w:p>
              </w:tc>
              <w:tc>
                <w:tcPr>
                  <w:tcW w:w="439"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-8 181 075</w:t>
                  </w:r>
                </w:p>
              </w:tc>
              <w:tc>
                <w:tcPr>
                  <w:tcW w:w="436"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r>
            <w:tr>
              <w:tblPrEx>
                <w:tblW w:w="4950" w:type="pct"/>
                <w:tblCellMar>
                  <w:top w:w="15" w:type="dxa"/>
                  <w:left w:w="15" w:type="dxa"/>
                  <w:bottom w:w="15" w:type="dxa"/>
                  <w:right w:w="15" w:type="dxa"/>
                </w:tblCellMar>
                <w:tblLook w:val="05E0"/>
              </w:tblPrEx>
              <w:trPr>
                <w:trHeight w:val="315"/>
              </w:trPr>
              <w:tc>
                <w:tcPr>
                  <w:tcW w:w="1539"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Общо добавени средства  </w:t>
                  </w:r>
                </w:p>
              </w:tc>
              <w:tc>
                <w:tcPr>
                  <w:tcW w:w="530"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3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9 530 555</w:t>
                  </w:r>
                </w:p>
              </w:tc>
              <w:tc>
                <w:tcPr>
                  <w:tcW w:w="482"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11 783 908</w:t>
                  </w:r>
                </w:p>
              </w:tc>
              <w:tc>
                <w:tcPr>
                  <w:tcW w:w="433"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13 562 000</w:t>
                  </w:r>
                </w:p>
              </w:tc>
              <w:tc>
                <w:tcPr>
                  <w:tcW w:w="3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17 874 980</w:t>
                  </w:r>
                </w:p>
              </w:tc>
              <w:tc>
                <w:tcPr>
                  <w:tcW w:w="371"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8 181 075</w:t>
                  </w:r>
                </w:p>
              </w:tc>
              <w:tc>
                <w:tcPr>
                  <w:tcW w:w="439"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8 181 075</w:t>
                  </w:r>
                </w:p>
              </w:tc>
              <w:tc>
                <w:tcPr>
                  <w:tcW w:w="436"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r>
            <w:tr>
              <w:tblPrEx>
                <w:tblW w:w="4950" w:type="pct"/>
                <w:tblCellMar>
                  <w:top w:w="15" w:type="dxa"/>
                  <w:left w:w="15" w:type="dxa"/>
                  <w:bottom w:w="15" w:type="dxa"/>
                  <w:right w:w="15" w:type="dxa"/>
                </w:tblCellMar>
                <w:tblLook w:val="05E0"/>
              </w:tblPrEx>
              <w:trPr>
                <w:trHeight w:val="345"/>
              </w:trPr>
              <w:tc>
                <w:tcPr>
                  <w:tcW w:w="1539"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Общо баланс  - изведени средства(-)/добавени средства ()</w:t>
                  </w:r>
                </w:p>
              </w:tc>
              <w:tc>
                <w:tcPr>
                  <w:tcW w:w="530"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3 127 130 026</w:t>
                  </w:r>
                </w:p>
              </w:tc>
              <w:tc>
                <w:tcPr>
                  <w:tcW w:w="3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0</w:t>
                  </w:r>
                </w:p>
              </w:tc>
              <w:tc>
                <w:tcPr>
                  <w:tcW w:w="482"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0</w:t>
                  </w:r>
                </w:p>
              </w:tc>
              <w:tc>
                <w:tcPr>
                  <w:tcW w:w="433"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-14 372 895</w:t>
                  </w:r>
                </w:p>
              </w:tc>
              <w:tc>
                <w:tcPr>
                  <w:tcW w:w="3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-16 909 288</w:t>
                  </w:r>
                </w:p>
              </w:tc>
              <w:tc>
                <w:tcPr>
                  <w:tcW w:w="371"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0</w:t>
                  </w:r>
                </w:p>
              </w:tc>
              <w:tc>
                <w:tcPr>
                  <w:tcW w:w="439"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0</w:t>
                  </w:r>
                </w:p>
              </w:tc>
              <w:tc>
                <w:tcPr>
                  <w:tcW w:w="436"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3 110 220 738</w:t>
                  </w:r>
                </w:p>
              </w:tc>
            </w:tr>
            <w:tr>
              <w:tblPrEx>
                <w:tblW w:w="4950" w:type="pct"/>
                <w:tblCellMar>
                  <w:top w:w="15" w:type="dxa"/>
                  <w:left w:w="15" w:type="dxa"/>
                  <w:bottom w:w="15" w:type="dxa"/>
                  <w:right w:w="15" w:type="dxa"/>
                </w:tblCellMar>
                <w:tblLook w:val="05E0"/>
              </w:tblPrEx>
              <w:trPr>
                <w:trHeight w:val="360"/>
              </w:trPr>
              <w:tc>
                <w:tcPr>
                  <w:tcW w:w="1539" w:type="pct"/>
                  <w:tcBorders>
                    <w:top w:val="inset" w:sz="6" w:space="0" w:color="808080"/>
                    <w:right w:val="inset" w:sz="6" w:space="0" w:color="808080"/>
                  </w:tcBorders>
                  <w:shd w:val="clear" w:color="auto" w:fill="E2EFDA"/>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Общо ПРСР 2014-2020</w:t>
                  </w:r>
                </w:p>
              </w:tc>
              <w:tc>
                <w:tcPr>
                  <w:tcW w:w="530" w:type="pct"/>
                  <w:tcBorders>
                    <w:top w:val="inset" w:sz="6" w:space="0" w:color="808080"/>
                    <w:left w:val="inset" w:sz="6" w:space="0" w:color="808080"/>
                    <w:right w:val="inset" w:sz="6" w:space="0" w:color="808080"/>
                  </w:tcBorders>
                  <w:shd w:val="clear" w:color="auto" w:fill="EBF1DE"/>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3 791 876 986</w:t>
                  </w:r>
                </w:p>
              </w:tc>
              <w:tc>
                <w:tcPr>
                  <w:tcW w:w="385" w:type="pct"/>
                  <w:tcBorders>
                    <w:top w:val="inset" w:sz="6" w:space="0" w:color="808080"/>
                    <w:left w:val="inset" w:sz="6" w:space="0" w:color="808080"/>
                    <w:right w:val="inset" w:sz="6" w:space="0" w:color="808080"/>
                  </w:tcBorders>
                  <w:shd w:val="clear" w:color="auto" w:fill="EBF1DE"/>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0</w:t>
                  </w:r>
                </w:p>
              </w:tc>
              <w:tc>
                <w:tcPr>
                  <w:tcW w:w="482" w:type="pct"/>
                  <w:tcBorders>
                    <w:top w:val="inset" w:sz="6" w:space="0" w:color="808080"/>
                    <w:left w:val="inset" w:sz="6" w:space="0" w:color="808080"/>
                    <w:right w:val="inset" w:sz="6" w:space="0" w:color="808080"/>
                  </w:tcBorders>
                  <w:shd w:val="clear" w:color="auto" w:fill="EBF1DE"/>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0</w:t>
                  </w:r>
                </w:p>
              </w:tc>
              <w:tc>
                <w:tcPr>
                  <w:tcW w:w="433" w:type="pct"/>
                  <w:tcBorders>
                    <w:top w:val="inset" w:sz="6" w:space="0" w:color="808080"/>
                    <w:left w:val="inset" w:sz="6" w:space="0" w:color="808080"/>
                    <w:right w:val="inset" w:sz="6" w:space="0" w:color="808080"/>
                  </w:tcBorders>
                  <w:shd w:val="clear" w:color="auto" w:fill="EBF1DE"/>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-14 372 895</w:t>
                  </w:r>
                </w:p>
              </w:tc>
              <w:tc>
                <w:tcPr>
                  <w:tcW w:w="385" w:type="pct"/>
                  <w:tcBorders>
                    <w:top w:val="inset" w:sz="6" w:space="0" w:color="808080"/>
                    <w:left w:val="inset" w:sz="6" w:space="0" w:color="808080"/>
                    <w:right w:val="inset" w:sz="6" w:space="0" w:color="808080"/>
                  </w:tcBorders>
                  <w:shd w:val="clear" w:color="auto" w:fill="EBF1DE"/>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-16 909 288</w:t>
                  </w:r>
                </w:p>
              </w:tc>
              <w:tc>
                <w:tcPr>
                  <w:tcW w:w="371" w:type="pct"/>
                  <w:tcBorders>
                    <w:top w:val="inset" w:sz="6" w:space="0" w:color="808080"/>
                    <w:left w:val="inset" w:sz="6" w:space="0" w:color="808080"/>
                    <w:right w:val="inset" w:sz="6" w:space="0" w:color="808080"/>
                  </w:tcBorders>
                  <w:shd w:val="clear" w:color="auto" w:fill="EBF1DE"/>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0</w:t>
                  </w:r>
                </w:p>
              </w:tc>
              <w:tc>
                <w:tcPr>
                  <w:tcW w:w="439" w:type="pct"/>
                  <w:tcBorders>
                    <w:top w:val="inset" w:sz="6" w:space="0" w:color="808080"/>
                    <w:left w:val="inset" w:sz="6" w:space="0" w:color="808080"/>
                    <w:right w:val="inset" w:sz="6" w:space="0" w:color="808080"/>
                  </w:tcBorders>
                  <w:shd w:val="clear" w:color="auto" w:fill="EBF1DE"/>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0</w:t>
                  </w:r>
                </w:p>
              </w:tc>
              <w:tc>
                <w:tcPr>
                  <w:tcW w:w="436" w:type="pct"/>
                  <w:tcBorders>
                    <w:top w:val="inset" w:sz="6" w:space="0" w:color="808080"/>
                    <w:left w:val="inset" w:sz="6" w:space="0" w:color="808080"/>
                  </w:tcBorders>
                  <w:shd w:val="clear" w:color="auto" w:fill="EBF1DE"/>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3 774 967 698</w:t>
                  </w:r>
                </w:p>
              </w:tc>
            </w:tr>
          </w:tbl>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Очаквани последици от изменението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II. Преразпределение на средствата между приоритети и фокус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Преразпределение на средствата по приоритети и фокус области в рамките на мярка 2 „Консултантски услуги, управление на стопанството и услуги по заместване в стопанството“ от ПРСР 2014-2020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По подмярка 2.1.1 „Консултантски услуги за земеделски и горски стопани“</w:t>
            </w:r>
            <w:r>
              <w:rPr>
                <w:rFonts w:ascii="Times New Roman" w:eastAsia="Times New Roman" w:hAnsi="Times New Roman" w:cs="Times New Roman"/>
                <w:szCs w:val="24"/>
              </w:rPr>
              <w:t xml:space="preserve"> от мярка 2 „Консултантски услуги, управление на стопанството и услуги по заместване в стопанството“ са сключени три договора за предоставяне на консултантски пакет А2Б от съветнически организации на стойност 969 463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Договорите за предоставяне на БФП са сключени по повод последния прием на проектни предложения по подмярка 6.1 „Стартова помощ за млади земеделски стопани“, който приключи на 31 януари 2023 г., по който съответните бенефициенти – съветнически организации изготвят безплатни проекти на кандидатите – млади фермери.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По подмярка 2.2 „Създаване на консултантски услуги“</w:t>
            </w:r>
            <w:r>
              <w:rPr>
                <w:rFonts w:ascii="Times New Roman" w:eastAsia="Times New Roman" w:hAnsi="Times New Roman" w:cs="Times New Roman"/>
                <w:szCs w:val="24"/>
              </w:rPr>
              <w:t xml:space="preserve"> от мярка 2 „Консултантски услуги, управление на стопанството и услуги по заместване в стопанството“ е сключен договор за предоставяне на БФП първоначално на стойност 5 323 674 евро, който е в процес на изпълнение и въз основа на който са създадени и функционират 28 мобилни общински офиса на Националната служба за съвети в земеделието (НССЗ).</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този начин, на практика е договорен финансов ресурс, който да обезпечи всички предвидени дейности в рамките на подмерки 2.1.1 „Консултантски услуги за земеделски и горски стопани“ и 2.2 „Създаване на консултантски услуги“ по ПРСР 2014-2020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друга страна, в рамките на Тематичната подпрограма за малки земеделски стопани от ПРСР 2014-2020 г. на малките земеделски стопанства са предоставени над 35 хил. консултантски пакети.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НССЗ продължава да съветва малките земеделски стопанства в страната, в т.ч. бенефициентите по подмярка 6.3 „Стартова помощ за млади земеделски стопани“, свързани основно с Приоритет 4 и Приоритет 5 от ПРСР 2014-2020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Съгласно чл. 10 от Наредба № 7 от 5 май 2016 г. за прилагане </w:t>
            </w:r>
            <w:r>
              <w:rPr>
                <w:rFonts w:ascii="Times New Roman" w:eastAsia="Times New Roman" w:hAnsi="Times New Roman" w:cs="Times New Roman"/>
                <w:b/>
                <w:bCs/>
                <w:szCs w:val="24"/>
              </w:rPr>
              <w:t>на подмярка 2.1.2. „Консултантски услуги за малки земеделски стопанства”</w:t>
            </w:r>
            <w:r>
              <w:rPr>
                <w:rFonts w:ascii="Times New Roman" w:eastAsia="Times New Roman" w:hAnsi="Times New Roman" w:cs="Times New Roman"/>
                <w:szCs w:val="24"/>
              </w:rPr>
              <w:t xml:space="preserve"> по мярка 2 „Консултантски услуги, услуги по управление на стопанството и услуги по заместване в стопанството“ от ПРСР 2014 - 2020 г. (обн., ДВ, бр. 36 от 2016 г.) министърът на земеделието и храните със заповед определя началната дата, на която НССЗ започва предоставянето на консултантските пакети (КП) по чл.7, ал.1 от наредбата.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Следва да се има предвид, че посочените съвети, които служителите на НССЗ предоставят на малки земеделски стопанства по подмярка 2.1.2. „Консултантски услуги за малки земеделски стопанства” са свързани с очакванията на производителите да получат информация, касаеща мерки за смекчаване последиците от изменението на климата, мерки на ниво стопанство за опазване на околната среда и водите, както и съвети свързани с изпълнение на предварителната условност-законоустановените изисквания за управление и националните стандарти за поддържане на земята в добро земеделско и екологично състояние. До голяма степен необходимостта от тази информация за малките земеделски стопани е провокирана от кампанията по директните плащания по Стратегическия план за развитие на земеделието и селските райони за периода 2023-2027 г. и новите условия за подпомагане по интервенциите от плана. В таблица към цитирания доклад на НССЗ е предоставена информация за необходимите средства на НССЗ за предоставяне на съвети на малки земеделски стопани съгласно техните потребности, вкл. разпределени по фокус области.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Изпълняваният проект по подмярка 2.2 „Създаване на консултантски услуги“ с предмет „Създаване на 28 мобилни общински офиси на НССЗ“, е с вече извършени плащания на стойност 2 582 028 евро, и се предвижда до края на изпълнение на договора, а именно 30.09.2025 г. да бъдат изплатени допълнителни средства в размер на 1 154 560 евро, като тези данни предполагат генериране на остатък, който може да бъде преразпределен при следващо изменение.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Въз основа на данни за подадени заявки за плащане и предстоящи за подаване заявки за плащане по подмярка 2.1.2 и във връзка с предоставени консултантски пакети за малки земеделски стопани се очаква да бъде усвоен целия предвиден ресурс в 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друга страна, разпределението по фокус области (области с поставен акцент) вследствие прилагането на мярка 2 към момента и в следващите месеци до края на прилагане на Програмата се очертава дисбалансирано, спрямо предварително заложените разчети предвид актуалните потребности на малките земеделски стопани от съвети по определени теми и финалния етап на изпълнение на ПРСР 2014-2020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цел балансирано прилагане на мярката, и изразходване на средствата запазвайки както националния финансов интерес, така и този на ЕС, с настоящото изменение на Програмата Управляващият орган на ПРСР 2014-2020 г. предвижда преразпределение на бюджетите вътре в мярка 2 „Консултантски услуги, управление на стопанството и услуги по заместване в стопанството“, в частност и тези на подмярка 2.1.2 съгласно последните предложения за разходване на средства от страна на НССЗ, и последната издадена заповед на Министъра на земеделието и храните от м. юли 2024 г., която предстои да бъде актуализирана - с която се определя бюджет за 2025 г. за предоставяне на консултантски пакети по чл. 7, ал. 1 от Наредба № 7 от 2016 г. за прилагане на подмярка 2.1.2 „Консултантски услуги за малки земеделски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Таблица</w:t>
            </w:r>
            <w:r>
              <w:rPr>
                <w:rFonts w:ascii="Times New Roman" w:eastAsia="Times New Roman" w:hAnsi="Times New Roman" w:cs="Times New Roman"/>
                <w:b/>
                <w:bCs/>
                <w:szCs w:val="24"/>
              </w:rPr>
              <w:t xml:space="preserve"> 2</w:t>
            </w:r>
            <w:r>
              <w:rPr>
                <w:rFonts w:ascii="Times New Roman" w:eastAsia="Times New Roman" w:hAnsi="Times New Roman" w:cs="Times New Roman"/>
                <w:szCs w:val="24"/>
              </w:rPr>
              <w:t>, сумите са в евро, публични средства:</w:t>
            </w:r>
          </w:p>
          <w:tbl>
            <w:tblPr>
              <w:tblStyle w:val="Table"/>
              <w:tblW w:w="5150"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1448"/>
              <w:gridCol w:w="1248"/>
              <w:gridCol w:w="1455"/>
              <w:gridCol w:w="1680"/>
              <w:gridCol w:w="1902"/>
              <w:gridCol w:w="1771"/>
              <w:gridCol w:w="1229"/>
            </w:tblGrid>
            <w:tr>
              <w:tblPrEx>
                <w:tblW w:w="5150"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274"/>
              </w:trPr>
              <w:tc>
                <w:tcPr>
                  <w:tcW w:w="527" w:type="pct"/>
                  <w:tcBorders>
                    <w:bottom w:val="inset" w:sz="6" w:space="0" w:color="808080"/>
                    <w:right w:val="inset" w:sz="6" w:space="0" w:color="808080"/>
                  </w:tcBorders>
                  <w:shd w:val="clear" w:color="auto" w:fill="E2EFDA"/>
                  <w:noWrap w:val="0"/>
                  <w:tcMar>
                    <w:top w:w="25"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Мярка 2, разпределение по фокус области </w:t>
                  </w:r>
                </w:p>
              </w:tc>
              <w:tc>
                <w:tcPr>
                  <w:tcW w:w="605" w:type="pct"/>
                  <w:tcBorders>
                    <w:left w:val="inset" w:sz="6" w:space="0" w:color="808080"/>
                    <w:bottom w:val="inset" w:sz="6" w:space="0" w:color="808080"/>
                    <w:right w:val="inset" w:sz="6" w:space="0" w:color="808080"/>
                  </w:tcBorders>
                  <w:shd w:val="clear" w:color="auto" w:fill="E2EFDA"/>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Бюджет към 17-то изменение, евро публични средства</w:t>
                  </w:r>
                </w:p>
              </w:tc>
              <w:tc>
                <w:tcPr>
                  <w:tcW w:w="757" w:type="pct"/>
                  <w:tcBorders>
                    <w:left w:val="inset" w:sz="6" w:space="0" w:color="808080"/>
                    <w:bottom w:val="inset" w:sz="6" w:space="0" w:color="808080"/>
                    <w:right w:val="inset" w:sz="6" w:space="0" w:color="808080"/>
                  </w:tcBorders>
                  <w:shd w:val="clear" w:color="auto" w:fill="E2EFDA"/>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iCs/>
                      <w:smallCaps w:val="0"/>
                      <w:color w:val="000000"/>
                      <w:szCs w:val="24"/>
                    </w:rPr>
                    <w:t>Платени средства, и такива, чието заявяване от НССЗ предстои, евро публични средства</w:t>
                  </w:r>
                </w:p>
              </w:tc>
              <w:tc>
                <w:tcPr>
                  <w:tcW w:w="832" w:type="pct"/>
                  <w:tcBorders>
                    <w:left w:val="inset" w:sz="6" w:space="0" w:color="808080"/>
                    <w:bottom w:val="inset" w:sz="6" w:space="0" w:color="808080"/>
                    <w:right w:val="inset" w:sz="6" w:space="0" w:color="808080"/>
                  </w:tcBorders>
                  <w:shd w:val="clear" w:color="auto" w:fill="E2EFDA"/>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iCs/>
                      <w:smallCaps w:val="0"/>
                      <w:color w:val="000000"/>
                      <w:szCs w:val="24"/>
                    </w:rPr>
                    <w:t>Необходим допълнителен бюджет за изпълнение на дейностите на НССЗ  за 2025 г. (индикативно)</w:t>
                  </w:r>
                </w:p>
              </w:tc>
              <w:tc>
                <w:tcPr>
                  <w:tcW w:w="908" w:type="pct"/>
                  <w:tcBorders>
                    <w:left w:val="inset" w:sz="6" w:space="0" w:color="808080"/>
                    <w:bottom w:val="inset" w:sz="6" w:space="0" w:color="808080"/>
                    <w:right w:val="inset" w:sz="6" w:space="0" w:color="808080"/>
                  </w:tcBorders>
                  <w:shd w:val="clear" w:color="auto" w:fill="E2EFDA"/>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iCs/>
                      <w:smallCaps w:val="0"/>
                      <w:color w:val="000000"/>
                      <w:szCs w:val="24"/>
                    </w:rPr>
                    <w:t>Прогнозен остатък/недостиг при текущото разпределение на средства, евро публични средства</w:t>
                  </w:r>
                </w:p>
              </w:tc>
              <w:tc>
                <w:tcPr>
                  <w:tcW w:w="778" w:type="pct"/>
                  <w:tcBorders>
                    <w:left w:val="inset" w:sz="6" w:space="0" w:color="808080"/>
                    <w:bottom w:val="inset" w:sz="6" w:space="0" w:color="808080"/>
                    <w:right w:val="inset" w:sz="6" w:space="0" w:color="808080"/>
                  </w:tcBorders>
                  <w:shd w:val="clear" w:color="auto" w:fill="E2EFDA"/>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Предлагано преразпределение с 18-то изменение на ПРСР, евро публични средства</w:t>
                  </w:r>
                </w:p>
              </w:tc>
              <w:tc>
                <w:tcPr>
                  <w:tcW w:w="593" w:type="pct"/>
                  <w:tcBorders>
                    <w:left w:val="inset" w:sz="6" w:space="0" w:color="808080"/>
                    <w:bottom w:val="inset" w:sz="6" w:space="0" w:color="808080"/>
                  </w:tcBorders>
                  <w:shd w:val="clear" w:color="auto" w:fill="E2EFDA"/>
                  <w:noWrap w:val="0"/>
                  <w:tcMar>
                    <w:top w:w="25"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Бюджет след 18-то изменение, евро публични средства</w:t>
                  </w:r>
                </w:p>
              </w:tc>
            </w:tr>
            <w:tr>
              <w:tblPrEx>
                <w:tblW w:w="5150" w:type="pct"/>
                <w:tblCellMar>
                  <w:top w:w="15" w:type="dxa"/>
                  <w:left w:w="15" w:type="dxa"/>
                  <w:bottom w:w="15" w:type="dxa"/>
                  <w:right w:w="15" w:type="dxa"/>
                </w:tblCellMar>
                <w:tblLook w:val="05E0"/>
              </w:tblPrEx>
              <w:trPr>
                <w:trHeight w:val="300"/>
              </w:trPr>
              <w:tc>
                <w:tcPr>
                  <w:tcW w:w="527"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2A</w:t>
                  </w:r>
                </w:p>
              </w:tc>
              <w:tc>
                <w:tcPr>
                  <w:tcW w:w="60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iCs/>
                      <w:smallCaps w:val="0"/>
                      <w:color w:val="000000"/>
                      <w:szCs w:val="24"/>
                    </w:rPr>
                    <w:t>8 500 000</w:t>
                  </w:r>
                </w:p>
              </w:tc>
              <w:tc>
                <w:tcPr>
                  <w:tcW w:w="757"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iCs/>
                      <w:smallCaps w:val="0"/>
                      <w:color w:val="000000"/>
                      <w:szCs w:val="24"/>
                    </w:rPr>
                    <w:t>6 656 412</w:t>
                  </w:r>
                </w:p>
              </w:tc>
              <w:tc>
                <w:tcPr>
                  <w:tcW w:w="832"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iCs/>
                      <w:smallCaps w:val="0"/>
                      <w:color w:val="000000"/>
                      <w:szCs w:val="24"/>
                    </w:rPr>
                    <w:t>99 161</w:t>
                  </w:r>
                </w:p>
              </w:tc>
              <w:tc>
                <w:tcPr>
                  <w:tcW w:w="90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iCs/>
                      <w:smallCaps w:val="0"/>
                      <w:color w:val="000000"/>
                      <w:szCs w:val="24"/>
                    </w:rPr>
                    <w:t>1 744 427</w:t>
                  </w:r>
                </w:p>
              </w:tc>
              <w:tc>
                <w:tcPr>
                  <w:tcW w:w="77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iCs/>
                      <w:smallCaps w:val="0"/>
                      <w:color w:val="000000"/>
                      <w:szCs w:val="24"/>
                    </w:rPr>
                    <w:t>-1 690 015</w:t>
                  </w:r>
                </w:p>
              </w:tc>
              <w:tc>
                <w:tcPr>
                  <w:tcW w:w="593"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iCs/>
                      <w:smallCaps w:val="0"/>
                      <w:color w:val="000000"/>
                      <w:szCs w:val="24"/>
                    </w:rPr>
                    <w:t>6 809 985</w:t>
                  </w:r>
                </w:p>
              </w:tc>
            </w:tr>
            <w:tr>
              <w:tblPrEx>
                <w:tblW w:w="5150" w:type="pct"/>
                <w:tblCellMar>
                  <w:top w:w="15" w:type="dxa"/>
                  <w:left w:w="15" w:type="dxa"/>
                  <w:bottom w:w="15" w:type="dxa"/>
                  <w:right w:w="15" w:type="dxa"/>
                </w:tblCellMar>
                <w:tblLook w:val="05E0"/>
              </w:tblPrEx>
              <w:trPr>
                <w:trHeight w:val="300"/>
              </w:trPr>
              <w:tc>
                <w:tcPr>
                  <w:tcW w:w="527"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2B</w:t>
                  </w:r>
                </w:p>
              </w:tc>
              <w:tc>
                <w:tcPr>
                  <w:tcW w:w="60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iCs/>
                      <w:smallCaps w:val="0"/>
                      <w:color w:val="000000"/>
                      <w:szCs w:val="24"/>
                    </w:rPr>
                    <w:t>2 625 000</w:t>
                  </w:r>
                </w:p>
              </w:tc>
              <w:tc>
                <w:tcPr>
                  <w:tcW w:w="757"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iCs/>
                      <w:smallCaps w:val="0"/>
                      <w:color w:val="000000"/>
                      <w:szCs w:val="24"/>
                    </w:rPr>
                    <w:t>1 872 154</w:t>
                  </w:r>
                </w:p>
              </w:tc>
              <w:tc>
                <w:tcPr>
                  <w:tcW w:w="832"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iCs/>
                      <w:smallCaps w:val="0"/>
                      <w:color w:val="000000"/>
                      <w:szCs w:val="24"/>
                    </w:rPr>
                    <w:t> </w:t>
                  </w:r>
                </w:p>
              </w:tc>
              <w:tc>
                <w:tcPr>
                  <w:tcW w:w="90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iCs/>
                      <w:smallCaps w:val="0"/>
                      <w:color w:val="000000"/>
                      <w:szCs w:val="24"/>
                    </w:rPr>
                    <w:t>752 846</w:t>
                  </w:r>
                </w:p>
              </w:tc>
              <w:tc>
                <w:tcPr>
                  <w:tcW w:w="77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iCs/>
                      <w:smallCaps w:val="0"/>
                      <w:color w:val="000000"/>
                      <w:szCs w:val="24"/>
                    </w:rPr>
                    <w:t>-750 000</w:t>
                  </w:r>
                </w:p>
              </w:tc>
              <w:tc>
                <w:tcPr>
                  <w:tcW w:w="593"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iCs/>
                      <w:smallCaps w:val="0"/>
                      <w:color w:val="000000"/>
                      <w:szCs w:val="24"/>
                    </w:rPr>
                    <w:t>1 875 000</w:t>
                  </w:r>
                </w:p>
              </w:tc>
            </w:tr>
            <w:tr>
              <w:tblPrEx>
                <w:tblW w:w="5150" w:type="pct"/>
                <w:tblCellMar>
                  <w:top w:w="15" w:type="dxa"/>
                  <w:left w:w="15" w:type="dxa"/>
                  <w:bottom w:w="15" w:type="dxa"/>
                  <w:right w:w="15" w:type="dxa"/>
                </w:tblCellMar>
                <w:tblLook w:val="05E0"/>
              </w:tblPrEx>
              <w:trPr>
                <w:trHeight w:val="300"/>
              </w:trPr>
              <w:tc>
                <w:tcPr>
                  <w:tcW w:w="527"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3A</w:t>
                  </w:r>
                </w:p>
              </w:tc>
              <w:tc>
                <w:tcPr>
                  <w:tcW w:w="60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iCs/>
                      <w:smallCaps w:val="0"/>
                      <w:color w:val="000000"/>
                      <w:szCs w:val="24"/>
                    </w:rPr>
                    <w:t>600 000</w:t>
                  </w:r>
                </w:p>
              </w:tc>
              <w:tc>
                <w:tcPr>
                  <w:tcW w:w="757"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iCs/>
                      <w:smallCaps w:val="0"/>
                      <w:color w:val="000000"/>
                      <w:szCs w:val="24"/>
                    </w:rPr>
                    <w:t>626 046</w:t>
                  </w:r>
                </w:p>
              </w:tc>
              <w:tc>
                <w:tcPr>
                  <w:tcW w:w="832"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iCs/>
                      <w:smallCaps w:val="0"/>
                      <w:color w:val="000000"/>
                      <w:szCs w:val="24"/>
                    </w:rPr>
                    <w:t>99 161</w:t>
                  </w:r>
                </w:p>
              </w:tc>
              <w:tc>
                <w:tcPr>
                  <w:tcW w:w="90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iCs/>
                      <w:smallCaps w:val="0"/>
                      <w:color w:val="000000"/>
                      <w:szCs w:val="24"/>
                    </w:rPr>
                    <w:t>-125 207</w:t>
                  </w:r>
                </w:p>
              </w:tc>
              <w:tc>
                <w:tcPr>
                  <w:tcW w:w="77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iCs/>
                      <w:smallCaps w:val="0"/>
                      <w:color w:val="000000"/>
                      <w:szCs w:val="24"/>
                    </w:rPr>
                    <w:t>225 207</w:t>
                  </w:r>
                </w:p>
              </w:tc>
              <w:tc>
                <w:tcPr>
                  <w:tcW w:w="593"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iCs/>
                      <w:smallCaps w:val="0"/>
                      <w:color w:val="000000"/>
                      <w:szCs w:val="24"/>
                    </w:rPr>
                    <w:t>825 207</w:t>
                  </w:r>
                </w:p>
              </w:tc>
            </w:tr>
            <w:tr>
              <w:tblPrEx>
                <w:tblW w:w="5150" w:type="pct"/>
                <w:tblCellMar>
                  <w:top w:w="15" w:type="dxa"/>
                  <w:left w:w="15" w:type="dxa"/>
                  <w:bottom w:w="15" w:type="dxa"/>
                  <w:right w:w="15" w:type="dxa"/>
                </w:tblCellMar>
                <w:tblLook w:val="05E0"/>
              </w:tblPrEx>
              <w:trPr>
                <w:trHeight w:val="300"/>
              </w:trPr>
              <w:tc>
                <w:tcPr>
                  <w:tcW w:w="527"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3B</w:t>
                  </w:r>
                </w:p>
              </w:tc>
              <w:tc>
                <w:tcPr>
                  <w:tcW w:w="60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iCs/>
                      <w:smallCaps w:val="0"/>
                      <w:color w:val="000000"/>
                      <w:szCs w:val="24"/>
                    </w:rPr>
                    <w:t>600 000</w:t>
                  </w:r>
                </w:p>
              </w:tc>
              <w:tc>
                <w:tcPr>
                  <w:tcW w:w="757"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iCs/>
                      <w:smallCaps w:val="0"/>
                      <w:color w:val="000000"/>
                      <w:szCs w:val="24"/>
                    </w:rPr>
                    <w:t>626 045</w:t>
                  </w:r>
                </w:p>
              </w:tc>
              <w:tc>
                <w:tcPr>
                  <w:tcW w:w="832"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iCs/>
                      <w:smallCaps w:val="0"/>
                      <w:color w:val="000000"/>
                      <w:szCs w:val="24"/>
                    </w:rPr>
                    <w:t>99 161</w:t>
                  </w:r>
                </w:p>
              </w:tc>
              <w:tc>
                <w:tcPr>
                  <w:tcW w:w="90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iCs/>
                      <w:smallCaps w:val="0"/>
                      <w:color w:val="000000"/>
                      <w:szCs w:val="24"/>
                    </w:rPr>
                    <w:t>-125 206</w:t>
                  </w:r>
                </w:p>
              </w:tc>
              <w:tc>
                <w:tcPr>
                  <w:tcW w:w="77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iCs/>
                      <w:smallCaps w:val="0"/>
                      <w:color w:val="000000"/>
                      <w:szCs w:val="24"/>
                    </w:rPr>
                    <w:t>225 207</w:t>
                  </w:r>
                </w:p>
              </w:tc>
              <w:tc>
                <w:tcPr>
                  <w:tcW w:w="593"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iCs/>
                      <w:smallCaps w:val="0"/>
                      <w:color w:val="000000"/>
                      <w:szCs w:val="24"/>
                    </w:rPr>
                    <w:t>825 207</w:t>
                  </w:r>
                </w:p>
              </w:tc>
            </w:tr>
            <w:tr>
              <w:tblPrEx>
                <w:tblW w:w="5150" w:type="pct"/>
                <w:tblCellMar>
                  <w:top w:w="15" w:type="dxa"/>
                  <w:left w:w="15" w:type="dxa"/>
                  <w:bottom w:w="15" w:type="dxa"/>
                  <w:right w:w="15" w:type="dxa"/>
                </w:tblCellMar>
                <w:tblLook w:val="05E0"/>
              </w:tblPrEx>
              <w:trPr>
                <w:trHeight w:val="300"/>
              </w:trPr>
              <w:tc>
                <w:tcPr>
                  <w:tcW w:w="527"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P4</w:t>
                  </w:r>
                </w:p>
              </w:tc>
              <w:tc>
                <w:tcPr>
                  <w:tcW w:w="60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iCs/>
                      <w:smallCaps w:val="0"/>
                      <w:color w:val="000000"/>
                      <w:szCs w:val="24"/>
                    </w:rPr>
                    <w:t>3 650 002</w:t>
                  </w:r>
                </w:p>
              </w:tc>
              <w:tc>
                <w:tcPr>
                  <w:tcW w:w="757"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iCs/>
                      <w:smallCaps w:val="0"/>
                      <w:color w:val="000000"/>
                      <w:szCs w:val="24"/>
                    </w:rPr>
                    <w:t>3 377 047</w:t>
                  </w:r>
                </w:p>
              </w:tc>
              <w:tc>
                <w:tcPr>
                  <w:tcW w:w="832"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iCs/>
                      <w:smallCaps w:val="0"/>
                      <w:color w:val="000000"/>
                      <w:szCs w:val="24"/>
                    </w:rPr>
                    <w:t>586 120</w:t>
                  </w:r>
                </w:p>
              </w:tc>
              <w:tc>
                <w:tcPr>
                  <w:tcW w:w="90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iCs/>
                      <w:smallCaps w:val="0"/>
                      <w:color w:val="000000"/>
                      <w:szCs w:val="24"/>
                    </w:rPr>
                    <w:t>-313 165</w:t>
                  </w:r>
                </w:p>
              </w:tc>
              <w:tc>
                <w:tcPr>
                  <w:tcW w:w="77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iCs/>
                      <w:smallCaps w:val="0"/>
                      <w:color w:val="000000"/>
                      <w:szCs w:val="24"/>
                    </w:rPr>
                    <w:t>313 165</w:t>
                  </w:r>
                </w:p>
              </w:tc>
              <w:tc>
                <w:tcPr>
                  <w:tcW w:w="593"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iCs/>
                      <w:smallCaps w:val="0"/>
                      <w:color w:val="000000"/>
                      <w:szCs w:val="24"/>
                    </w:rPr>
                    <w:t>3 963 167</w:t>
                  </w:r>
                </w:p>
              </w:tc>
            </w:tr>
            <w:tr>
              <w:tblPrEx>
                <w:tblW w:w="5150" w:type="pct"/>
                <w:tblCellMar>
                  <w:top w:w="15" w:type="dxa"/>
                  <w:left w:w="15" w:type="dxa"/>
                  <w:bottom w:w="15" w:type="dxa"/>
                  <w:right w:w="15" w:type="dxa"/>
                </w:tblCellMar>
                <w:tblLook w:val="05E0"/>
              </w:tblPrEx>
              <w:trPr>
                <w:trHeight w:val="300"/>
              </w:trPr>
              <w:tc>
                <w:tcPr>
                  <w:tcW w:w="527"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5A</w:t>
                  </w:r>
                </w:p>
              </w:tc>
              <w:tc>
                <w:tcPr>
                  <w:tcW w:w="60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iCs/>
                      <w:smallCaps w:val="0"/>
                      <w:color w:val="000000"/>
                      <w:szCs w:val="24"/>
                    </w:rPr>
                    <w:t>430 000</w:t>
                  </w:r>
                </w:p>
              </w:tc>
              <w:tc>
                <w:tcPr>
                  <w:tcW w:w="757"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iCs/>
                      <w:smallCaps w:val="0"/>
                      <w:color w:val="000000"/>
                      <w:szCs w:val="24"/>
                    </w:rPr>
                    <w:t>369 653</w:t>
                  </w:r>
                </w:p>
              </w:tc>
              <w:tc>
                <w:tcPr>
                  <w:tcW w:w="832"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iCs/>
                      <w:smallCaps w:val="0"/>
                      <w:color w:val="000000"/>
                      <w:szCs w:val="24"/>
                    </w:rPr>
                    <w:t>45 238</w:t>
                  </w:r>
                </w:p>
              </w:tc>
              <w:tc>
                <w:tcPr>
                  <w:tcW w:w="90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iCs/>
                      <w:smallCaps w:val="0"/>
                      <w:color w:val="000000"/>
                      <w:szCs w:val="24"/>
                    </w:rPr>
                    <w:t>15 109</w:t>
                  </w:r>
                </w:p>
              </w:tc>
              <w:tc>
                <w:tcPr>
                  <w:tcW w:w="77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iCs/>
                      <w:smallCaps w:val="0"/>
                      <w:color w:val="000000"/>
                      <w:szCs w:val="24"/>
                    </w:rPr>
                    <w:t>84 891</w:t>
                  </w:r>
                </w:p>
              </w:tc>
              <w:tc>
                <w:tcPr>
                  <w:tcW w:w="593"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iCs/>
                      <w:smallCaps w:val="0"/>
                      <w:color w:val="000000"/>
                      <w:szCs w:val="24"/>
                    </w:rPr>
                    <w:t>514 891</w:t>
                  </w:r>
                </w:p>
              </w:tc>
            </w:tr>
            <w:tr>
              <w:tblPrEx>
                <w:tblW w:w="5150" w:type="pct"/>
                <w:tblCellMar>
                  <w:top w:w="15" w:type="dxa"/>
                  <w:left w:w="15" w:type="dxa"/>
                  <w:bottom w:w="15" w:type="dxa"/>
                  <w:right w:w="15" w:type="dxa"/>
                </w:tblCellMar>
                <w:tblLook w:val="05E0"/>
              </w:tblPrEx>
              <w:trPr>
                <w:trHeight w:val="300"/>
              </w:trPr>
              <w:tc>
                <w:tcPr>
                  <w:tcW w:w="527"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5B</w:t>
                  </w:r>
                </w:p>
              </w:tc>
              <w:tc>
                <w:tcPr>
                  <w:tcW w:w="60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iCs/>
                      <w:smallCaps w:val="0"/>
                      <w:color w:val="000000"/>
                      <w:szCs w:val="24"/>
                    </w:rPr>
                    <w:t>1 000 000</w:t>
                  </w:r>
                </w:p>
              </w:tc>
              <w:tc>
                <w:tcPr>
                  <w:tcW w:w="757"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iCs/>
                      <w:smallCaps w:val="0"/>
                      <w:color w:val="000000"/>
                      <w:szCs w:val="24"/>
                    </w:rPr>
                    <w:t>1 246 627</w:t>
                  </w:r>
                </w:p>
              </w:tc>
              <w:tc>
                <w:tcPr>
                  <w:tcW w:w="832"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iCs/>
                      <w:smallCaps w:val="0"/>
                      <w:color w:val="000000"/>
                      <w:szCs w:val="24"/>
                    </w:rPr>
                    <w:t>157 162</w:t>
                  </w:r>
                </w:p>
              </w:tc>
              <w:tc>
                <w:tcPr>
                  <w:tcW w:w="90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iCs/>
                      <w:smallCaps w:val="0"/>
                      <w:color w:val="000000"/>
                      <w:szCs w:val="24"/>
                    </w:rPr>
                    <w:t>-403 788</w:t>
                  </w:r>
                </w:p>
              </w:tc>
              <w:tc>
                <w:tcPr>
                  <w:tcW w:w="77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iCs/>
                      <w:smallCaps w:val="0"/>
                      <w:color w:val="000000"/>
                      <w:szCs w:val="24"/>
                    </w:rPr>
                    <w:t>503 788</w:t>
                  </w:r>
                </w:p>
              </w:tc>
              <w:tc>
                <w:tcPr>
                  <w:tcW w:w="593"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iCs/>
                      <w:smallCaps w:val="0"/>
                      <w:color w:val="000000"/>
                      <w:szCs w:val="24"/>
                    </w:rPr>
                    <w:t>1 503 788</w:t>
                  </w:r>
                </w:p>
              </w:tc>
            </w:tr>
            <w:tr>
              <w:tblPrEx>
                <w:tblW w:w="5150" w:type="pct"/>
                <w:tblCellMar>
                  <w:top w:w="15" w:type="dxa"/>
                  <w:left w:w="15" w:type="dxa"/>
                  <w:bottom w:w="15" w:type="dxa"/>
                  <w:right w:w="15" w:type="dxa"/>
                </w:tblCellMar>
                <w:tblLook w:val="05E0"/>
              </w:tblPrEx>
              <w:trPr>
                <w:trHeight w:val="300"/>
              </w:trPr>
              <w:tc>
                <w:tcPr>
                  <w:tcW w:w="527"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5C</w:t>
                  </w:r>
                </w:p>
              </w:tc>
              <w:tc>
                <w:tcPr>
                  <w:tcW w:w="60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iCs/>
                      <w:smallCaps w:val="0"/>
                      <w:color w:val="000000"/>
                      <w:szCs w:val="24"/>
                    </w:rPr>
                    <w:t>1 141 202</w:t>
                  </w:r>
                </w:p>
              </w:tc>
              <w:tc>
                <w:tcPr>
                  <w:tcW w:w="757"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iCs/>
                      <w:smallCaps w:val="0"/>
                      <w:color w:val="000000"/>
                      <w:szCs w:val="24"/>
                    </w:rPr>
                    <w:t>1 246 626</w:t>
                  </w:r>
                </w:p>
              </w:tc>
              <w:tc>
                <w:tcPr>
                  <w:tcW w:w="832"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iCs/>
                      <w:smallCaps w:val="0"/>
                      <w:color w:val="000000"/>
                      <w:szCs w:val="24"/>
                    </w:rPr>
                    <w:t>157 162</w:t>
                  </w:r>
                </w:p>
              </w:tc>
              <w:tc>
                <w:tcPr>
                  <w:tcW w:w="90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iCs/>
                      <w:smallCaps w:val="0"/>
                      <w:color w:val="000000"/>
                      <w:szCs w:val="24"/>
                    </w:rPr>
                    <w:t>-262 586</w:t>
                  </w:r>
                </w:p>
              </w:tc>
              <w:tc>
                <w:tcPr>
                  <w:tcW w:w="77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iCs/>
                      <w:smallCaps w:val="0"/>
                      <w:color w:val="000000"/>
                      <w:szCs w:val="24"/>
                    </w:rPr>
                    <w:t>362 586</w:t>
                  </w:r>
                </w:p>
              </w:tc>
              <w:tc>
                <w:tcPr>
                  <w:tcW w:w="593"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iCs/>
                      <w:smallCaps w:val="0"/>
                      <w:color w:val="000000"/>
                      <w:szCs w:val="24"/>
                    </w:rPr>
                    <w:t>1 503 788</w:t>
                  </w:r>
                </w:p>
              </w:tc>
            </w:tr>
            <w:tr>
              <w:tblPrEx>
                <w:tblW w:w="5150" w:type="pct"/>
                <w:tblCellMar>
                  <w:top w:w="15" w:type="dxa"/>
                  <w:left w:w="15" w:type="dxa"/>
                  <w:bottom w:w="15" w:type="dxa"/>
                  <w:right w:w="15" w:type="dxa"/>
                </w:tblCellMar>
                <w:tblLook w:val="05E0"/>
              </w:tblPrEx>
              <w:trPr>
                <w:trHeight w:val="300"/>
              </w:trPr>
              <w:tc>
                <w:tcPr>
                  <w:tcW w:w="527"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5D</w:t>
                  </w:r>
                </w:p>
              </w:tc>
              <w:tc>
                <w:tcPr>
                  <w:tcW w:w="60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iCs/>
                      <w:smallCaps w:val="0"/>
                      <w:color w:val="000000"/>
                      <w:szCs w:val="24"/>
                    </w:rPr>
                    <w:t>1 141 202</w:t>
                  </w:r>
                </w:p>
              </w:tc>
              <w:tc>
                <w:tcPr>
                  <w:tcW w:w="757"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iCs/>
                      <w:smallCaps w:val="0"/>
                      <w:color w:val="000000"/>
                      <w:szCs w:val="24"/>
                    </w:rPr>
                    <w:t>1 246 626</w:t>
                  </w:r>
                </w:p>
              </w:tc>
              <w:tc>
                <w:tcPr>
                  <w:tcW w:w="832"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iCs/>
                      <w:smallCaps w:val="0"/>
                      <w:color w:val="000000"/>
                      <w:szCs w:val="24"/>
                    </w:rPr>
                    <w:t>157 162</w:t>
                  </w:r>
                </w:p>
              </w:tc>
              <w:tc>
                <w:tcPr>
                  <w:tcW w:w="90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iCs/>
                      <w:smallCaps w:val="0"/>
                      <w:color w:val="000000"/>
                      <w:szCs w:val="24"/>
                    </w:rPr>
                    <w:t>-262 586</w:t>
                  </w:r>
                </w:p>
              </w:tc>
              <w:tc>
                <w:tcPr>
                  <w:tcW w:w="77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iCs/>
                      <w:smallCaps w:val="0"/>
                      <w:color w:val="000000"/>
                      <w:szCs w:val="24"/>
                    </w:rPr>
                    <w:t>362 586</w:t>
                  </w:r>
                </w:p>
              </w:tc>
              <w:tc>
                <w:tcPr>
                  <w:tcW w:w="593"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iCs/>
                      <w:smallCaps w:val="0"/>
                      <w:color w:val="000000"/>
                      <w:szCs w:val="24"/>
                    </w:rPr>
                    <w:t>1 503 788</w:t>
                  </w:r>
                </w:p>
              </w:tc>
            </w:tr>
            <w:tr>
              <w:tblPrEx>
                <w:tblW w:w="5150" w:type="pct"/>
                <w:tblCellMar>
                  <w:top w:w="15" w:type="dxa"/>
                  <w:left w:w="15" w:type="dxa"/>
                  <w:bottom w:w="15" w:type="dxa"/>
                  <w:right w:w="15" w:type="dxa"/>
                </w:tblCellMar>
                <w:tblLook w:val="05E0"/>
              </w:tblPrEx>
              <w:trPr>
                <w:trHeight w:val="300"/>
              </w:trPr>
              <w:tc>
                <w:tcPr>
                  <w:tcW w:w="527"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5E</w:t>
                  </w:r>
                </w:p>
              </w:tc>
              <w:tc>
                <w:tcPr>
                  <w:tcW w:w="60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iCs/>
                      <w:smallCaps w:val="0"/>
                      <w:color w:val="000000"/>
                      <w:szCs w:val="24"/>
                    </w:rPr>
                    <w:t>1 141 202</w:t>
                  </w:r>
                </w:p>
              </w:tc>
              <w:tc>
                <w:tcPr>
                  <w:tcW w:w="757"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iCs/>
                      <w:smallCaps w:val="0"/>
                      <w:color w:val="000000"/>
                      <w:szCs w:val="24"/>
                    </w:rPr>
                    <w:t>1 246 626</w:t>
                  </w:r>
                </w:p>
              </w:tc>
              <w:tc>
                <w:tcPr>
                  <w:tcW w:w="832"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iCs/>
                      <w:smallCaps w:val="0"/>
                      <w:color w:val="000000"/>
                      <w:szCs w:val="24"/>
                    </w:rPr>
                    <w:t>157 162</w:t>
                  </w:r>
                </w:p>
              </w:tc>
              <w:tc>
                <w:tcPr>
                  <w:tcW w:w="90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iCs/>
                      <w:smallCaps w:val="0"/>
                      <w:color w:val="000000"/>
                      <w:szCs w:val="24"/>
                    </w:rPr>
                    <w:t>-262 586</w:t>
                  </w:r>
                </w:p>
              </w:tc>
              <w:tc>
                <w:tcPr>
                  <w:tcW w:w="77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iCs/>
                      <w:smallCaps w:val="0"/>
                      <w:color w:val="000000"/>
                      <w:szCs w:val="24"/>
                    </w:rPr>
                    <w:t>362 586</w:t>
                  </w:r>
                </w:p>
              </w:tc>
              <w:tc>
                <w:tcPr>
                  <w:tcW w:w="593"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iCs/>
                      <w:smallCaps w:val="0"/>
                      <w:color w:val="000000"/>
                      <w:szCs w:val="24"/>
                    </w:rPr>
                    <w:t>1 503 788</w:t>
                  </w:r>
                </w:p>
              </w:tc>
            </w:tr>
            <w:tr>
              <w:tblPrEx>
                <w:tblW w:w="5150" w:type="pct"/>
                <w:tblCellMar>
                  <w:top w:w="15" w:type="dxa"/>
                  <w:left w:w="15" w:type="dxa"/>
                  <w:bottom w:w="15" w:type="dxa"/>
                  <w:right w:w="15" w:type="dxa"/>
                </w:tblCellMar>
                <w:tblLook w:val="05E0"/>
              </w:tblPrEx>
              <w:trPr>
                <w:trHeight w:val="300"/>
              </w:trPr>
              <w:tc>
                <w:tcPr>
                  <w:tcW w:w="527" w:type="pct"/>
                  <w:tcBorders>
                    <w:top w:val="inset" w:sz="6" w:space="0" w:color="808080"/>
                    <w:right w:val="inset" w:sz="6" w:space="0" w:color="808080"/>
                  </w:tcBorders>
                  <w:shd w:val="clear" w:color="auto" w:fill="E2EFDA"/>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Общо</w:t>
                  </w:r>
                </w:p>
              </w:tc>
              <w:tc>
                <w:tcPr>
                  <w:tcW w:w="605" w:type="pct"/>
                  <w:tcBorders>
                    <w:top w:val="inset" w:sz="6" w:space="0" w:color="808080"/>
                    <w:left w:val="inset" w:sz="6" w:space="0" w:color="808080"/>
                    <w:right w:val="inset" w:sz="6" w:space="0" w:color="808080"/>
                  </w:tcBorders>
                  <w:shd w:val="clear" w:color="auto" w:fill="E2EFDA"/>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iCs/>
                      <w:smallCaps w:val="0"/>
                      <w:color w:val="000000"/>
                      <w:szCs w:val="24"/>
                    </w:rPr>
                    <w:t>20 828 609</w:t>
                  </w:r>
                </w:p>
              </w:tc>
              <w:tc>
                <w:tcPr>
                  <w:tcW w:w="757" w:type="pct"/>
                  <w:tcBorders>
                    <w:top w:val="inset" w:sz="6" w:space="0" w:color="808080"/>
                    <w:left w:val="inset" w:sz="6" w:space="0" w:color="808080"/>
                    <w:right w:val="inset" w:sz="6" w:space="0" w:color="808080"/>
                  </w:tcBorders>
                  <w:shd w:val="clear" w:color="auto" w:fill="E2EFDA"/>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iCs/>
                      <w:smallCaps w:val="0"/>
                      <w:color w:val="000000"/>
                      <w:szCs w:val="24"/>
                    </w:rPr>
                    <w:t>18 513 863</w:t>
                  </w:r>
                </w:p>
              </w:tc>
              <w:tc>
                <w:tcPr>
                  <w:tcW w:w="832" w:type="pct"/>
                  <w:tcBorders>
                    <w:top w:val="inset" w:sz="6" w:space="0" w:color="808080"/>
                    <w:left w:val="inset" w:sz="6" w:space="0" w:color="808080"/>
                    <w:right w:val="inset" w:sz="6" w:space="0" w:color="808080"/>
                  </w:tcBorders>
                  <w:shd w:val="clear" w:color="auto" w:fill="E2EFDA"/>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iCs/>
                      <w:smallCaps w:val="0"/>
                      <w:color w:val="000000"/>
                      <w:szCs w:val="24"/>
                    </w:rPr>
                    <w:t>1 557 488</w:t>
                  </w:r>
                </w:p>
              </w:tc>
              <w:tc>
                <w:tcPr>
                  <w:tcW w:w="908" w:type="pct"/>
                  <w:tcBorders>
                    <w:top w:val="inset" w:sz="6" w:space="0" w:color="808080"/>
                    <w:left w:val="inset" w:sz="6" w:space="0" w:color="808080"/>
                    <w:right w:val="inset" w:sz="6" w:space="0" w:color="808080"/>
                  </w:tcBorders>
                  <w:shd w:val="clear" w:color="auto" w:fill="E2EFDA"/>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iCs/>
                      <w:smallCaps w:val="0"/>
                      <w:color w:val="000000"/>
                      <w:szCs w:val="24"/>
                    </w:rPr>
                    <w:t>757 258</w:t>
                  </w:r>
                </w:p>
              </w:tc>
              <w:tc>
                <w:tcPr>
                  <w:tcW w:w="778" w:type="pct"/>
                  <w:tcBorders>
                    <w:top w:val="inset" w:sz="6" w:space="0" w:color="808080"/>
                    <w:left w:val="inset" w:sz="6" w:space="0" w:color="808080"/>
                    <w:right w:val="inset" w:sz="6" w:space="0" w:color="808080"/>
                  </w:tcBorders>
                  <w:shd w:val="clear" w:color="auto" w:fill="E2EFDA"/>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iCs/>
                      <w:smallCaps w:val="0"/>
                      <w:color w:val="000000"/>
                      <w:szCs w:val="24"/>
                    </w:rPr>
                    <w:t>0</w:t>
                  </w:r>
                </w:p>
              </w:tc>
              <w:tc>
                <w:tcPr>
                  <w:tcW w:w="593" w:type="pct"/>
                  <w:tcBorders>
                    <w:top w:val="inset" w:sz="6" w:space="0" w:color="808080"/>
                    <w:left w:val="inset" w:sz="6" w:space="0" w:color="808080"/>
                  </w:tcBorders>
                  <w:shd w:val="clear" w:color="auto" w:fill="E2EFDA"/>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iCs/>
                      <w:smallCaps w:val="0"/>
                      <w:color w:val="000000"/>
                      <w:szCs w:val="24"/>
                    </w:rPr>
                    <w:t>20 828 609</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Предлаганото преразпределение е изцяло неутрално спрямо общия бюджет на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Преразпределяне на средства в рамките на подмярка 7.2 „Инвестиции в създаването, подобряването или разширяването на всички видове малка по мащаби инфраструктура“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процедура чрез подбор № BG06RDNP001-7.020 – Енергийна ефективност е обявен прием през месец юли 2022 г. По приема са одобрени за финансиране 76 броя проектни предложения, за които е бил наличен финансов ресурс, и за тях са сключени административни договори. По процедурата има още 29 проектни предложения, за които към онзи момент не е наличен разполагаем бюджет.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Министерският съвет на Република България приема Решение № 691 от 10 октомври 2024 г. за даване на съгласие Управляващият орган на Програмата за развитие на селските райони 2014 – 2020 г. да увеличи максимално определеният бюджет по процедура за подбор № BG06RDNP001-7.020 – Енергийна ефективност „Реконструкция, ремонт, оборудване и/или обзавеждане на общински сгради, в които се предоставят обществени услуги, с цел подобряване на тяхната енергийна ефективност“ по подмярка 7.2. „Инвестиции в създаването, подобряването или разширяването на всички видове малка по мащаби инфраструктура“ от мярка 7 „Основни услуги и обновяване на селата в селските райони“ от Програмата за развитие на селските райони за периода 2014 – 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това решение се дава съгласие максимално определеният бюджет по процедура чрез подбор № BG06RDNP001-7.020 – Енергийна ефективност да се увеличи с 21 692 695 лева (11 091 469 евро публични средства), с цел останалите 29 проектни предложения по процедурата да бъдат разгледани и ако отговарят на всички условия, да бъдат сключени административни договори с тях.</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След направен анализ към 1 март 2025 г. е установено, че в рамките на фокус област 6Б „Стимулиране на местното развитие в селските райони“ вече са налични дори повече от необходимите средства, с които да бъде осигурен оставащият ресурс, разрешен за договаряне с Решение на Министерският съвет на Република България № 691 от 10 октомври 2024 г., като вследствие на генерирани остатъци в рамките на мярката, необходимите средства са вече в размер на само 4 486 223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УО на ПРСР предлага сумата от 4 486 223 евро публични средства да бъде преразпределена от фокус област 6Б към фокус област 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 в рамките на подмярка 7.2. „Инвестиции в създаването, подобряването или разширяването на всички видове малка по мащаби инфраструктура“ от мярка 7 „Основни услуги и обновяване на селата в селските райони“ от ПРСР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Инструмент на Европейския съюз за възстановяване (European Union Recovery Instrument – EURI)</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Промяната във финансовия план на ПРСР 2014-2020 г., във връзка с приемането на Регламент (ЕС) 2020/2220 на Европейския парламент и на Съвета от 23 декември 2020 година е извършена с единадесето изменение на ПРСР 2014-2020 – одобрено с Решение за изпълнение на комисията C(2021) 8541 от 19.11.2021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Регламент (ЕС) 2020/2094 на Съвета от 14 декември 2020 година за създаване на Инструмент на Европейския съюз за възстановяване с цел подкрепа на възстановяването след кризата с COVID-19, са предоставени и допълнителни средства за 2021 г. и 2022 г. за справяне с последиците от пандемията за селскостопанския сектор и селските райони на Съюза, като за Република България тази сума възлиза на общо 201 936 861 евро от ЕЗФРСР. Предвижда се финансирането от страна на Европейския съюз да бъде 100% за операции, получаващи финансиране от допълнителни ресурси.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Преходният регламент не предвижда предоставяне на финансова помощ по всички мерки, определени в Регламент (ЕС) № 1305/2013, а само за част от тях и при изпълнението на определени параметри. Най-малко 55% от допълнителните ресурси следва да бъдат запазени за тези мерки, при условие че целевото използване на средствата в ПРСР 2012-2020 г. насърчава икономическото и социалното развитие в селските райони и допринасят за устойчиво, и цифрово икономическо възстановяване в съответствие, с целите на агроекологията и климата и по-специално: ефективно използване на ресурсите, включително прецизно и интелигентно земеделие, иновации, цифровизация и модернизация на производствените машини и оборудване, условия за безопасност при работа, възобновяема енергия, кръгова и биоикономика, достъп до висококачествени информационни и комуникационни технологии (ИКТ) в селските райони, къси вериги на доставки и местни пазари.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друга страна, за да се постигне по-високата екологична амбиция е заложено най-малко 37% от средствата да бъдат запазени за екологично насочените мерки. Това включва мерките, описани в Регламент (ЕС) № 1305/2013, както и инвестициите за околна среда и климат, включени в чл. 17, също и мерките по подхода ЛИДЕР, и по-специално: биологично земеделие, смекчаване и адаптиране към изменението на климата, включително намаляване на емисиите на парникови газове от селското стопанство, опазване на почвата, включително повишаване на плодородието на почвата чрез улавяне на въглерод, подобряване на използването и управлението на водата, включително икономия на вода, създаване, опазване и възстановяване на местообитания, благоприятни за биоразнообразието, намаляване на рисковете и въздействието на употребата на пестициди и антимикробни средства, хуманно отношение към животните и дейности за сътрудничество по подхода ЛИДЕР.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Разпределението на средствата по линия на Инструмента на Европейския съюз за възстановяване (European Union Recovery Instrument – EURI) е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Таблица 3</w:t>
            </w:r>
            <w:r>
              <w:rPr>
                <w:rFonts w:ascii="Times New Roman" w:eastAsia="Times New Roman" w:hAnsi="Times New Roman" w:cs="Times New Roman"/>
                <w:szCs w:val="24"/>
              </w:rPr>
              <w:t>, сумите са в евро, средства от ЕЗФРСР:</w:t>
            </w:r>
          </w:p>
          <w:tbl>
            <w:tblPr>
              <w:tblStyle w:val="Table"/>
              <w:tblW w:w="5003"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1599"/>
              <w:gridCol w:w="1570"/>
              <w:gridCol w:w="1037"/>
              <w:gridCol w:w="1037"/>
              <w:gridCol w:w="1036"/>
              <w:gridCol w:w="1038"/>
              <w:gridCol w:w="1037"/>
              <w:gridCol w:w="1037"/>
              <w:gridCol w:w="1035"/>
            </w:tblGrid>
            <w:tr>
              <w:tblPrEx>
                <w:tblW w:w="5003"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300"/>
              </w:trPr>
              <w:tc>
                <w:tcPr>
                  <w:tcW w:w="625" w:type="pct"/>
                  <w:tcBorders>
                    <w:bottom w:val="inset" w:sz="6" w:space="0" w:color="808080"/>
                    <w:right w:val="inset" w:sz="6" w:space="0" w:color="808080"/>
                  </w:tcBorders>
                  <w:shd w:val="clear" w:color="auto" w:fill="EBF1DE"/>
                  <w:noWrap w:val="0"/>
                  <w:tcMar>
                    <w:top w:w="25"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Mярка/Подмярка</w:t>
                  </w:r>
                </w:p>
              </w:tc>
              <w:tc>
                <w:tcPr>
                  <w:tcW w:w="762" w:type="pct"/>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Средства/ФО</w:t>
                  </w:r>
                </w:p>
              </w:tc>
              <w:tc>
                <w:tcPr>
                  <w:tcW w:w="516" w:type="pct"/>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2A</w:t>
                  </w:r>
                </w:p>
              </w:tc>
              <w:tc>
                <w:tcPr>
                  <w:tcW w:w="516" w:type="pct"/>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2B</w:t>
                  </w:r>
                </w:p>
              </w:tc>
              <w:tc>
                <w:tcPr>
                  <w:tcW w:w="516" w:type="pct"/>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3А</w:t>
                  </w:r>
                </w:p>
              </w:tc>
              <w:tc>
                <w:tcPr>
                  <w:tcW w:w="516" w:type="pct"/>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П4 А, Б, В</w:t>
                  </w:r>
                </w:p>
              </w:tc>
              <w:tc>
                <w:tcPr>
                  <w:tcW w:w="516" w:type="pct"/>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5А</w:t>
                  </w:r>
                </w:p>
              </w:tc>
              <w:tc>
                <w:tcPr>
                  <w:tcW w:w="516" w:type="pct"/>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5Б</w:t>
                  </w:r>
                </w:p>
              </w:tc>
              <w:tc>
                <w:tcPr>
                  <w:tcW w:w="516" w:type="pct"/>
                  <w:tcBorders>
                    <w:left w:val="inset" w:sz="6" w:space="0" w:color="808080"/>
                    <w:bottom w:val="inset" w:sz="6" w:space="0" w:color="808080"/>
                  </w:tcBorders>
                  <w:shd w:val="clear" w:color="auto" w:fill="EBF1DE"/>
                  <w:noWrap w:val="0"/>
                  <w:tcMar>
                    <w:top w:w="25"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5В</w:t>
                  </w:r>
                </w:p>
              </w:tc>
            </w:tr>
            <w:tr>
              <w:tblPrEx>
                <w:tblW w:w="5003" w:type="pct"/>
                <w:tblCellMar>
                  <w:top w:w="15" w:type="dxa"/>
                  <w:left w:w="15" w:type="dxa"/>
                  <w:bottom w:w="15" w:type="dxa"/>
                  <w:right w:w="15" w:type="dxa"/>
                </w:tblCellMar>
                <w:tblLook w:val="05E0"/>
              </w:tblPrEx>
              <w:trPr>
                <w:trHeight w:val="300"/>
              </w:trPr>
              <w:tc>
                <w:tcPr>
                  <w:tcW w:w="625" w:type="pct"/>
                  <w:tcBorders>
                    <w:top w:val="inset" w:sz="6" w:space="0" w:color="808080"/>
                    <w:bottom w:val="inset" w:sz="6" w:space="0" w:color="808080"/>
                    <w:right w:val="inset" w:sz="6" w:space="0" w:color="808080"/>
                  </w:tcBorders>
                  <w:shd w:val="clear" w:color="auto" w:fill="EBF1DE"/>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M4.1 ЕУРИ</w:t>
                  </w:r>
                </w:p>
              </w:tc>
              <w:tc>
                <w:tcPr>
                  <w:tcW w:w="762" w:type="pct"/>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59 275 524</w:t>
                  </w:r>
                </w:p>
              </w:tc>
              <w:tc>
                <w:tcPr>
                  <w:tcW w:w="516"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516"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516"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516"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39 045 320</w:t>
                  </w:r>
                </w:p>
              </w:tc>
              <w:tc>
                <w:tcPr>
                  <w:tcW w:w="516"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12 661 728</w:t>
                  </w:r>
                </w:p>
              </w:tc>
              <w:tc>
                <w:tcPr>
                  <w:tcW w:w="516"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7 568 476</w:t>
                  </w:r>
                </w:p>
              </w:tc>
              <w:tc>
                <w:tcPr>
                  <w:tcW w:w="516"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r>
            <w:tr>
              <w:tblPrEx>
                <w:tblW w:w="5003" w:type="pct"/>
                <w:tblCellMar>
                  <w:top w:w="15" w:type="dxa"/>
                  <w:left w:w="15" w:type="dxa"/>
                  <w:bottom w:w="15" w:type="dxa"/>
                  <w:right w:w="15" w:type="dxa"/>
                </w:tblCellMar>
                <w:tblLook w:val="05E0"/>
              </w:tblPrEx>
              <w:trPr>
                <w:trHeight w:val="300"/>
              </w:trPr>
              <w:tc>
                <w:tcPr>
                  <w:tcW w:w="625" w:type="pct"/>
                  <w:tcBorders>
                    <w:top w:val="inset" w:sz="6" w:space="0" w:color="808080"/>
                    <w:bottom w:val="inset" w:sz="6" w:space="0" w:color="808080"/>
                    <w:right w:val="inset" w:sz="6" w:space="0" w:color="808080"/>
                  </w:tcBorders>
                  <w:shd w:val="clear" w:color="auto" w:fill="EBF1DE"/>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M4.2 ЕУРИ</w:t>
                  </w:r>
                </w:p>
              </w:tc>
              <w:tc>
                <w:tcPr>
                  <w:tcW w:w="762" w:type="pct"/>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102 056 337</w:t>
                  </w:r>
                </w:p>
              </w:tc>
              <w:tc>
                <w:tcPr>
                  <w:tcW w:w="516"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516"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516"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78 611 861</w:t>
                  </w:r>
                </w:p>
              </w:tc>
              <w:tc>
                <w:tcPr>
                  <w:tcW w:w="516"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516"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516"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6 452 824</w:t>
                  </w:r>
                </w:p>
              </w:tc>
              <w:tc>
                <w:tcPr>
                  <w:tcW w:w="516"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16 991 652</w:t>
                  </w:r>
                </w:p>
              </w:tc>
            </w:tr>
            <w:tr>
              <w:tblPrEx>
                <w:tblW w:w="5003" w:type="pct"/>
                <w:tblCellMar>
                  <w:top w:w="15" w:type="dxa"/>
                  <w:left w:w="15" w:type="dxa"/>
                  <w:bottom w:w="15" w:type="dxa"/>
                  <w:right w:w="15" w:type="dxa"/>
                </w:tblCellMar>
                <w:tblLook w:val="05E0"/>
              </w:tblPrEx>
              <w:trPr>
                <w:trHeight w:val="56"/>
              </w:trPr>
              <w:tc>
                <w:tcPr>
                  <w:tcW w:w="625" w:type="pct"/>
                  <w:tcBorders>
                    <w:top w:val="inset" w:sz="6" w:space="0" w:color="808080"/>
                    <w:bottom w:val="inset" w:sz="6" w:space="0" w:color="808080"/>
                    <w:right w:val="inset" w:sz="6" w:space="0" w:color="808080"/>
                  </w:tcBorders>
                  <w:shd w:val="clear" w:color="auto" w:fill="EBF1DE"/>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M6.1 ЕУРИ</w:t>
                  </w:r>
                </w:p>
              </w:tc>
              <w:tc>
                <w:tcPr>
                  <w:tcW w:w="762" w:type="pct"/>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13 750 000</w:t>
                  </w:r>
                </w:p>
              </w:tc>
              <w:tc>
                <w:tcPr>
                  <w:tcW w:w="516"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516"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13 750 000</w:t>
                  </w:r>
                </w:p>
              </w:tc>
              <w:tc>
                <w:tcPr>
                  <w:tcW w:w="516"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516"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516"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516"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516"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r>
            <w:tr>
              <w:tblPrEx>
                <w:tblW w:w="5003" w:type="pct"/>
                <w:tblCellMar>
                  <w:top w:w="15" w:type="dxa"/>
                  <w:left w:w="15" w:type="dxa"/>
                  <w:bottom w:w="15" w:type="dxa"/>
                  <w:right w:w="15" w:type="dxa"/>
                </w:tblCellMar>
                <w:tblLook w:val="05E0"/>
              </w:tblPrEx>
              <w:trPr>
                <w:trHeight w:val="56"/>
              </w:trPr>
              <w:tc>
                <w:tcPr>
                  <w:tcW w:w="625" w:type="pct"/>
                  <w:tcBorders>
                    <w:top w:val="inset" w:sz="6" w:space="0" w:color="808080"/>
                    <w:bottom w:val="inset" w:sz="6" w:space="0" w:color="808080"/>
                    <w:right w:val="inset" w:sz="6" w:space="0" w:color="808080"/>
                  </w:tcBorders>
                  <w:shd w:val="clear" w:color="auto" w:fill="EBF1DE"/>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M6.3 ЕУРИ</w:t>
                  </w:r>
                </w:p>
              </w:tc>
              <w:tc>
                <w:tcPr>
                  <w:tcW w:w="762" w:type="pct"/>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18 855 000</w:t>
                  </w:r>
                </w:p>
              </w:tc>
              <w:tc>
                <w:tcPr>
                  <w:tcW w:w="516"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18 855 000</w:t>
                  </w:r>
                </w:p>
              </w:tc>
              <w:tc>
                <w:tcPr>
                  <w:tcW w:w="516"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516"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516"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516"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516"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516"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r>
            <w:tr>
              <w:tblPrEx>
                <w:tblW w:w="5003" w:type="pct"/>
                <w:tblCellMar>
                  <w:top w:w="15" w:type="dxa"/>
                  <w:left w:w="15" w:type="dxa"/>
                  <w:bottom w:w="15" w:type="dxa"/>
                  <w:right w:w="15" w:type="dxa"/>
                </w:tblCellMar>
                <w:tblLook w:val="05E0"/>
              </w:tblPrEx>
              <w:trPr>
                <w:trHeight w:val="56"/>
              </w:trPr>
              <w:tc>
                <w:tcPr>
                  <w:tcW w:w="625" w:type="pct"/>
                  <w:tcBorders>
                    <w:top w:val="inset" w:sz="6" w:space="0" w:color="808080"/>
                    <w:bottom w:val="inset" w:sz="6" w:space="0" w:color="808080"/>
                    <w:right w:val="inset" w:sz="6" w:space="0" w:color="808080"/>
                  </w:tcBorders>
                  <w:shd w:val="clear" w:color="auto" w:fill="EBF1DE"/>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M10 ЕУРИ</w:t>
                  </w:r>
                </w:p>
              </w:tc>
              <w:tc>
                <w:tcPr>
                  <w:tcW w:w="762" w:type="pct"/>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8 000 000</w:t>
                  </w:r>
                </w:p>
              </w:tc>
              <w:tc>
                <w:tcPr>
                  <w:tcW w:w="516"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516"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516"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516"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8 000 000</w:t>
                  </w:r>
                </w:p>
              </w:tc>
              <w:tc>
                <w:tcPr>
                  <w:tcW w:w="516"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516"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516"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r>
            <w:tr>
              <w:tblPrEx>
                <w:tblW w:w="5003" w:type="pct"/>
                <w:tblCellMar>
                  <w:top w:w="15" w:type="dxa"/>
                  <w:left w:w="15" w:type="dxa"/>
                  <w:bottom w:w="15" w:type="dxa"/>
                  <w:right w:w="15" w:type="dxa"/>
                </w:tblCellMar>
                <w:tblLook w:val="05E0"/>
              </w:tblPrEx>
              <w:trPr>
                <w:trHeight w:val="56"/>
              </w:trPr>
              <w:tc>
                <w:tcPr>
                  <w:tcW w:w="625" w:type="pct"/>
                  <w:tcBorders>
                    <w:top w:val="inset" w:sz="6" w:space="0" w:color="808080"/>
                    <w:bottom w:val="inset" w:sz="6" w:space="0" w:color="808080"/>
                    <w:right w:val="inset" w:sz="6" w:space="0" w:color="808080"/>
                  </w:tcBorders>
                  <w:shd w:val="clear" w:color="auto" w:fill="EBF1DE"/>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Oбщо</w:t>
                  </w:r>
                </w:p>
              </w:tc>
              <w:tc>
                <w:tcPr>
                  <w:tcW w:w="762" w:type="pct"/>
                  <w:tcBorders>
                    <w:top w:val="inset" w:sz="6" w:space="0" w:color="808080"/>
                    <w:left w:val="inset" w:sz="6" w:space="0" w:color="808080"/>
                    <w:bottom w:val="inset" w:sz="6" w:space="0" w:color="808080"/>
                    <w:right w:val="inset" w:sz="6" w:space="0" w:color="808080"/>
                  </w:tcBorders>
                  <w:shd w:val="clear" w:color="auto" w:fill="FFFF00"/>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201 936 861</w:t>
                  </w:r>
                </w:p>
              </w:tc>
              <w:tc>
                <w:tcPr>
                  <w:tcW w:w="516" w:type="pct"/>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18 855 000</w:t>
                  </w:r>
                </w:p>
              </w:tc>
              <w:tc>
                <w:tcPr>
                  <w:tcW w:w="516" w:type="pct"/>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13 750 000</w:t>
                  </w:r>
                </w:p>
              </w:tc>
              <w:tc>
                <w:tcPr>
                  <w:tcW w:w="516" w:type="pct"/>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78 611 861</w:t>
                  </w:r>
                </w:p>
              </w:tc>
              <w:tc>
                <w:tcPr>
                  <w:tcW w:w="516" w:type="pct"/>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47 045 320</w:t>
                  </w:r>
                </w:p>
              </w:tc>
              <w:tc>
                <w:tcPr>
                  <w:tcW w:w="516" w:type="pct"/>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12 661 728</w:t>
                  </w:r>
                </w:p>
              </w:tc>
              <w:tc>
                <w:tcPr>
                  <w:tcW w:w="516" w:type="pct"/>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14 021 300</w:t>
                  </w:r>
                </w:p>
              </w:tc>
              <w:tc>
                <w:tcPr>
                  <w:tcW w:w="516" w:type="pct"/>
                  <w:tcBorders>
                    <w:top w:val="inset" w:sz="6" w:space="0" w:color="808080"/>
                    <w:left w:val="inset" w:sz="6" w:space="0" w:color="808080"/>
                    <w:bottom w:val="inset" w:sz="6" w:space="0" w:color="808080"/>
                  </w:tcBorders>
                  <w:shd w:val="clear" w:color="auto" w:fill="EBF1DE"/>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16 991 652</w:t>
                  </w:r>
                </w:p>
              </w:tc>
            </w:tr>
            <w:tr>
              <w:tblPrEx>
                <w:tblW w:w="5003" w:type="pct"/>
                <w:tblCellMar>
                  <w:top w:w="15" w:type="dxa"/>
                  <w:left w:w="15" w:type="dxa"/>
                  <w:bottom w:w="15" w:type="dxa"/>
                  <w:right w:w="15" w:type="dxa"/>
                </w:tblCellMar>
                <w:tblLook w:val="05E0"/>
              </w:tblPrEx>
              <w:trPr>
                <w:trHeight w:val="56"/>
              </w:trPr>
              <w:tc>
                <w:tcPr>
                  <w:tcW w:w="625"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762"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1548" w:type="pct"/>
                  <w:gridSpan w:val="3"/>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111 216 861</w:t>
                  </w:r>
                </w:p>
              </w:tc>
              <w:tc>
                <w:tcPr>
                  <w:tcW w:w="2065" w:type="pct"/>
                  <w:gridSpan w:val="4"/>
                  <w:tcBorders>
                    <w:top w:val="inset" w:sz="6" w:space="0" w:color="808080"/>
                    <w:left w:val="inset" w:sz="6" w:space="0" w:color="808080"/>
                    <w:bottom w:val="inset" w:sz="6" w:space="0" w:color="808080"/>
                  </w:tcBorders>
                  <w:noWrap w:val="0"/>
                  <w:tcMar>
                    <w:top w:w="22" w:type="dxa"/>
                    <w:left w:w="22" w:type="dxa"/>
                    <w:bottom w:w="22"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90 720 000</w:t>
                  </w:r>
                </w:p>
              </w:tc>
            </w:tr>
            <w:tr>
              <w:tblPrEx>
                <w:tblW w:w="5003" w:type="pct"/>
                <w:tblCellMar>
                  <w:top w:w="15" w:type="dxa"/>
                  <w:left w:w="15" w:type="dxa"/>
                  <w:bottom w:w="15" w:type="dxa"/>
                  <w:right w:w="15" w:type="dxa"/>
                </w:tblCellMar>
                <w:tblLook w:val="05E0"/>
              </w:tblPrEx>
              <w:trPr>
                <w:trHeight w:val="56"/>
              </w:trPr>
              <w:tc>
                <w:tcPr>
                  <w:tcW w:w="625" w:type="pct"/>
                  <w:tcBorders>
                    <w:top w:val="inset" w:sz="6" w:space="0" w:color="808080"/>
                    <w:right w:val="inset" w:sz="6" w:space="0" w:color="808080"/>
                  </w:tcBorders>
                  <w:noWrap w:val="0"/>
                  <w:tcMar>
                    <w:top w:w="22" w:type="dxa"/>
                    <w:left w:w="25" w:type="dxa"/>
                    <w:bottom w:w="25" w:type="dxa"/>
                    <w:right w:w="22" w:type="dxa"/>
                  </w:tcMar>
                  <w:vAlign w:val="bottom"/>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762" w:type="pct"/>
                  <w:tcBorders>
                    <w:top w:val="inset" w:sz="6" w:space="0" w:color="808080"/>
                    <w:left w:val="inset" w:sz="6" w:space="0" w:color="808080"/>
                    <w:right w:val="inset" w:sz="6" w:space="0" w:color="808080"/>
                  </w:tcBorders>
                  <w:noWrap w:val="0"/>
                  <w:tcMar>
                    <w:top w:w="22" w:type="dxa"/>
                    <w:left w:w="22" w:type="dxa"/>
                    <w:bottom w:w="25" w:type="dxa"/>
                    <w:right w:w="22" w:type="dxa"/>
                  </w:tcMar>
                  <w:vAlign w:val="bottom"/>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1548" w:type="pct"/>
                  <w:gridSpan w:val="3"/>
                  <w:tcBorders>
                    <w:top w:val="inset" w:sz="6" w:space="0" w:color="808080"/>
                    <w:left w:val="inset" w:sz="6" w:space="0" w:color="808080"/>
                    <w:right w:val="inset" w:sz="6" w:space="0" w:color="808080"/>
                  </w:tcBorders>
                  <w:noWrap w:val="0"/>
                  <w:tcMar>
                    <w:top w:w="22" w:type="dxa"/>
                    <w:left w:w="22" w:type="dxa"/>
                    <w:bottom w:w="25"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55.1%</w:t>
                  </w:r>
                </w:p>
              </w:tc>
              <w:tc>
                <w:tcPr>
                  <w:tcW w:w="2065" w:type="pct"/>
                  <w:gridSpan w:val="4"/>
                  <w:tcBorders>
                    <w:top w:val="inset" w:sz="6" w:space="0" w:color="808080"/>
                    <w:left w:val="inset" w:sz="6" w:space="0" w:color="808080"/>
                  </w:tcBorders>
                  <w:noWrap w:val="0"/>
                  <w:tcMar>
                    <w:top w:w="22" w:type="dxa"/>
                    <w:left w:w="22" w:type="dxa"/>
                    <w:bottom w:w="25"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44.9%</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средствата в размер на 201 936 861 евро по линия на EURI са разпределени общо 161 331 861 към Мярка 4, от които индикативно 59 275 524 евро по подмярка 4.1 „Инвестиции в земеделски стопанства“ и 102 056 337 евро подмярка 4.2 „Инвестиции в преработка/маркетинг на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Разпределението на средствата от EURI по фокус области за Мярка 4, одобрено с одобрението на седемнадесето изменение на ПРСР 2014-2020 е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Таблица 4</w:t>
            </w:r>
            <w:r>
              <w:rPr>
                <w:rFonts w:ascii="Times New Roman" w:eastAsia="Times New Roman" w:hAnsi="Times New Roman" w:cs="Times New Roman"/>
                <w:szCs w:val="24"/>
              </w:rPr>
              <w:t>, сумите са в евро, средства от ЕЗФРСР:</w:t>
            </w:r>
          </w:p>
          <w:tbl>
            <w:tblPr>
              <w:tblStyle w:val="Table"/>
              <w:tblW w:w="5000"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1599"/>
              <w:gridCol w:w="1259"/>
              <w:gridCol w:w="1512"/>
              <w:gridCol w:w="1512"/>
              <w:gridCol w:w="1512"/>
              <w:gridCol w:w="1512"/>
              <w:gridCol w:w="1514"/>
            </w:tblGrid>
            <w:tr>
              <w:tblPrEx>
                <w:tblW w:w="5000"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300"/>
              </w:trPr>
              <w:tc>
                <w:tcPr>
                  <w:tcW w:w="685" w:type="pct"/>
                  <w:tcBorders>
                    <w:bottom w:val="inset" w:sz="6" w:space="0" w:color="808080"/>
                    <w:right w:val="inset" w:sz="6" w:space="0" w:color="808080"/>
                  </w:tcBorders>
                  <w:shd w:val="clear" w:color="auto" w:fill="EBF1DE"/>
                  <w:noWrap w:val="0"/>
                  <w:tcMar>
                    <w:top w:w="25"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Mярка/Подмярка</w:t>
                  </w:r>
                </w:p>
              </w:tc>
              <w:tc>
                <w:tcPr>
                  <w:tcW w:w="604" w:type="pct"/>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Средства/ФО</w:t>
                  </w:r>
                </w:p>
              </w:tc>
              <w:tc>
                <w:tcPr>
                  <w:tcW w:w="742" w:type="pct"/>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3А</w:t>
                  </w:r>
                </w:p>
              </w:tc>
              <w:tc>
                <w:tcPr>
                  <w:tcW w:w="742" w:type="pct"/>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П4 А, Б, В</w:t>
                  </w:r>
                </w:p>
              </w:tc>
              <w:tc>
                <w:tcPr>
                  <w:tcW w:w="742" w:type="pct"/>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5А</w:t>
                  </w:r>
                </w:p>
              </w:tc>
              <w:tc>
                <w:tcPr>
                  <w:tcW w:w="742" w:type="pct"/>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5Б</w:t>
                  </w:r>
                </w:p>
              </w:tc>
              <w:tc>
                <w:tcPr>
                  <w:tcW w:w="742" w:type="pct"/>
                  <w:tcBorders>
                    <w:left w:val="inset" w:sz="6" w:space="0" w:color="808080"/>
                    <w:bottom w:val="inset" w:sz="6" w:space="0" w:color="808080"/>
                  </w:tcBorders>
                  <w:shd w:val="clear" w:color="auto" w:fill="EBF1DE"/>
                  <w:noWrap w:val="0"/>
                  <w:tcMar>
                    <w:top w:w="25"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5В</w:t>
                  </w:r>
                </w:p>
              </w:tc>
            </w:tr>
            <w:tr>
              <w:tblPrEx>
                <w:tblW w:w="5000" w:type="pct"/>
                <w:tblCellMar>
                  <w:top w:w="15" w:type="dxa"/>
                  <w:left w:w="15" w:type="dxa"/>
                  <w:bottom w:w="15" w:type="dxa"/>
                  <w:right w:w="15" w:type="dxa"/>
                </w:tblCellMar>
                <w:tblLook w:val="05E0"/>
              </w:tblPrEx>
              <w:trPr>
                <w:trHeight w:val="56"/>
              </w:trPr>
              <w:tc>
                <w:tcPr>
                  <w:tcW w:w="685" w:type="pct"/>
                  <w:tcBorders>
                    <w:top w:val="inset" w:sz="6" w:space="0" w:color="808080"/>
                    <w:bottom w:val="inset" w:sz="6" w:space="0" w:color="808080"/>
                    <w:right w:val="inset" w:sz="6" w:space="0" w:color="808080"/>
                  </w:tcBorders>
                  <w:shd w:val="clear" w:color="auto" w:fill="EBF1DE"/>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M4.1 EURI</w:t>
                  </w:r>
                </w:p>
              </w:tc>
              <w:tc>
                <w:tcPr>
                  <w:tcW w:w="604" w:type="pct"/>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59 275 524</w:t>
                  </w:r>
                </w:p>
              </w:tc>
              <w:tc>
                <w:tcPr>
                  <w:tcW w:w="742"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742"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39 045 320</w:t>
                  </w:r>
                </w:p>
              </w:tc>
              <w:tc>
                <w:tcPr>
                  <w:tcW w:w="742"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12 661 728</w:t>
                  </w:r>
                </w:p>
              </w:tc>
              <w:tc>
                <w:tcPr>
                  <w:tcW w:w="742"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7 568 476</w:t>
                  </w:r>
                </w:p>
              </w:tc>
              <w:tc>
                <w:tcPr>
                  <w:tcW w:w="742"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r>
            <w:tr>
              <w:tblPrEx>
                <w:tblW w:w="5000" w:type="pct"/>
                <w:tblCellMar>
                  <w:top w:w="15" w:type="dxa"/>
                  <w:left w:w="15" w:type="dxa"/>
                  <w:bottom w:w="15" w:type="dxa"/>
                  <w:right w:w="15" w:type="dxa"/>
                </w:tblCellMar>
                <w:tblLook w:val="05E0"/>
              </w:tblPrEx>
              <w:trPr>
                <w:trHeight w:val="56"/>
              </w:trPr>
              <w:tc>
                <w:tcPr>
                  <w:tcW w:w="685" w:type="pct"/>
                  <w:tcBorders>
                    <w:top w:val="inset" w:sz="6" w:space="0" w:color="808080"/>
                    <w:bottom w:val="inset" w:sz="6" w:space="0" w:color="808080"/>
                    <w:right w:val="inset" w:sz="6" w:space="0" w:color="808080"/>
                  </w:tcBorders>
                  <w:shd w:val="clear" w:color="auto" w:fill="EBF1DE"/>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M4.2 EURI</w:t>
                  </w:r>
                </w:p>
              </w:tc>
              <w:tc>
                <w:tcPr>
                  <w:tcW w:w="604" w:type="pct"/>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102 056 337</w:t>
                  </w:r>
                </w:p>
              </w:tc>
              <w:tc>
                <w:tcPr>
                  <w:tcW w:w="742"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78 611 861</w:t>
                  </w:r>
                </w:p>
              </w:tc>
              <w:tc>
                <w:tcPr>
                  <w:tcW w:w="742"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742"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742"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6 452 824</w:t>
                  </w:r>
                </w:p>
              </w:tc>
              <w:tc>
                <w:tcPr>
                  <w:tcW w:w="742"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16 991 652</w:t>
                  </w:r>
                </w:p>
              </w:tc>
            </w:tr>
            <w:tr>
              <w:tblPrEx>
                <w:tblW w:w="5000" w:type="pct"/>
                <w:tblCellMar>
                  <w:top w:w="15" w:type="dxa"/>
                  <w:left w:w="15" w:type="dxa"/>
                  <w:bottom w:w="15" w:type="dxa"/>
                  <w:right w:w="15" w:type="dxa"/>
                </w:tblCellMar>
                <w:tblLook w:val="05E0"/>
              </w:tblPrEx>
              <w:trPr>
                <w:trHeight w:val="56"/>
              </w:trPr>
              <w:tc>
                <w:tcPr>
                  <w:tcW w:w="685" w:type="pct"/>
                  <w:tcBorders>
                    <w:top w:val="inset" w:sz="6" w:space="0" w:color="808080"/>
                    <w:right w:val="inset" w:sz="6" w:space="0" w:color="808080"/>
                  </w:tcBorders>
                  <w:shd w:val="clear" w:color="auto" w:fill="EBF1DE"/>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Oбщо</w:t>
                  </w:r>
                </w:p>
              </w:tc>
              <w:tc>
                <w:tcPr>
                  <w:tcW w:w="604" w:type="pct"/>
                  <w:tcBorders>
                    <w:top w:val="inset" w:sz="6" w:space="0" w:color="808080"/>
                    <w:left w:val="inset" w:sz="6" w:space="0" w:color="808080"/>
                    <w:right w:val="inset" w:sz="6" w:space="0" w:color="808080"/>
                  </w:tcBorders>
                  <w:shd w:val="clear" w:color="auto" w:fill="FFFF00"/>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161 331 861</w:t>
                  </w:r>
                </w:p>
              </w:tc>
              <w:tc>
                <w:tcPr>
                  <w:tcW w:w="742" w:type="pct"/>
                  <w:tcBorders>
                    <w:top w:val="inset" w:sz="6" w:space="0" w:color="808080"/>
                    <w:left w:val="inset" w:sz="6" w:space="0" w:color="808080"/>
                    <w:right w:val="inset" w:sz="6" w:space="0" w:color="808080"/>
                  </w:tcBorders>
                  <w:shd w:val="clear" w:color="auto" w:fill="EBF1DE"/>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78 611 861</w:t>
                  </w:r>
                </w:p>
              </w:tc>
              <w:tc>
                <w:tcPr>
                  <w:tcW w:w="742" w:type="pct"/>
                  <w:tcBorders>
                    <w:top w:val="inset" w:sz="6" w:space="0" w:color="808080"/>
                    <w:left w:val="inset" w:sz="6" w:space="0" w:color="808080"/>
                    <w:right w:val="inset" w:sz="6" w:space="0" w:color="808080"/>
                  </w:tcBorders>
                  <w:shd w:val="clear" w:color="auto" w:fill="EBF1DE"/>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39 045 320</w:t>
                  </w:r>
                </w:p>
              </w:tc>
              <w:tc>
                <w:tcPr>
                  <w:tcW w:w="742" w:type="pct"/>
                  <w:tcBorders>
                    <w:top w:val="inset" w:sz="6" w:space="0" w:color="808080"/>
                    <w:left w:val="inset" w:sz="6" w:space="0" w:color="808080"/>
                    <w:right w:val="inset" w:sz="6" w:space="0" w:color="808080"/>
                  </w:tcBorders>
                  <w:shd w:val="clear" w:color="auto" w:fill="EBF1DE"/>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12 661 728</w:t>
                  </w:r>
                </w:p>
              </w:tc>
              <w:tc>
                <w:tcPr>
                  <w:tcW w:w="742" w:type="pct"/>
                  <w:tcBorders>
                    <w:top w:val="inset" w:sz="6" w:space="0" w:color="808080"/>
                    <w:left w:val="inset" w:sz="6" w:space="0" w:color="808080"/>
                    <w:right w:val="inset" w:sz="6" w:space="0" w:color="808080"/>
                  </w:tcBorders>
                  <w:shd w:val="clear" w:color="auto" w:fill="EBF1DE"/>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14 021 300</w:t>
                  </w:r>
                </w:p>
              </w:tc>
              <w:tc>
                <w:tcPr>
                  <w:tcW w:w="742" w:type="pct"/>
                  <w:tcBorders>
                    <w:top w:val="inset" w:sz="6" w:space="0" w:color="808080"/>
                    <w:left w:val="inset" w:sz="6" w:space="0" w:color="808080"/>
                  </w:tcBorders>
                  <w:shd w:val="clear" w:color="auto" w:fill="EBF1DE"/>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16 991 652</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Предложението на УО на ПРСР е да се прехвърлят технически средства в размер на съответно 8 181 075 евро, към подмярка 4.2, и мярка 10, само и единствено в рамките на средствата, разполагаеми по линия на ЕУРИ в тези фокус области: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Таблица 5</w:t>
            </w:r>
            <w:r>
              <w:rPr>
                <w:rFonts w:ascii="Times New Roman" w:eastAsia="Times New Roman" w:hAnsi="Times New Roman" w:cs="Times New Roman"/>
                <w:szCs w:val="24"/>
              </w:rPr>
              <w:t>, сумите са в евро, средства от ЕЗФРСР:</w:t>
            </w:r>
          </w:p>
          <w:tbl>
            <w:tblPr>
              <w:tblStyle w:val="Table"/>
              <w:tblW w:w="5000"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1600"/>
              <w:gridCol w:w="1259"/>
              <w:gridCol w:w="1511"/>
              <w:gridCol w:w="1513"/>
              <w:gridCol w:w="1513"/>
              <w:gridCol w:w="1513"/>
              <w:gridCol w:w="1511"/>
            </w:tblGrid>
            <w:tr>
              <w:tblPrEx>
                <w:tblW w:w="5000"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300"/>
              </w:trPr>
              <w:tc>
                <w:tcPr>
                  <w:tcW w:w="685" w:type="pct"/>
                  <w:tcBorders>
                    <w:bottom w:val="inset" w:sz="6" w:space="0" w:color="808080"/>
                    <w:right w:val="inset" w:sz="6" w:space="0" w:color="808080"/>
                  </w:tcBorders>
                  <w:shd w:val="clear" w:color="auto" w:fill="EBF1DE"/>
                  <w:noWrap w:val="0"/>
                  <w:tcMar>
                    <w:top w:w="25"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Mярка/Подмярка</w:t>
                  </w:r>
                </w:p>
              </w:tc>
              <w:tc>
                <w:tcPr>
                  <w:tcW w:w="604" w:type="pct"/>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Средства/ФО</w:t>
                  </w:r>
                </w:p>
              </w:tc>
              <w:tc>
                <w:tcPr>
                  <w:tcW w:w="742" w:type="pct"/>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3А</w:t>
                  </w:r>
                </w:p>
              </w:tc>
              <w:tc>
                <w:tcPr>
                  <w:tcW w:w="742" w:type="pct"/>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П4 А, Б, В</w:t>
                  </w:r>
                </w:p>
              </w:tc>
              <w:tc>
                <w:tcPr>
                  <w:tcW w:w="742" w:type="pct"/>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5А</w:t>
                  </w:r>
                </w:p>
              </w:tc>
              <w:tc>
                <w:tcPr>
                  <w:tcW w:w="742" w:type="pct"/>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5Б</w:t>
                  </w:r>
                </w:p>
              </w:tc>
              <w:tc>
                <w:tcPr>
                  <w:tcW w:w="742" w:type="pct"/>
                  <w:tcBorders>
                    <w:left w:val="inset" w:sz="6" w:space="0" w:color="808080"/>
                    <w:bottom w:val="inset" w:sz="6" w:space="0" w:color="808080"/>
                  </w:tcBorders>
                  <w:shd w:val="clear" w:color="auto" w:fill="EBF1DE"/>
                  <w:noWrap w:val="0"/>
                  <w:tcMar>
                    <w:top w:w="25"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5В</w:t>
                  </w:r>
                </w:p>
              </w:tc>
            </w:tr>
            <w:tr>
              <w:tblPrEx>
                <w:tblW w:w="5000" w:type="pct"/>
                <w:tblCellMar>
                  <w:top w:w="15" w:type="dxa"/>
                  <w:left w:w="15" w:type="dxa"/>
                  <w:bottom w:w="15" w:type="dxa"/>
                  <w:right w:w="15" w:type="dxa"/>
                </w:tblCellMar>
                <w:tblLook w:val="05E0"/>
              </w:tblPrEx>
              <w:trPr>
                <w:trHeight w:val="56"/>
              </w:trPr>
              <w:tc>
                <w:tcPr>
                  <w:tcW w:w="685" w:type="pct"/>
                  <w:tcBorders>
                    <w:top w:val="inset" w:sz="6" w:space="0" w:color="808080"/>
                    <w:bottom w:val="inset" w:sz="6" w:space="0" w:color="808080"/>
                    <w:right w:val="inset" w:sz="6" w:space="0" w:color="808080"/>
                  </w:tcBorders>
                  <w:shd w:val="clear" w:color="auto" w:fill="EBF1DE"/>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M4.1 EURI</w:t>
                  </w:r>
                </w:p>
              </w:tc>
              <w:tc>
                <w:tcPr>
                  <w:tcW w:w="604" w:type="pct"/>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-8 181 075</w:t>
                  </w:r>
                </w:p>
              </w:tc>
              <w:tc>
                <w:tcPr>
                  <w:tcW w:w="742"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742"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-5 462 971</w:t>
                  </w:r>
                </w:p>
              </w:tc>
              <w:tc>
                <w:tcPr>
                  <w:tcW w:w="742"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-1 497 349</w:t>
                  </w:r>
                </w:p>
              </w:tc>
              <w:tc>
                <w:tcPr>
                  <w:tcW w:w="742"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-1 220 755</w:t>
                  </w:r>
                </w:p>
              </w:tc>
              <w:tc>
                <w:tcPr>
                  <w:tcW w:w="742"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5000" w:type="pct"/>
                <w:tblCellMar>
                  <w:top w:w="15" w:type="dxa"/>
                  <w:left w:w="15" w:type="dxa"/>
                  <w:bottom w:w="15" w:type="dxa"/>
                  <w:right w:w="15" w:type="dxa"/>
                </w:tblCellMar>
                <w:tblLook w:val="05E0"/>
              </w:tblPrEx>
              <w:trPr>
                <w:trHeight w:val="126"/>
              </w:trPr>
              <w:tc>
                <w:tcPr>
                  <w:tcW w:w="685" w:type="pct"/>
                  <w:tcBorders>
                    <w:top w:val="inset" w:sz="6" w:space="0" w:color="808080"/>
                    <w:bottom w:val="inset" w:sz="6" w:space="0" w:color="808080"/>
                    <w:right w:val="inset" w:sz="6" w:space="0" w:color="808080"/>
                  </w:tcBorders>
                  <w:shd w:val="clear" w:color="auto" w:fill="EBF1DE"/>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M4.2 EURI</w:t>
                  </w:r>
                </w:p>
              </w:tc>
              <w:tc>
                <w:tcPr>
                  <w:tcW w:w="604" w:type="pct"/>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8 031 075</w:t>
                  </w:r>
                </w:p>
              </w:tc>
              <w:tc>
                <w:tcPr>
                  <w:tcW w:w="742"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742"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742"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742"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5 312 971</w:t>
                  </w:r>
                </w:p>
              </w:tc>
              <w:tc>
                <w:tcPr>
                  <w:tcW w:w="742"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2 718 104</w:t>
                  </w:r>
                </w:p>
              </w:tc>
            </w:tr>
            <w:tr>
              <w:tblPrEx>
                <w:tblW w:w="5000" w:type="pct"/>
                <w:tblCellMar>
                  <w:top w:w="15" w:type="dxa"/>
                  <w:left w:w="15" w:type="dxa"/>
                  <w:bottom w:w="15" w:type="dxa"/>
                  <w:right w:w="15" w:type="dxa"/>
                </w:tblCellMar>
                <w:tblLook w:val="05E0"/>
              </w:tblPrEx>
              <w:trPr>
                <w:trHeight w:val="56"/>
              </w:trPr>
              <w:tc>
                <w:tcPr>
                  <w:tcW w:w="685" w:type="pct"/>
                  <w:tcBorders>
                    <w:top w:val="inset" w:sz="6" w:space="0" w:color="808080"/>
                    <w:bottom w:val="inset" w:sz="6" w:space="0" w:color="808080"/>
                    <w:right w:val="inset" w:sz="6" w:space="0" w:color="808080"/>
                  </w:tcBorders>
                  <w:shd w:val="clear" w:color="auto" w:fill="EBF1DE"/>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M10 EURI</w:t>
                  </w:r>
                </w:p>
              </w:tc>
              <w:tc>
                <w:tcPr>
                  <w:tcW w:w="604" w:type="pct"/>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150 000</w:t>
                  </w:r>
                </w:p>
              </w:tc>
              <w:tc>
                <w:tcPr>
                  <w:tcW w:w="742"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742"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150 000</w:t>
                  </w:r>
                </w:p>
              </w:tc>
              <w:tc>
                <w:tcPr>
                  <w:tcW w:w="742"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742"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742"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5000" w:type="pct"/>
                <w:tblCellMar>
                  <w:top w:w="15" w:type="dxa"/>
                  <w:left w:w="15" w:type="dxa"/>
                  <w:bottom w:w="15" w:type="dxa"/>
                  <w:right w:w="15" w:type="dxa"/>
                </w:tblCellMar>
                <w:tblLook w:val="05E0"/>
              </w:tblPrEx>
              <w:trPr>
                <w:trHeight w:val="56"/>
              </w:trPr>
              <w:tc>
                <w:tcPr>
                  <w:tcW w:w="685" w:type="pct"/>
                  <w:tcBorders>
                    <w:top w:val="inset" w:sz="6" w:space="0" w:color="808080"/>
                    <w:right w:val="inset" w:sz="6" w:space="0" w:color="808080"/>
                  </w:tcBorders>
                  <w:shd w:val="clear" w:color="auto" w:fill="EBF1DE"/>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Oбщо</w:t>
                  </w:r>
                </w:p>
              </w:tc>
              <w:tc>
                <w:tcPr>
                  <w:tcW w:w="604" w:type="pct"/>
                  <w:tcBorders>
                    <w:top w:val="inset" w:sz="6" w:space="0" w:color="808080"/>
                    <w:left w:val="inset" w:sz="6" w:space="0" w:color="808080"/>
                    <w:right w:val="inset" w:sz="6" w:space="0" w:color="808080"/>
                  </w:tcBorders>
                  <w:shd w:val="clear" w:color="auto" w:fill="FFFF00"/>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0</w:t>
                  </w:r>
                </w:p>
              </w:tc>
              <w:tc>
                <w:tcPr>
                  <w:tcW w:w="742" w:type="pct"/>
                  <w:tcBorders>
                    <w:top w:val="inset" w:sz="6" w:space="0" w:color="808080"/>
                    <w:left w:val="inset" w:sz="6" w:space="0" w:color="808080"/>
                    <w:right w:val="inset" w:sz="6" w:space="0" w:color="808080"/>
                  </w:tcBorders>
                  <w:shd w:val="clear" w:color="auto" w:fill="EBF1DE"/>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0</w:t>
                  </w:r>
                </w:p>
              </w:tc>
              <w:tc>
                <w:tcPr>
                  <w:tcW w:w="742" w:type="pct"/>
                  <w:tcBorders>
                    <w:top w:val="inset" w:sz="6" w:space="0" w:color="808080"/>
                    <w:left w:val="inset" w:sz="6" w:space="0" w:color="808080"/>
                    <w:right w:val="inset" w:sz="6" w:space="0" w:color="808080"/>
                  </w:tcBorders>
                  <w:shd w:val="clear" w:color="auto" w:fill="EBF1DE"/>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-5 312 971</w:t>
                  </w:r>
                </w:p>
              </w:tc>
              <w:tc>
                <w:tcPr>
                  <w:tcW w:w="742" w:type="pct"/>
                  <w:tcBorders>
                    <w:top w:val="inset" w:sz="6" w:space="0" w:color="808080"/>
                    <w:left w:val="inset" w:sz="6" w:space="0" w:color="808080"/>
                    <w:right w:val="inset" w:sz="6" w:space="0" w:color="808080"/>
                  </w:tcBorders>
                  <w:shd w:val="clear" w:color="auto" w:fill="EBF1DE"/>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-1 497 349</w:t>
                  </w:r>
                </w:p>
              </w:tc>
              <w:tc>
                <w:tcPr>
                  <w:tcW w:w="742" w:type="pct"/>
                  <w:tcBorders>
                    <w:top w:val="inset" w:sz="6" w:space="0" w:color="808080"/>
                    <w:left w:val="inset" w:sz="6" w:space="0" w:color="808080"/>
                    <w:right w:val="inset" w:sz="6" w:space="0" w:color="808080"/>
                  </w:tcBorders>
                  <w:shd w:val="clear" w:color="auto" w:fill="EBF1DE"/>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4 092 216</w:t>
                  </w:r>
                </w:p>
              </w:tc>
              <w:tc>
                <w:tcPr>
                  <w:tcW w:w="742" w:type="pct"/>
                  <w:tcBorders>
                    <w:top w:val="inset" w:sz="6" w:space="0" w:color="808080"/>
                    <w:left w:val="inset" w:sz="6" w:space="0" w:color="808080"/>
                  </w:tcBorders>
                  <w:shd w:val="clear" w:color="auto" w:fill="EBF1DE"/>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2 718 104</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По този начин, разпределението в рамките на инструмента EURI (всички разполагаеми средства) ще бъде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Таблица 6</w:t>
            </w:r>
            <w:r>
              <w:rPr>
                <w:rFonts w:ascii="Times New Roman" w:eastAsia="Times New Roman" w:hAnsi="Times New Roman" w:cs="Times New Roman"/>
                <w:szCs w:val="24"/>
              </w:rPr>
              <w:t>, сумите са в евро, средства от ЕЗФРСР:</w:t>
            </w:r>
          </w:p>
          <w:tbl>
            <w:tblPr>
              <w:tblStyle w:val="Table"/>
              <w:tblW w:w="5000"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1751"/>
              <w:gridCol w:w="1343"/>
              <w:gridCol w:w="1029"/>
              <w:gridCol w:w="1027"/>
              <w:gridCol w:w="1029"/>
              <w:gridCol w:w="1029"/>
              <w:gridCol w:w="1027"/>
              <w:gridCol w:w="1166"/>
              <w:gridCol w:w="1019"/>
            </w:tblGrid>
            <w:tr>
              <w:tblPrEx>
                <w:tblW w:w="5000"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420"/>
              </w:trPr>
              <w:tc>
                <w:tcPr>
                  <w:tcW w:w="546" w:type="pct"/>
                  <w:tcBorders>
                    <w:bottom w:val="inset" w:sz="6" w:space="0" w:color="808080"/>
                    <w:right w:val="inset" w:sz="6" w:space="0" w:color="808080"/>
                  </w:tcBorders>
                  <w:shd w:val="clear" w:color="auto" w:fill="EBF1DE"/>
                  <w:noWrap w:val="0"/>
                  <w:tcMar>
                    <w:top w:w="25"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Mярка/Подмярка</w:t>
                  </w:r>
                </w:p>
              </w:tc>
              <w:tc>
                <w:tcPr>
                  <w:tcW w:w="550" w:type="pct"/>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Средства/ФО</w:t>
                  </w:r>
                </w:p>
              </w:tc>
              <w:tc>
                <w:tcPr>
                  <w:tcW w:w="548" w:type="pct"/>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2A</w:t>
                  </w:r>
                </w:p>
              </w:tc>
              <w:tc>
                <w:tcPr>
                  <w:tcW w:w="547" w:type="pct"/>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2B</w:t>
                  </w:r>
                </w:p>
              </w:tc>
              <w:tc>
                <w:tcPr>
                  <w:tcW w:w="548" w:type="pct"/>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3А</w:t>
                  </w:r>
                </w:p>
              </w:tc>
              <w:tc>
                <w:tcPr>
                  <w:tcW w:w="548" w:type="pct"/>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П4 А, Б, В</w:t>
                  </w:r>
                </w:p>
              </w:tc>
              <w:tc>
                <w:tcPr>
                  <w:tcW w:w="547" w:type="pct"/>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5А</w:t>
                  </w:r>
                </w:p>
              </w:tc>
              <w:tc>
                <w:tcPr>
                  <w:tcW w:w="625" w:type="pct"/>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5Б</w:t>
                  </w:r>
                </w:p>
              </w:tc>
              <w:tc>
                <w:tcPr>
                  <w:tcW w:w="542" w:type="pct"/>
                  <w:tcBorders>
                    <w:left w:val="inset" w:sz="6" w:space="0" w:color="808080"/>
                    <w:bottom w:val="inset" w:sz="6" w:space="0" w:color="808080"/>
                  </w:tcBorders>
                  <w:shd w:val="clear" w:color="auto" w:fill="EBF1DE"/>
                  <w:noWrap w:val="0"/>
                  <w:tcMar>
                    <w:top w:w="25"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5В</w:t>
                  </w:r>
                </w:p>
              </w:tc>
            </w:tr>
            <w:tr>
              <w:tblPrEx>
                <w:tblW w:w="5000" w:type="pct"/>
                <w:tblCellMar>
                  <w:top w:w="15" w:type="dxa"/>
                  <w:left w:w="15" w:type="dxa"/>
                  <w:bottom w:w="15" w:type="dxa"/>
                  <w:right w:w="15" w:type="dxa"/>
                </w:tblCellMar>
                <w:tblLook w:val="05E0"/>
              </w:tblPrEx>
              <w:trPr>
                <w:trHeight w:val="56"/>
              </w:trPr>
              <w:tc>
                <w:tcPr>
                  <w:tcW w:w="546" w:type="pct"/>
                  <w:tcBorders>
                    <w:top w:val="inset" w:sz="6" w:space="0" w:color="808080"/>
                    <w:bottom w:val="inset" w:sz="6" w:space="0" w:color="808080"/>
                    <w:right w:val="inset" w:sz="6" w:space="0" w:color="808080"/>
                  </w:tcBorders>
                  <w:shd w:val="clear" w:color="auto" w:fill="EBF1DE"/>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M4.1 EURI</w:t>
                  </w:r>
                </w:p>
              </w:tc>
              <w:tc>
                <w:tcPr>
                  <w:tcW w:w="550" w:type="pct"/>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51 094 449</w:t>
                  </w:r>
                </w:p>
              </w:tc>
              <w:tc>
                <w:tcPr>
                  <w:tcW w:w="54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547"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54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54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33 582 349</w:t>
                  </w:r>
                </w:p>
              </w:tc>
              <w:tc>
                <w:tcPr>
                  <w:tcW w:w="547"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11 164 379</w:t>
                  </w:r>
                </w:p>
              </w:tc>
              <w:tc>
                <w:tcPr>
                  <w:tcW w:w="62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6 347 721</w:t>
                  </w:r>
                </w:p>
              </w:tc>
              <w:tc>
                <w:tcPr>
                  <w:tcW w:w="542"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r>
            <w:tr>
              <w:tblPrEx>
                <w:tblW w:w="5000" w:type="pct"/>
                <w:tblCellMar>
                  <w:top w:w="15" w:type="dxa"/>
                  <w:left w:w="15" w:type="dxa"/>
                  <w:bottom w:w="15" w:type="dxa"/>
                  <w:right w:w="15" w:type="dxa"/>
                </w:tblCellMar>
                <w:tblLook w:val="05E0"/>
              </w:tblPrEx>
              <w:trPr>
                <w:trHeight w:val="205"/>
              </w:trPr>
              <w:tc>
                <w:tcPr>
                  <w:tcW w:w="546" w:type="pct"/>
                  <w:tcBorders>
                    <w:top w:val="inset" w:sz="6" w:space="0" w:color="808080"/>
                    <w:bottom w:val="inset" w:sz="6" w:space="0" w:color="808080"/>
                    <w:right w:val="inset" w:sz="6" w:space="0" w:color="808080"/>
                  </w:tcBorders>
                  <w:shd w:val="clear" w:color="auto" w:fill="EBF1DE"/>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M4.2 EURI</w:t>
                  </w:r>
                </w:p>
              </w:tc>
              <w:tc>
                <w:tcPr>
                  <w:tcW w:w="550" w:type="pct"/>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110 087 412</w:t>
                  </w:r>
                </w:p>
              </w:tc>
              <w:tc>
                <w:tcPr>
                  <w:tcW w:w="54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547"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54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78 611 861</w:t>
                  </w:r>
                </w:p>
              </w:tc>
              <w:tc>
                <w:tcPr>
                  <w:tcW w:w="54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547"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62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11 765 795</w:t>
                  </w:r>
                </w:p>
              </w:tc>
              <w:tc>
                <w:tcPr>
                  <w:tcW w:w="542"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19 709 756</w:t>
                  </w:r>
                </w:p>
              </w:tc>
            </w:tr>
            <w:tr>
              <w:tblPrEx>
                <w:tblW w:w="5000" w:type="pct"/>
                <w:tblCellMar>
                  <w:top w:w="15" w:type="dxa"/>
                  <w:left w:w="15" w:type="dxa"/>
                  <w:bottom w:w="15" w:type="dxa"/>
                  <w:right w:w="15" w:type="dxa"/>
                </w:tblCellMar>
                <w:tblLook w:val="05E0"/>
              </w:tblPrEx>
              <w:trPr>
                <w:trHeight w:val="56"/>
              </w:trPr>
              <w:tc>
                <w:tcPr>
                  <w:tcW w:w="546" w:type="pct"/>
                  <w:tcBorders>
                    <w:top w:val="inset" w:sz="6" w:space="0" w:color="808080"/>
                    <w:bottom w:val="inset" w:sz="6" w:space="0" w:color="808080"/>
                    <w:right w:val="inset" w:sz="6" w:space="0" w:color="808080"/>
                  </w:tcBorders>
                  <w:shd w:val="clear" w:color="auto" w:fill="EBF1DE"/>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M6.1 EURI</w:t>
                  </w:r>
                </w:p>
              </w:tc>
              <w:tc>
                <w:tcPr>
                  <w:tcW w:w="550" w:type="pct"/>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13 750 000</w:t>
                  </w:r>
                </w:p>
              </w:tc>
              <w:tc>
                <w:tcPr>
                  <w:tcW w:w="54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547"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13 750 000</w:t>
                  </w:r>
                </w:p>
              </w:tc>
              <w:tc>
                <w:tcPr>
                  <w:tcW w:w="54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54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547"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62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542"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r>
            <w:tr>
              <w:tblPrEx>
                <w:tblW w:w="5000" w:type="pct"/>
                <w:tblCellMar>
                  <w:top w:w="15" w:type="dxa"/>
                  <w:left w:w="15" w:type="dxa"/>
                  <w:bottom w:w="15" w:type="dxa"/>
                  <w:right w:w="15" w:type="dxa"/>
                </w:tblCellMar>
                <w:tblLook w:val="05E0"/>
              </w:tblPrEx>
              <w:trPr>
                <w:trHeight w:val="56"/>
              </w:trPr>
              <w:tc>
                <w:tcPr>
                  <w:tcW w:w="546" w:type="pct"/>
                  <w:tcBorders>
                    <w:top w:val="inset" w:sz="6" w:space="0" w:color="808080"/>
                    <w:bottom w:val="inset" w:sz="6" w:space="0" w:color="808080"/>
                    <w:right w:val="inset" w:sz="6" w:space="0" w:color="808080"/>
                  </w:tcBorders>
                  <w:shd w:val="clear" w:color="auto" w:fill="EBF1DE"/>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M6.3 EURI</w:t>
                  </w:r>
                </w:p>
              </w:tc>
              <w:tc>
                <w:tcPr>
                  <w:tcW w:w="550" w:type="pct"/>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18 855 000</w:t>
                  </w:r>
                </w:p>
              </w:tc>
              <w:tc>
                <w:tcPr>
                  <w:tcW w:w="54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18 855 000</w:t>
                  </w:r>
                </w:p>
              </w:tc>
              <w:tc>
                <w:tcPr>
                  <w:tcW w:w="547"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54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54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547"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62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542"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r>
            <w:tr>
              <w:tblPrEx>
                <w:tblW w:w="5000" w:type="pct"/>
                <w:tblCellMar>
                  <w:top w:w="15" w:type="dxa"/>
                  <w:left w:w="15" w:type="dxa"/>
                  <w:bottom w:w="15" w:type="dxa"/>
                  <w:right w:w="15" w:type="dxa"/>
                </w:tblCellMar>
                <w:tblLook w:val="05E0"/>
              </w:tblPrEx>
              <w:trPr>
                <w:trHeight w:val="141"/>
              </w:trPr>
              <w:tc>
                <w:tcPr>
                  <w:tcW w:w="546" w:type="pct"/>
                  <w:tcBorders>
                    <w:top w:val="inset" w:sz="6" w:space="0" w:color="808080"/>
                    <w:bottom w:val="inset" w:sz="6" w:space="0" w:color="808080"/>
                    <w:right w:val="inset" w:sz="6" w:space="0" w:color="808080"/>
                  </w:tcBorders>
                  <w:shd w:val="clear" w:color="auto" w:fill="EBF1DE"/>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M10 EURI</w:t>
                  </w:r>
                </w:p>
              </w:tc>
              <w:tc>
                <w:tcPr>
                  <w:tcW w:w="550" w:type="pct"/>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8 150 000</w:t>
                  </w:r>
                </w:p>
              </w:tc>
              <w:tc>
                <w:tcPr>
                  <w:tcW w:w="54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547"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54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54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8 150 000</w:t>
                  </w:r>
                </w:p>
              </w:tc>
              <w:tc>
                <w:tcPr>
                  <w:tcW w:w="547"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62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542"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r>
            <w:tr>
              <w:tblPrEx>
                <w:tblW w:w="5000" w:type="pct"/>
                <w:tblCellMar>
                  <w:top w:w="15" w:type="dxa"/>
                  <w:left w:w="15" w:type="dxa"/>
                  <w:bottom w:w="15" w:type="dxa"/>
                  <w:right w:w="15" w:type="dxa"/>
                </w:tblCellMar>
                <w:tblLook w:val="05E0"/>
              </w:tblPrEx>
              <w:trPr>
                <w:trHeight w:val="101"/>
              </w:trPr>
              <w:tc>
                <w:tcPr>
                  <w:tcW w:w="546" w:type="pct"/>
                  <w:tcBorders>
                    <w:top w:val="inset" w:sz="6" w:space="0" w:color="808080"/>
                    <w:bottom w:val="inset" w:sz="6" w:space="0" w:color="808080"/>
                    <w:right w:val="inset" w:sz="6" w:space="0" w:color="808080"/>
                  </w:tcBorders>
                  <w:shd w:val="clear" w:color="auto" w:fill="EBF1DE"/>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Oбщо</w:t>
                  </w:r>
                </w:p>
              </w:tc>
              <w:tc>
                <w:tcPr>
                  <w:tcW w:w="550" w:type="pct"/>
                  <w:tcBorders>
                    <w:top w:val="inset" w:sz="6" w:space="0" w:color="808080"/>
                    <w:left w:val="inset" w:sz="6" w:space="0" w:color="808080"/>
                    <w:bottom w:val="inset" w:sz="6" w:space="0" w:color="808080"/>
                    <w:right w:val="inset" w:sz="6" w:space="0" w:color="808080"/>
                  </w:tcBorders>
                  <w:shd w:val="clear" w:color="auto" w:fill="FFFF00"/>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201 936 861</w:t>
                  </w:r>
                </w:p>
              </w:tc>
              <w:tc>
                <w:tcPr>
                  <w:tcW w:w="548" w:type="pct"/>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18 855 000</w:t>
                  </w:r>
                </w:p>
              </w:tc>
              <w:tc>
                <w:tcPr>
                  <w:tcW w:w="547" w:type="pct"/>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13 750 000</w:t>
                  </w:r>
                </w:p>
              </w:tc>
              <w:tc>
                <w:tcPr>
                  <w:tcW w:w="548" w:type="pct"/>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78 611 861</w:t>
                  </w:r>
                </w:p>
              </w:tc>
              <w:tc>
                <w:tcPr>
                  <w:tcW w:w="548" w:type="pct"/>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33 732 349</w:t>
                  </w:r>
                </w:p>
              </w:tc>
              <w:tc>
                <w:tcPr>
                  <w:tcW w:w="547" w:type="pct"/>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11 164 379</w:t>
                  </w:r>
                </w:p>
              </w:tc>
              <w:tc>
                <w:tcPr>
                  <w:tcW w:w="625" w:type="pct"/>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18 113 516</w:t>
                  </w:r>
                </w:p>
              </w:tc>
              <w:tc>
                <w:tcPr>
                  <w:tcW w:w="542" w:type="pct"/>
                  <w:tcBorders>
                    <w:top w:val="inset" w:sz="6" w:space="0" w:color="808080"/>
                    <w:left w:val="inset" w:sz="6" w:space="0" w:color="808080"/>
                    <w:bottom w:val="inset" w:sz="6" w:space="0" w:color="808080"/>
                  </w:tcBorders>
                  <w:shd w:val="clear" w:color="auto" w:fill="EBF1DE"/>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19 709 756</w:t>
                  </w:r>
                </w:p>
              </w:tc>
            </w:tr>
            <w:tr>
              <w:tblPrEx>
                <w:tblW w:w="5000" w:type="pct"/>
                <w:tblCellMar>
                  <w:top w:w="15" w:type="dxa"/>
                  <w:left w:w="15" w:type="dxa"/>
                  <w:bottom w:w="15" w:type="dxa"/>
                  <w:right w:w="15" w:type="dxa"/>
                </w:tblCellMar>
                <w:tblLook w:val="05E0"/>
              </w:tblPrEx>
              <w:trPr>
                <w:trHeight w:val="56"/>
              </w:trPr>
              <w:tc>
                <w:tcPr>
                  <w:tcW w:w="546"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550"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1643" w:type="pct"/>
                  <w:gridSpan w:val="3"/>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111 216 861</w:t>
                  </w:r>
                </w:p>
              </w:tc>
              <w:tc>
                <w:tcPr>
                  <w:tcW w:w="2262" w:type="pct"/>
                  <w:gridSpan w:val="4"/>
                  <w:tcBorders>
                    <w:top w:val="inset" w:sz="6" w:space="0" w:color="808080"/>
                    <w:left w:val="inset" w:sz="6" w:space="0" w:color="808080"/>
                    <w:bottom w:val="inset" w:sz="6" w:space="0" w:color="808080"/>
                  </w:tcBorders>
                  <w:noWrap w:val="0"/>
                  <w:tcMar>
                    <w:top w:w="22" w:type="dxa"/>
                    <w:left w:w="22" w:type="dxa"/>
                    <w:bottom w:w="22"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90 720 000</w:t>
                  </w:r>
                </w:p>
              </w:tc>
            </w:tr>
            <w:tr>
              <w:tblPrEx>
                <w:tblW w:w="5000" w:type="pct"/>
                <w:tblCellMar>
                  <w:top w:w="15" w:type="dxa"/>
                  <w:left w:w="15" w:type="dxa"/>
                  <w:bottom w:w="15" w:type="dxa"/>
                  <w:right w:w="15" w:type="dxa"/>
                </w:tblCellMar>
                <w:tblLook w:val="05E0"/>
              </w:tblPrEx>
              <w:trPr>
                <w:trHeight w:val="56"/>
              </w:trPr>
              <w:tc>
                <w:tcPr>
                  <w:tcW w:w="546" w:type="pct"/>
                  <w:tcBorders>
                    <w:top w:val="inset" w:sz="6" w:space="0" w:color="808080"/>
                    <w:right w:val="inset" w:sz="6" w:space="0" w:color="808080"/>
                  </w:tcBorders>
                  <w:noWrap w:val="0"/>
                  <w:tcMar>
                    <w:top w:w="22" w:type="dxa"/>
                    <w:left w:w="25" w:type="dxa"/>
                    <w:bottom w:w="25" w:type="dxa"/>
                    <w:right w:w="22" w:type="dxa"/>
                  </w:tcMar>
                  <w:vAlign w:val="bottom"/>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550" w:type="pct"/>
                  <w:tcBorders>
                    <w:top w:val="inset" w:sz="6" w:space="0" w:color="808080"/>
                    <w:left w:val="inset" w:sz="6" w:space="0" w:color="808080"/>
                    <w:right w:val="inset" w:sz="6" w:space="0" w:color="808080"/>
                  </w:tcBorders>
                  <w:noWrap w:val="0"/>
                  <w:tcMar>
                    <w:top w:w="22" w:type="dxa"/>
                    <w:left w:w="22" w:type="dxa"/>
                    <w:bottom w:w="25" w:type="dxa"/>
                    <w:right w:w="22" w:type="dxa"/>
                  </w:tcMar>
                  <w:vAlign w:val="bottom"/>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1643" w:type="pct"/>
                  <w:gridSpan w:val="3"/>
                  <w:tcBorders>
                    <w:top w:val="inset" w:sz="6" w:space="0" w:color="808080"/>
                    <w:left w:val="inset" w:sz="6" w:space="0" w:color="808080"/>
                    <w:right w:val="inset" w:sz="6" w:space="0" w:color="808080"/>
                  </w:tcBorders>
                  <w:noWrap w:val="0"/>
                  <w:tcMar>
                    <w:top w:w="22" w:type="dxa"/>
                    <w:left w:w="22" w:type="dxa"/>
                    <w:bottom w:w="25"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55.1%</w:t>
                  </w:r>
                </w:p>
              </w:tc>
              <w:tc>
                <w:tcPr>
                  <w:tcW w:w="2262" w:type="pct"/>
                  <w:gridSpan w:val="4"/>
                  <w:tcBorders>
                    <w:top w:val="inset" w:sz="6" w:space="0" w:color="808080"/>
                    <w:left w:val="inset" w:sz="6" w:space="0" w:color="808080"/>
                  </w:tcBorders>
                  <w:noWrap w:val="0"/>
                  <w:tcMar>
                    <w:top w:w="22" w:type="dxa"/>
                    <w:left w:w="22" w:type="dxa"/>
                    <w:bottom w:w="25"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44.9%</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Разпределението между отделните приоритети в рамките на EURI остава непроменено спрямо последното одобрено изменение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Прехвърляне на средства между фокус области и извеждане на средства от подмярка 4.1 в подмярка 4.2, вкл. във връзка с договарянето на средствата по линия на ЕУРИ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Подмярка 4.1 „Инвестиции в земеделски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Прилагането на подмярката стартира през 2015 г., като </w:t>
            </w:r>
            <w:r>
              <w:rPr>
                <w:rFonts w:ascii="Times New Roman" w:eastAsia="Times New Roman" w:hAnsi="Times New Roman" w:cs="Times New Roman"/>
                <w:b/>
                <w:bCs/>
                <w:szCs w:val="24"/>
              </w:rPr>
              <w:t>първият период на прием</w:t>
            </w:r>
            <w:r>
              <w:rPr>
                <w:rFonts w:ascii="Times New Roman" w:eastAsia="Times New Roman" w:hAnsi="Times New Roman" w:cs="Times New Roman"/>
                <w:szCs w:val="24"/>
              </w:rPr>
              <w:t xml:space="preserve"> е определен още преди официалното одобрение на ПРСР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Приемът е проведен в периода от 14.04.2015 г. - 08.06.2015 г. с първоначален бюджет от 150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рамките на приема са постъпили над 3 300 заявления за подпомагане с размер на заявените публични средства (финансова помощ) 630,19 млн. евро. Тези данни показват </w:t>
            </w:r>
            <w:r>
              <w:rPr>
                <w:rFonts w:ascii="Times New Roman" w:eastAsia="Times New Roman" w:hAnsi="Times New Roman" w:cs="Times New Roman"/>
                <w:b/>
                <w:bCs/>
                <w:szCs w:val="24"/>
              </w:rPr>
              <w:t>силен интерес от страна на кандидатите - 4 пъти по–висок</w:t>
            </w:r>
            <w:r>
              <w:rPr>
                <w:rFonts w:ascii="Times New Roman" w:eastAsia="Times New Roman" w:hAnsi="Times New Roman" w:cs="Times New Roman"/>
                <w:szCs w:val="24"/>
              </w:rPr>
              <w:t xml:space="preserve"> от определения за приема бюджет. Подобни данни на заявен свръх-интерес към възможностите за подпомагане се наблюдава и по други мерки от ПРСР2014-2020.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приема са издадени две допълнителни заповеди за увеличаване на първоначално определения бюджет. Първата заповед е издадена през май 2016 г. и има за цел да осигури допълнително финансиране в размер на 14,85 млн. евро за проектните предложения, получили не по-малко от 39 точки по критериите за подбор. С втората заповед, издадена през октомври 2016 г., се включват допълнителни 49,46 млн. евро към вече увеличения бюджет.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2016 г. е определен </w:t>
            </w:r>
            <w:r>
              <w:rPr>
                <w:rFonts w:ascii="Times New Roman" w:eastAsia="Times New Roman" w:hAnsi="Times New Roman" w:cs="Times New Roman"/>
                <w:b/>
                <w:bCs/>
                <w:szCs w:val="24"/>
              </w:rPr>
              <w:t>втори период на прием</w:t>
            </w:r>
            <w:r>
              <w:rPr>
                <w:rFonts w:ascii="Times New Roman" w:eastAsia="Times New Roman" w:hAnsi="Times New Roman" w:cs="Times New Roman"/>
                <w:szCs w:val="24"/>
              </w:rPr>
              <w:t xml:space="preserve"> 14.10.2016 г. – 07.12.2016 г. по подмярка 4.1, като част от условията по подмярката са променени на база изготвен анализ на резултатите от предходния прием. Като най-съществени промени за втория прием, спрямо този през 2015 г., могат да бъдат посочени намаляването на максималния размер на разходите за едно проектно предложение, промяна в предоставяния интензитет на финансова помощ, прецизиране и добавяне на нови критерии за оценка, както и включване на инвестициите за напояване в рамките на земеделските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Подадените през 2016 г. заявления са над 2 900, с размер на заявената публична помощ от 717,6 млн. евро при разполагаем бюджет за приема от 237 млн. евро., което отново </w:t>
            </w:r>
            <w:r>
              <w:rPr>
                <w:rFonts w:ascii="Times New Roman" w:eastAsia="Times New Roman" w:hAnsi="Times New Roman" w:cs="Times New Roman"/>
                <w:b/>
                <w:bCs/>
                <w:szCs w:val="24"/>
              </w:rPr>
              <w:t>показва тенденция от три пъти по–висок интерес</w:t>
            </w:r>
            <w:r>
              <w:rPr>
                <w:rFonts w:ascii="Times New Roman" w:eastAsia="Times New Roman" w:hAnsi="Times New Roman" w:cs="Times New Roman"/>
                <w:szCs w:val="24"/>
              </w:rPr>
              <w:t xml:space="preserve"> спрямо определения бюджет за приема.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2020 г. по електронен път чрез системата „ИСУН 2020“ е осъществен </w:t>
            </w:r>
            <w:r>
              <w:rPr>
                <w:rFonts w:ascii="Times New Roman" w:eastAsia="Times New Roman" w:hAnsi="Times New Roman" w:cs="Times New Roman"/>
                <w:b/>
                <w:bCs/>
                <w:szCs w:val="24"/>
              </w:rPr>
              <w:t>трети период на прием,</w:t>
            </w:r>
            <w:r>
              <w:rPr>
                <w:rFonts w:ascii="Times New Roman" w:eastAsia="Times New Roman" w:hAnsi="Times New Roman" w:cs="Times New Roman"/>
                <w:szCs w:val="24"/>
              </w:rPr>
              <w:t xml:space="preserve"> който е целеви за земеделски стопани в сектор „Животновъдство“ по подмярка 4.1 „Инвестиции в земеделски стопанства“. В рамките на приема, който приключва на 30.09.2020 г., по данни от ИСУН 2020, са постъпили 689 проектни предложения със заявен размер на безвъзмездна финансова помощ, възлизащ на 75,53 млн. евро, като общият размер на безвъзмездната финансова помощ определен за третия прием възлиза на 30,00 млн. евро общо публични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2021 г. по електронен път чрез системата „ИСУН 2020“ е осъществен </w:t>
            </w:r>
            <w:r>
              <w:rPr>
                <w:rFonts w:ascii="Times New Roman" w:eastAsia="Times New Roman" w:hAnsi="Times New Roman" w:cs="Times New Roman"/>
                <w:b/>
                <w:bCs/>
                <w:szCs w:val="24"/>
              </w:rPr>
              <w:t>четвърти период на прием,</w:t>
            </w:r>
            <w:r>
              <w:rPr>
                <w:rFonts w:ascii="Times New Roman" w:eastAsia="Times New Roman" w:hAnsi="Times New Roman" w:cs="Times New Roman"/>
                <w:szCs w:val="24"/>
              </w:rPr>
              <w:t xml:space="preserve"> който е с първоначален бюджет от 215 880 000 евро публични средства. Постъпилите заявления са за над 400 милиона евро публични средства. След няколко увеличения с общ размер 62 294 934 евро публични средства, договорените към момента средства са в размер на 269 318 238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Предвид големия интерес към мярката, през 2024 г. също по електронен път чрез системата „ИСУН 2020“ е осъществен </w:t>
            </w:r>
            <w:r>
              <w:rPr>
                <w:rFonts w:ascii="Times New Roman" w:eastAsia="Times New Roman" w:hAnsi="Times New Roman" w:cs="Times New Roman"/>
                <w:b/>
                <w:bCs/>
                <w:szCs w:val="24"/>
              </w:rPr>
              <w:t>пети период на прием,</w:t>
            </w:r>
            <w:r>
              <w:rPr>
                <w:rFonts w:ascii="Times New Roman" w:eastAsia="Times New Roman" w:hAnsi="Times New Roman" w:cs="Times New Roman"/>
                <w:szCs w:val="24"/>
              </w:rPr>
              <w:t xml:space="preserve"> който е 50 000 000 евро публични средства. Постъпилите заявления са в размер на едва 31 542 477 евро публични средства, което осигурява остатък от почти 19 млн. евро само от разпределените средства за този прием.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4.2. Подмярка 4.2 „Инвестиции в преработка/маркетинг на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4.2 „Инвестиции в преработка/маркетинг на селскостопански продукти“ Подмярката има за цел подобряване на цялостната дейност, икономическата ефективност и конкурентоспособността на предприятия от хранително-преработвателната промишленост.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Подкрепените проекти следва да допринесат за постигане на ефект по отношение изпълнението на:</w:t>
            </w:r>
          </w:p>
          <w:p>
            <w:pPr>
              <w:numPr>
                <w:ilvl w:val="0"/>
                <w:numId w:val="2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p>
          <w:p>
            <w:pPr>
              <w:numPr>
                <w:ilvl w:val="0"/>
                <w:numId w:val="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Област с поставен акцент 3А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ilvl w:val="0"/>
                <w:numId w:val="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p>
          <w:p>
            <w:pPr>
              <w:numPr>
                <w:ilvl w:val="0"/>
                <w:numId w:val="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Област с поставен акцент 5В „Повишаване на ефективността при потреблението на енергия в селското стопанство и хранително-вкусовата промишленост“;</w:t>
            </w:r>
          </w:p>
          <w:p>
            <w:pPr>
              <w:numPr>
                <w:ilvl w:val="0"/>
                <w:numId w:val="2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Област с поставен акцент 5С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стартира още през 2015 г. с прием на заявления, вторият е проведен през 2018 г., а за периода 2021 г. – 2022 г. са организирани още два приема за подбор на проектни предложения, в които е включен целият наличен индикативен бюджет на подмярката.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01.03.2025 г. постъпилите проекти са с обща стойност на исканата субсидия над 1 млрд. евро публични средства, което е индикация за изключително висок интерес от страна на потенциалните бенефициенти.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Със Заповед № РД09-771 от 11.07.2024 г. на ръководителя на Управляващия орган на Програма за развитие на селските райони за периода 2014 – 2020 г. е обявен прием по процедура за подбор № BG06RDNP001-4.018 „Целеви прием за инвестиции и дейности, осигуряващи опазване на компонентите на околната среда, включително ВЕИ“ по подмярка 4.2. „Инвестиции в преработка/маркетинг на селскостопански продукти“ от мярка 4 „Инвестиции в материални активи“ от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Приемът на проектни предложения, проведен в периода 11.07.2024 г. – 11.10.2024 г. е с общ бюджет 27 000 000 евро публични средства. В периода на приема са постъпили 210 проектни предложения с обща стойност на заявените публични средства в размер на 47 095 847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Държавен фонд „Земеделие“ (ДФЗ) извърши предварителна оценка на постъпилите проектни предложения. Едно проектно предложение беше оттеглено, а 162 проектни предложения преминаха на последващ етап за обработка по процедурата – Оценка на административно съответствие и допустимост. Останалите проектни предложения към момента не са разглеждани, поради недостатъчен бюджет по процедурата.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Освен средствата по линия на EURI</w:t>
            </w:r>
            <w:r>
              <w:rPr>
                <w:rFonts w:ascii="Times New Roman" w:eastAsia="Times New Roman" w:hAnsi="Times New Roman" w:cs="Times New Roman"/>
                <w:szCs w:val="24"/>
              </w:rPr>
              <w:t>, наличие на свободен финансов ресурс, който да бъде прехвърлен между фокус области между подмерки 4.1 и 4.2 за финансиране на проектни предложения би могъл да бъде оползотворен след одобрение от службите на ЕК – не на последно място и поради различния процент на финансиране от ЕЗФРСР на Приоритети 2 и 3, спрямо Приоритети 4 и 5 (съответно 85% и 75% участие на ЕЗФРСР).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Осигуряването на допълнителен финансов ресурс в размер на до 20 млн. евро по процедура за подбор № BG06RDNP001-4.018 „Целеви прием за инвестиции и дейности, осигуряващи опазване на компонентите на околната среда, включително ВЕИ“ по подмярка 4.2 ще предостави възможност за сключването на договори с всички  кандидати, чиито проектни предложения са получили изискуемият брой точки по критериите за подбор (мин. 10) и същите отговарят на условията и изискванията за предоставяне на финансова помощ, съгласно Условията за кандидатстване по процедурата.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резултат на подпомогнатите допълнителни проектни предложения се очаква да бъде постигнат значителен екологичен ефект от производството в страната и инвестиции, свързани с намаляване на вредните емисии при използване на технологии за производство на топлинна енергия и на енергия от възобновяеми енергийни източници.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След направен анализ, включително на остатъците по М4.1, освободени от приемите досега, </w:t>
            </w:r>
            <w:r>
              <w:rPr>
                <w:rFonts w:ascii="Times New Roman" w:eastAsia="Times New Roman" w:hAnsi="Times New Roman" w:cs="Times New Roman"/>
                <w:b/>
                <w:bCs/>
                <w:szCs w:val="24"/>
              </w:rPr>
              <w:t>с цел одобрение на по-голям брой заявления с равен брой точки</w:t>
            </w:r>
            <w:r>
              <w:rPr>
                <w:rFonts w:ascii="Times New Roman" w:eastAsia="Times New Roman" w:hAnsi="Times New Roman" w:cs="Times New Roman"/>
                <w:szCs w:val="24"/>
              </w:rPr>
              <w:t>, УО счита, че част от тях може да бъдат прехвърлени към подмярка 4.2, а друга част – преразпределени вътре в рамките на подмярката, и изведени извън нея с цел адресиране на сумите съгласно изискванията на чл. 38 от Регламент 1306/2013.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Общо за Мярка 4, предлаганите изменения изцяло съобразени с изискванията на чл. 59, ал. 6 от Регламент 1305/2013, като основно предложените е за разместване на средства в рамките на обхвата на чл. 59, ал. 6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Таблица 7,</w:t>
            </w:r>
            <w:r>
              <w:rPr>
                <w:rFonts w:ascii="Times New Roman" w:eastAsia="Times New Roman" w:hAnsi="Times New Roman" w:cs="Times New Roman"/>
                <w:szCs w:val="24"/>
              </w:rPr>
              <w:t xml:space="preserve"> състояние на Мярка 4 към текущото 17то изменение - сумите са в евро, публични средства:</w:t>
            </w:r>
          </w:p>
          <w:tbl>
            <w:tblPr>
              <w:tblStyle w:val="Table"/>
              <w:tblW w:w="9761"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661"/>
              <w:gridCol w:w="1365"/>
              <w:gridCol w:w="696"/>
              <w:gridCol w:w="940"/>
              <w:gridCol w:w="696"/>
              <w:gridCol w:w="940"/>
              <w:gridCol w:w="939"/>
              <w:gridCol w:w="940"/>
              <w:gridCol w:w="939"/>
              <w:gridCol w:w="519"/>
              <w:gridCol w:w="1087"/>
            </w:tblGrid>
            <w:tr>
              <w:tblPrEx>
                <w:tblW w:w="9761"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210"/>
              </w:trPr>
              <w:tc>
                <w:tcPr>
                  <w:tcW w:w="1890" w:type="dxa"/>
                  <w:gridSpan w:val="2"/>
                  <w:tcBorders>
                    <w:bottom w:val="inset" w:sz="6" w:space="0" w:color="808080"/>
                    <w:right w:val="inset" w:sz="6" w:space="0" w:color="808080"/>
                  </w:tcBorders>
                  <w:shd w:val="clear" w:color="auto" w:fill="EBF1DE"/>
                  <w:noWrap w:val="0"/>
                  <w:tcMar>
                    <w:top w:w="25"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Подмярка</w:t>
                  </w:r>
                </w:p>
              </w:tc>
              <w:tc>
                <w:tcPr>
                  <w:tcW w:w="1037" w:type="dxa"/>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2A</w:t>
                  </w:r>
                </w:p>
              </w:tc>
              <w:tc>
                <w:tcPr>
                  <w:tcW w:w="896" w:type="dxa"/>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2Б</w:t>
                  </w:r>
                </w:p>
              </w:tc>
              <w:tc>
                <w:tcPr>
                  <w:tcW w:w="1037" w:type="dxa"/>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3А</w:t>
                  </w:r>
                </w:p>
              </w:tc>
              <w:tc>
                <w:tcPr>
                  <w:tcW w:w="896" w:type="dxa"/>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А, Б, В</w:t>
                  </w:r>
                </w:p>
              </w:tc>
              <w:tc>
                <w:tcPr>
                  <w:tcW w:w="895" w:type="dxa"/>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5А</w:t>
                  </w:r>
                </w:p>
              </w:tc>
              <w:tc>
                <w:tcPr>
                  <w:tcW w:w="896" w:type="dxa"/>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5Б</w:t>
                  </w:r>
                </w:p>
              </w:tc>
              <w:tc>
                <w:tcPr>
                  <w:tcW w:w="895" w:type="dxa"/>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5В</w:t>
                  </w:r>
                </w:p>
              </w:tc>
              <w:tc>
                <w:tcPr>
                  <w:tcW w:w="754" w:type="dxa"/>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5Г</w:t>
                  </w:r>
                </w:p>
              </w:tc>
              <w:tc>
                <w:tcPr>
                  <w:tcW w:w="1040" w:type="dxa"/>
                  <w:tcBorders>
                    <w:left w:val="inset" w:sz="6" w:space="0" w:color="808080"/>
                    <w:bottom w:val="inset" w:sz="6" w:space="0" w:color="808080"/>
                  </w:tcBorders>
                  <w:shd w:val="clear" w:color="auto" w:fill="EBF1DE"/>
                  <w:noWrap w:val="0"/>
                  <w:tcMar>
                    <w:top w:w="25"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Общо</w:t>
                  </w:r>
                </w:p>
              </w:tc>
            </w:tr>
            <w:tr>
              <w:tblPrEx>
                <w:tblW w:w="9761" w:type="dxa"/>
                <w:tblCellMar>
                  <w:top w:w="15" w:type="dxa"/>
                  <w:left w:w="15" w:type="dxa"/>
                  <w:bottom w:w="15" w:type="dxa"/>
                  <w:right w:w="15" w:type="dxa"/>
                </w:tblCellMar>
                <w:tblLook w:val="05E0"/>
              </w:tblPrEx>
              <w:trPr>
                <w:trHeight w:val="210"/>
              </w:trPr>
              <w:tc>
                <w:tcPr>
                  <w:tcW w:w="614" w:type="dxa"/>
                  <w:tcBorders>
                    <w:top w:val="inset" w:sz="6" w:space="0" w:color="808080"/>
                    <w:bottom w:val="inset" w:sz="6" w:space="0" w:color="808080"/>
                    <w:right w:val="inset" w:sz="6" w:space="0" w:color="808080"/>
                  </w:tcBorders>
                  <w:shd w:val="clear" w:color="auto" w:fill="EBF1DE"/>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4.1</w:t>
                  </w:r>
                </w:p>
              </w:tc>
              <w:tc>
                <w:tcPr>
                  <w:tcW w:w="1321"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Общо публични</w:t>
                  </w:r>
                </w:p>
              </w:tc>
              <w:tc>
                <w:tcPr>
                  <w:tcW w:w="1037"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417 040 825</w:t>
                  </w:r>
                </w:p>
              </w:tc>
              <w:tc>
                <w:tcPr>
                  <w:tcW w:w="896"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83 179 298</w:t>
                  </w:r>
                </w:p>
              </w:tc>
              <w:tc>
                <w:tcPr>
                  <w:tcW w:w="1037"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896"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50 518 987</w:t>
                  </w:r>
                </w:p>
              </w:tc>
              <w:tc>
                <w:tcPr>
                  <w:tcW w:w="895"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77 491 225</w:t>
                  </w:r>
                </w:p>
              </w:tc>
              <w:tc>
                <w:tcPr>
                  <w:tcW w:w="896"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85 342 486</w:t>
                  </w:r>
                </w:p>
              </w:tc>
              <w:tc>
                <w:tcPr>
                  <w:tcW w:w="895"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1 841 489</w:t>
                  </w:r>
                </w:p>
              </w:tc>
              <w:tc>
                <w:tcPr>
                  <w:tcW w:w="754"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773 326</w:t>
                  </w:r>
                </w:p>
              </w:tc>
              <w:tc>
                <w:tcPr>
                  <w:tcW w:w="1040" w:type="dxa"/>
                  <w:tcBorders>
                    <w:top w:val="inset" w:sz="6" w:space="0" w:color="808080"/>
                    <w:left w:val="inset" w:sz="6" w:space="0" w:color="808080"/>
                    <w:bottom w:val="inset" w:sz="6" w:space="0" w:color="808080"/>
                  </w:tcBorders>
                  <w:shd w:val="clear" w:color="auto" w:fill="EBF1DE"/>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716 187 638</w:t>
                  </w:r>
                </w:p>
              </w:tc>
            </w:tr>
            <w:tr>
              <w:tblPrEx>
                <w:tblW w:w="9761" w:type="dxa"/>
                <w:tblCellMar>
                  <w:top w:w="15" w:type="dxa"/>
                  <w:left w:w="15" w:type="dxa"/>
                  <w:bottom w:w="15" w:type="dxa"/>
                  <w:right w:w="15" w:type="dxa"/>
                </w:tblCellMar>
                <w:tblLook w:val="05E0"/>
              </w:tblPrEx>
              <w:trPr>
                <w:trHeight w:val="210"/>
              </w:trPr>
              <w:tc>
                <w:tcPr>
                  <w:tcW w:w="6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4.1.2</w:t>
                  </w:r>
                </w:p>
              </w:tc>
              <w:tc>
                <w:tcPr>
                  <w:tcW w:w="132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Общо публични</w:t>
                  </w:r>
                </w:p>
              </w:tc>
              <w:tc>
                <w:tcPr>
                  <w:tcW w:w="103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2 769 349</w:t>
                  </w:r>
                </w:p>
              </w:tc>
              <w:tc>
                <w:tcPr>
                  <w:tcW w:w="89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103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89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89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89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89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75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104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2 769 349</w:t>
                  </w:r>
                </w:p>
              </w:tc>
            </w:tr>
            <w:tr>
              <w:tblPrEx>
                <w:tblW w:w="9761" w:type="dxa"/>
                <w:tblCellMar>
                  <w:top w:w="15" w:type="dxa"/>
                  <w:left w:w="15" w:type="dxa"/>
                  <w:bottom w:w="15" w:type="dxa"/>
                  <w:right w:w="15" w:type="dxa"/>
                </w:tblCellMar>
                <w:tblLook w:val="05E0"/>
              </w:tblPrEx>
              <w:trPr>
                <w:trHeight w:val="210"/>
              </w:trPr>
              <w:tc>
                <w:tcPr>
                  <w:tcW w:w="614" w:type="dxa"/>
                  <w:tcBorders>
                    <w:top w:val="inset" w:sz="6" w:space="0" w:color="808080"/>
                    <w:bottom w:val="inset" w:sz="6" w:space="0" w:color="808080"/>
                    <w:right w:val="inset" w:sz="6" w:space="0" w:color="808080"/>
                  </w:tcBorders>
                  <w:shd w:val="clear" w:color="auto" w:fill="EBF1DE"/>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4.2</w:t>
                  </w:r>
                </w:p>
              </w:tc>
              <w:tc>
                <w:tcPr>
                  <w:tcW w:w="1321"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Общо публични</w:t>
                  </w:r>
                </w:p>
              </w:tc>
              <w:tc>
                <w:tcPr>
                  <w:tcW w:w="1037"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896"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1037"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384 989 275</w:t>
                  </w:r>
                </w:p>
              </w:tc>
              <w:tc>
                <w:tcPr>
                  <w:tcW w:w="896"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895"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896"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81 389 965</w:t>
                  </w:r>
                </w:p>
              </w:tc>
              <w:tc>
                <w:tcPr>
                  <w:tcW w:w="895"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47 446 509</w:t>
                  </w:r>
                </w:p>
              </w:tc>
              <w:tc>
                <w:tcPr>
                  <w:tcW w:w="754"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1040" w:type="dxa"/>
                  <w:tcBorders>
                    <w:top w:val="inset" w:sz="6" w:space="0" w:color="808080"/>
                    <w:left w:val="inset" w:sz="6" w:space="0" w:color="808080"/>
                    <w:bottom w:val="inset" w:sz="6" w:space="0" w:color="808080"/>
                  </w:tcBorders>
                  <w:shd w:val="clear" w:color="auto" w:fill="EBF1DE"/>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513 825 749</w:t>
                  </w:r>
                </w:p>
              </w:tc>
            </w:tr>
            <w:tr>
              <w:tblPrEx>
                <w:tblW w:w="9761" w:type="dxa"/>
                <w:tblCellMar>
                  <w:top w:w="15" w:type="dxa"/>
                  <w:left w:w="15" w:type="dxa"/>
                  <w:bottom w:w="15" w:type="dxa"/>
                  <w:right w:w="15" w:type="dxa"/>
                </w:tblCellMar>
                <w:tblLook w:val="05E0"/>
              </w:tblPrEx>
              <w:trPr>
                <w:trHeight w:val="210"/>
              </w:trPr>
              <w:tc>
                <w:tcPr>
                  <w:tcW w:w="6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4.2.2</w:t>
                  </w:r>
                </w:p>
              </w:tc>
              <w:tc>
                <w:tcPr>
                  <w:tcW w:w="132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Общо публични</w:t>
                  </w:r>
                </w:p>
              </w:tc>
              <w:tc>
                <w:tcPr>
                  <w:tcW w:w="103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89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103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200 000</w:t>
                  </w:r>
                </w:p>
              </w:tc>
              <w:tc>
                <w:tcPr>
                  <w:tcW w:w="89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89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89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89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75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104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200 000</w:t>
                  </w:r>
                </w:p>
              </w:tc>
            </w:tr>
            <w:tr>
              <w:tblPrEx>
                <w:tblW w:w="9761" w:type="dxa"/>
                <w:tblCellMar>
                  <w:top w:w="15" w:type="dxa"/>
                  <w:left w:w="15" w:type="dxa"/>
                  <w:bottom w:w="15" w:type="dxa"/>
                  <w:right w:w="15" w:type="dxa"/>
                </w:tblCellMar>
                <w:tblLook w:val="05E0"/>
              </w:tblPrEx>
              <w:trPr>
                <w:trHeight w:val="210"/>
              </w:trPr>
              <w:tc>
                <w:tcPr>
                  <w:tcW w:w="614" w:type="dxa"/>
                  <w:tcBorders>
                    <w:top w:val="inset" w:sz="6" w:space="0" w:color="808080"/>
                    <w:bottom w:val="inset" w:sz="6" w:space="0" w:color="808080"/>
                    <w:right w:val="inset" w:sz="6" w:space="0" w:color="808080"/>
                  </w:tcBorders>
                  <w:shd w:val="clear" w:color="auto" w:fill="EBF1DE"/>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4.3</w:t>
                  </w:r>
                </w:p>
              </w:tc>
              <w:tc>
                <w:tcPr>
                  <w:tcW w:w="1321"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Общо публични</w:t>
                  </w:r>
                </w:p>
              </w:tc>
              <w:tc>
                <w:tcPr>
                  <w:tcW w:w="1037"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896"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1037"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896"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895"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61 665 860</w:t>
                  </w:r>
                </w:p>
              </w:tc>
              <w:tc>
                <w:tcPr>
                  <w:tcW w:w="896"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895"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754"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1040" w:type="dxa"/>
                  <w:tcBorders>
                    <w:top w:val="inset" w:sz="6" w:space="0" w:color="808080"/>
                    <w:left w:val="inset" w:sz="6" w:space="0" w:color="808080"/>
                    <w:bottom w:val="inset" w:sz="6" w:space="0" w:color="808080"/>
                  </w:tcBorders>
                  <w:shd w:val="clear" w:color="auto" w:fill="EBF1DE"/>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61 665 860</w:t>
                  </w:r>
                </w:p>
              </w:tc>
            </w:tr>
            <w:tr>
              <w:tblPrEx>
                <w:tblW w:w="9761" w:type="dxa"/>
                <w:tblCellMar>
                  <w:top w:w="15" w:type="dxa"/>
                  <w:left w:w="15" w:type="dxa"/>
                  <w:bottom w:w="15" w:type="dxa"/>
                  <w:right w:w="15" w:type="dxa"/>
                </w:tblCellMar>
                <w:tblLook w:val="05E0"/>
              </w:tblPrEx>
              <w:trPr>
                <w:trHeight w:val="210"/>
              </w:trPr>
              <w:tc>
                <w:tcPr>
                  <w:tcW w:w="614" w:type="dxa"/>
                  <w:tcBorders>
                    <w:top w:val="inset" w:sz="6" w:space="0" w:color="808080"/>
                    <w:right w:val="inset" w:sz="6" w:space="0" w:color="808080"/>
                  </w:tcBorders>
                  <w:shd w:val="clear" w:color="auto" w:fill="FDE9D9"/>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1321" w:type="dxa"/>
                  <w:tcBorders>
                    <w:top w:val="inset" w:sz="6" w:space="0" w:color="808080"/>
                    <w:left w:val="inset" w:sz="6" w:space="0" w:color="808080"/>
                    <w:right w:val="inset" w:sz="6" w:space="0" w:color="808080"/>
                  </w:tcBorders>
                  <w:shd w:val="clear" w:color="auto" w:fill="FDE9D9"/>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Финансов инструмент</w:t>
                  </w:r>
                </w:p>
              </w:tc>
              <w:tc>
                <w:tcPr>
                  <w:tcW w:w="1037" w:type="dxa"/>
                  <w:tcBorders>
                    <w:top w:val="inset" w:sz="6" w:space="0" w:color="808080"/>
                    <w:left w:val="inset" w:sz="6" w:space="0" w:color="808080"/>
                    <w:right w:val="inset" w:sz="6" w:space="0" w:color="808080"/>
                  </w:tcBorders>
                  <w:shd w:val="clear" w:color="auto" w:fill="FDE9D9"/>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592 724</w:t>
                  </w:r>
                </w:p>
              </w:tc>
              <w:tc>
                <w:tcPr>
                  <w:tcW w:w="896" w:type="dxa"/>
                  <w:tcBorders>
                    <w:top w:val="inset" w:sz="6" w:space="0" w:color="808080"/>
                    <w:left w:val="inset" w:sz="6" w:space="0" w:color="808080"/>
                    <w:right w:val="inset" w:sz="6" w:space="0" w:color="808080"/>
                  </w:tcBorders>
                  <w:shd w:val="clear" w:color="auto" w:fill="FDE9D9"/>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1037" w:type="dxa"/>
                  <w:tcBorders>
                    <w:top w:val="inset" w:sz="6" w:space="0" w:color="808080"/>
                    <w:left w:val="inset" w:sz="6" w:space="0" w:color="808080"/>
                    <w:right w:val="inset" w:sz="6" w:space="0" w:color="808080"/>
                  </w:tcBorders>
                  <w:shd w:val="clear" w:color="auto" w:fill="FDE9D9"/>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896" w:type="dxa"/>
                  <w:tcBorders>
                    <w:top w:val="inset" w:sz="6" w:space="0" w:color="808080"/>
                    <w:left w:val="inset" w:sz="6" w:space="0" w:color="808080"/>
                    <w:right w:val="inset" w:sz="6" w:space="0" w:color="808080"/>
                  </w:tcBorders>
                  <w:shd w:val="clear" w:color="auto" w:fill="FDE9D9"/>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895" w:type="dxa"/>
                  <w:tcBorders>
                    <w:top w:val="inset" w:sz="6" w:space="0" w:color="808080"/>
                    <w:left w:val="inset" w:sz="6" w:space="0" w:color="808080"/>
                    <w:right w:val="inset" w:sz="6" w:space="0" w:color="808080"/>
                  </w:tcBorders>
                  <w:shd w:val="clear" w:color="auto" w:fill="FDE9D9"/>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896" w:type="dxa"/>
                  <w:tcBorders>
                    <w:top w:val="inset" w:sz="6" w:space="0" w:color="808080"/>
                    <w:left w:val="inset" w:sz="6" w:space="0" w:color="808080"/>
                    <w:right w:val="inset" w:sz="6" w:space="0" w:color="808080"/>
                  </w:tcBorders>
                  <w:shd w:val="clear" w:color="auto" w:fill="FDE9D9"/>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895" w:type="dxa"/>
                  <w:tcBorders>
                    <w:top w:val="inset" w:sz="6" w:space="0" w:color="808080"/>
                    <w:left w:val="inset" w:sz="6" w:space="0" w:color="808080"/>
                    <w:right w:val="inset" w:sz="6" w:space="0" w:color="808080"/>
                  </w:tcBorders>
                  <w:shd w:val="clear" w:color="auto" w:fill="FDE9D9"/>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754" w:type="dxa"/>
                  <w:tcBorders>
                    <w:top w:val="inset" w:sz="6" w:space="0" w:color="808080"/>
                    <w:left w:val="inset" w:sz="6" w:space="0" w:color="808080"/>
                    <w:right w:val="inset" w:sz="6" w:space="0" w:color="808080"/>
                  </w:tcBorders>
                  <w:shd w:val="clear" w:color="auto" w:fill="FDE9D9"/>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1040" w:type="dxa"/>
                  <w:tcBorders>
                    <w:top w:val="inset" w:sz="6" w:space="0" w:color="808080"/>
                    <w:left w:val="inset" w:sz="6" w:space="0" w:color="808080"/>
                  </w:tcBorders>
                  <w:shd w:val="clear" w:color="auto" w:fill="FDE9D9"/>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592 724</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Таблица 8,</w:t>
            </w:r>
            <w:r>
              <w:rPr>
                <w:rFonts w:ascii="Times New Roman" w:eastAsia="Times New Roman" w:hAnsi="Times New Roman" w:cs="Times New Roman"/>
                <w:szCs w:val="24"/>
              </w:rPr>
              <w:t xml:space="preserve"> състояние на Мярка 4 след предложенията за преразпределяне на средства в 18-то изменение -сумите са в евро, публични средства:</w:t>
            </w:r>
          </w:p>
          <w:tbl>
            <w:tblPr>
              <w:tblStyle w:val="Table"/>
              <w:tblW w:w="9761"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661"/>
              <w:gridCol w:w="1365"/>
              <w:gridCol w:w="696"/>
              <w:gridCol w:w="940"/>
              <w:gridCol w:w="696"/>
              <w:gridCol w:w="940"/>
              <w:gridCol w:w="939"/>
              <w:gridCol w:w="940"/>
              <w:gridCol w:w="939"/>
              <w:gridCol w:w="519"/>
              <w:gridCol w:w="1087"/>
            </w:tblGrid>
            <w:tr>
              <w:tblPrEx>
                <w:tblW w:w="9761"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210"/>
              </w:trPr>
              <w:tc>
                <w:tcPr>
                  <w:tcW w:w="1890" w:type="dxa"/>
                  <w:gridSpan w:val="2"/>
                  <w:tcBorders>
                    <w:bottom w:val="inset" w:sz="6" w:space="0" w:color="808080"/>
                    <w:right w:val="inset" w:sz="6" w:space="0" w:color="808080"/>
                  </w:tcBorders>
                  <w:shd w:val="clear" w:color="auto" w:fill="EBF1DE"/>
                  <w:noWrap w:val="0"/>
                  <w:tcMar>
                    <w:top w:w="25"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Подмярка</w:t>
                  </w:r>
                </w:p>
              </w:tc>
              <w:tc>
                <w:tcPr>
                  <w:tcW w:w="1037" w:type="dxa"/>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2A</w:t>
                  </w:r>
                </w:p>
              </w:tc>
              <w:tc>
                <w:tcPr>
                  <w:tcW w:w="896" w:type="dxa"/>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2Б</w:t>
                  </w:r>
                </w:p>
              </w:tc>
              <w:tc>
                <w:tcPr>
                  <w:tcW w:w="1037" w:type="dxa"/>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3А</w:t>
                  </w:r>
                </w:p>
              </w:tc>
              <w:tc>
                <w:tcPr>
                  <w:tcW w:w="896" w:type="dxa"/>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А, Б, В</w:t>
                  </w:r>
                </w:p>
              </w:tc>
              <w:tc>
                <w:tcPr>
                  <w:tcW w:w="895" w:type="dxa"/>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5А</w:t>
                  </w:r>
                </w:p>
              </w:tc>
              <w:tc>
                <w:tcPr>
                  <w:tcW w:w="896" w:type="dxa"/>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5Б</w:t>
                  </w:r>
                </w:p>
              </w:tc>
              <w:tc>
                <w:tcPr>
                  <w:tcW w:w="895" w:type="dxa"/>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5В</w:t>
                  </w:r>
                </w:p>
              </w:tc>
              <w:tc>
                <w:tcPr>
                  <w:tcW w:w="754" w:type="dxa"/>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5Г</w:t>
                  </w:r>
                </w:p>
              </w:tc>
              <w:tc>
                <w:tcPr>
                  <w:tcW w:w="1040" w:type="dxa"/>
                  <w:tcBorders>
                    <w:left w:val="inset" w:sz="6" w:space="0" w:color="808080"/>
                    <w:bottom w:val="inset" w:sz="6" w:space="0" w:color="808080"/>
                  </w:tcBorders>
                  <w:shd w:val="clear" w:color="auto" w:fill="EBF1DE"/>
                  <w:noWrap w:val="0"/>
                  <w:tcMar>
                    <w:top w:w="25"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Общо</w:t>
                  </w:r>
                </w:p>
              </w:tc>
            </w:tr>
            <w:tr>
              <w:tblPrEx>
                <w:tblW w:w="9761" w:type="dxa"/>
                <w:tblCellMar>
                  <w:top w:w="15" w:type="dxa"/>
                  <w:left w:w="15" w:type="dxa"/>
                  <w:bottom w:w="15" w:type="dxa"/>
                  <w:right w:w="15" w:type="dxa"/>
                </w:tblCellMar>
                <w:tblLook w:val="05E0"/>
              </w:tblPrEx>
              <w:trPr>
                <w:trHeight w:val="210"/>
              </w:trPr>
              <w:tc>
                <w:tcPr>
                  <w:tcW w:w="614" w:type="dxa"/>
                  <w:tcBorders>
                    <w:top w:val="inset" w:sz="6" w:space="0" w:color="808080"/>
                    <w:bottom w:val="inset" w:sz="6" w:space="0" w:color="808080"/>
                    <w:right w:val="inset" w:sz="6" w:space="0" w:color="808080"/>
                  </w:tcBorders>
                  <w:shd w:val="clear" w:color="auto" w:fill="EBF1DE"/>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4.1</w:t>
                  </w:r>
                </w:p>
              </w:tc>
              <w:tc>
                <w:tcPr>
                  <w:tcW w:w="1321"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Общо публични</w:t>
                  </w:r>
                </w:p>
              </w:tc>
              <w:tc>
                <w:tcPr>
                  <w:tcW w:w="1037"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404 837 420</w:t>
                  </w:r>
                </w:p>
              </w:tc>
              <w:tc>
                <w:tcPr>
                  <w:tcW w:w="896"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82 861 651</w:t>
                  </w:r>
                </w:p>
              </w:tc>
              <w:tc>
                <w:tcPr>
                  <w:tcW w:w="1037"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896"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45 456 017</w:t>
                  </w:r>
                </w:p>
              </w:tc>
              <w:tc>
                <w:tcPr>
                  <w:tcW w:w="895"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58 209 876</w:t>
                  </w:r>
                </w:p>
              </w:tc>
              <w:tc>
                <w:tcPr>
                  <w:tcW w:w="896"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85 188 398</w:t>
                  </w:r>
                </w:p>
              </w:tc>
              <w:tc>
                <w:tcPr>
                  <w:tcW w:w="895"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1 841 489</w:t>
                  </w:r>
                </w:p>
              </w:tc>
              <w:tc>
                <w:tcPr>
                  <w:tcW w:w="754"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773 326</w:t>
                  </w:r>
                </w:p>
              </w:tc>
              <w:tc>
                <w:tcPr>
                  <w:tcW w:w="1040" w:type="dxa"/>
                  <w:tcBorders>
                    <w:top w:val="inset" w:sz="6" w:space="0" w:color="808080"/>
                    <w:left w:val="inset" w:sz="6" w:space="0" w:color="808080"/>
                    <w:bottom w:val="inset" w:sz="6" w:space="0" w:color="808080"/>
                  </w:tcBorders>
                  <w:shd w:val="clear" w:color="auto" w:fill="EBF1DE"/>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679 168 177</w:t>
                  </w:r>
                </w:p>
              </w:tc>
            </w:tr>
            <w:tr>
              <w:tblPrEx>
                <w:tblW w:w="9761" w:type="dxa"/>
                <w:tblCellMar>
                  <w:top w:w="15" w:type="dxa"/>
                  <w:left w:w="15" w:type="dxa"/>
                  <w:bottom w:w="15" w:type="dxa"/>
                  <w:right w:w="15" w:type="dxa"/>
                </w:tblCellMar>
                <w:tblLook w:val="05E0"/>
              </w:tblPrEx>
              <w:trPr>
                <w:trHeight w:val="210"/>
              </w:trPr>
              <w:tc>
                <w:tcPr>
                  <w:tcW w:w="6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4.1.2</w:t>
                  </w:r>
                </w:p>
              </w:tc>
              <w:tc>
                <w:tcPr>
                  <w:tcW w:w="132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Общо публични</w:t>
                  </w:r>
                </w:p>
              </w:tc>
              <w:tc>
                <w:tcPr>
                  <w:tcW w:w="103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2 769 349</w:t>
                  </w:r>
                </w:p>
              </w:tc>
              <w:tc>
                <w:tcPr>
                  <w:tcW w:w="89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103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89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89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89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89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75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104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2 769 349</w:t>
                  </w:r>
                </w:p>
              </w:tc>
            </w:tr>
            <w:tr>
              <w:tblPrEx>
                <w:tblW w:w="9761" w:type="dxa"/>
                <w:tblCellMar>
                  <w:top w:w="15" w:type="dxa"/>
                  <w:left w:w="15" w:type="dxa"/>
                  <w:bottom w:w="15" w:type="dxa"/>
                  <w:right w:w="15" w:type="dxa"/>
                </w:tblCellMar>
                <w:tblLook w:val="05E0"/>
              </w:tblPrEx>
              <w:trPr>
                <w:trHeight w:val="210"/>
              </w:trPr>
              <w:tc>
                <w:tcPr>
                  <w:tcW w:w="614" w:type="dxa"/>
                  <w:tcBorders>
                    <w:top w:val="inset" w:sz="6" w:space="0" w:color="808080"/>
                    <w:bottom w:val="inset" w:sz="6" w:space="0" w:color="808080"/>
                    <w:right w:val="inset" w:sz="6" w:space="0" w:color="808080"/>
                  </w:tcBorders>
                  <w:shd w:val="clear" w:color="auto" w:fill="EBF1DE"/>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4.2</w:t>
                  </w:r>
                </w:p>
              </w:tc>
              <w:tc>
                <w:tcPr>
                  <w:tcW w:w="1321"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Общо публични</w:t>
                  </w:r>
                </w:p>
              </w:tc>
              <w:tc>
                <w:tcPr>
                  <w:tcW w:w="1037"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896"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1037"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380 283 393</w:t>
                  </w:r>
                </w:p>
              </w:tc>
              <w:tc>
                <w:tcPr>
                  <w:tcW w:w="896"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895"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896"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86 702 936</w:t>
                  </w:r>
                </w:p>
              </w:tc>
              <w:tc>
                <w:tcPr>
                  <w:tcW w:w="895"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59 697 946</w:t>
                  </w:r>
                </w:p>
              </w:tc>
              <w:tc>
                <w:tcPr>
                  <w:tcW w:w="754"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1040" w:type="dxa"/>
                  <w:tcBorders>
                    <w:top w:val="inset" w:sz="6" w:space="0" w:color="808080"/>
                    <w:left w:val="inset" w:sz="6" w:space="0" w:color="808080"/>
                    <w:bottom w:val="inset" w:sz="6" w:space="0" w:color="808080"/>
                  </w:tcBorders>
                  <w:shd w:val="clear" w:color="auto" w:fill="EBF1DE"/>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526 684 275</w:t>
                  </w:r>
                </w:p>
              </w:tc>
            </w:tr>
            <w:tr>
              <w:tblPrEx>
                <w:tblW w:w="9761" w:type="dxa"/>
                <w:tblCellMar>
                  <w:top w:w="15" w:type="dxa"/>
                  <w:left w:w="15" w:type="dxa"/>
                  <w:bottom w:w="15" w:type="dxa"/>
                  <w:right w:w="15" w:type="dxa"/>
                </w:tblCellMar>
                <w:tblLook w:val="05E0"/>
              </w:tblPrEx>
              <w:trPr>
                <w:trHeight w:val="210"/>
              </w:trPr>
              <w:tc>
                <w:tcPr>
                  <w:tcW w:w="6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4.2.2</w:t>
                  </w:r>
                </w:p>
              </w:tc>
              <w:tc>
                <w:tcPr>
                  <w:tcW w:w="132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Общо публични</w:t>
                  </w:r>
                </w:p>
              </w:tc>
              <w:tc>
                <w:tcPr>
                  <w:tcW w:w="103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89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103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200 000</w:t>
                  </w:r>
                </w:p>
              </w:tc>
              <w:tc>
                <w:tcPr>
                  <w:tcW w:w="89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89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89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89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75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104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200 000</w:t>
                  </w:r>
                </w:p>
              </w:tc>
            </w:tr>
            <w:tr>
              <w:tblPrEx>
                <w:tblW w:w="9761" w:type="dxa"/>
                <w:tblCellMar>
                  <w:top w:w="15" w:type="dxa"/>
                  <w:left w:w="15" w:type="dxa"/>
                  <w:bottom w:w="15" w:type="dxa"/>
                  <w:right w:w="15" w:type="dxa"/>
                </w:tblCellMar>
                <w:tblLook w:val="05E0"/>
              </w:tblPrEx>
              <w:trPr>
                <w:trHeight w:val="210"/>
              </w:trPr>
              <w:tc>
                <w:tcPr>
                  <w:tcW w:w="614" w:type="dxa"/>
                  <w:tcBorders>
                    <w:top w:val="inset" w:sz="6" w:space="0" w:color="808080"/>
                    <w:bottom w:val="inset" w:sz="6" w:space="0" w:color="808080"/>
                    <w:right w:val="inset" w:sz="6" w:space="0" w:color="808080"/>
                  </w:tcBorders>
                  <w:shd w:val="clear" w:color="auto" w:fill="EBF1DE"/>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4.3</w:t>
                  </w:r>
                </w:p>
              </w:tc>
              <w:tc>
                <w:tcPr>
                  <w:tcW w:w="1321"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Общо публични</w:t>
                  </w:r>
                </w:p>
              </w:tc>
              <w:tc>
                <w:tcPr>
                  <w:tcW w:w="1037"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896"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1037"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896"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895"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61 665 860</w:t>
                  </w:r>
                </w:p>
              </w:tc>
              <w:tc>
                <w:tcPr>
                  <w:tcW w:w="896"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895"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754"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1040" w:type="dxa"/>
                  <w:tcBorders>
                    <w:top w:val="inset" w:sz="6" w:space="0" w:color="808080"/>
                    <w:left w:val="inset" w:sz="6" w:space="0" w:color="808080"/>
                    <w:bottom w:val="inset" w:sz="6" w:space="0" w:color="808080"/>
                  </w:tcBorders>
                  <w:shd w:val="clear" w:color="auto" w:fill="EBF1DE"/>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61 665 860</w:t>
                  </w:r>
                </w:p>
              </w:tc>
            </w:tr>
            <w:tr>
              <w:tblPrEx>
                <w:tblW w:w="9761" w:type="dxa"/>
                <w:tblCellMar>
                  <w:top w:w="15" w:type="dxa"/>
                  <w:left w:w="15" w:type="dxa"/>
                  <w:bottom w:w="15" w:type="dxa"/>
                  <w:right w:w="15" w:type="dxa"/>
                </w:tblCellMar>
                <w:tblLook w:val="05E0"/>
              </w:tblPrEx>
              <w:trPr>
                <w:trHeight w:val="210"/>
              </w:trPr>
              <w:tc>
                <w:tcPr>
                  <w:tcW w:w="614" w:type="dxa"/>
                  <w:tcBorders>
                    <w:top w:val="inset" w:sz="6" w:space="0" w:color="808080"/>
                    <w:right w:val="inset" w:sz="6" w:space="0" w:color="808080"/>
                  </w:tcBorders>
                  <w:shd w:val="clear" w:color="auto" w:fill="FDE9D9"/>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1321" w:type="dxa"/>
                  <w:tcBorders>
                    <w:top w:val="inset" w:sz="6" w:space="0" w:color="808080"/>
                    <w:left w:val="inset" w:sz="6" w:space="0" w:color="808080"/>
                    <w:right w:val="inset" w:sz="6" w:space="0" w:color="808080"/>
                  </w:tcBorders>
                  <w:shd w:val="clear" w:color="auto" w:fill="FDE9D9"/>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Финансов инструмент</w:t>
                  </w:r>
                </w:p>
              </w:tc>
              <w:tc>
                <w:tcPr>
                  <w:tcW w:w="1037" w:type="dxa"/>
                  <w:tcBorders>
                    <w:top w:val="inset" w:sz="6" w:space="0" w:color="808080"/>
                    <w:left w:val="inset" w:sz="6" w:space="0" w:color="808080"/>
                    <w:right w:val="inset" w:sz="6" w:space="0" w:color="808080"/>
                  </w:tcBorders>
                  <w:shd w:val="clear" w:color="auto" w:fill="FDE9D9"/>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592 724</w:t>
                  </w:r>
                </w:p>
              </w:tc>
              <w:tc>
                <w:tcPr>
                  <w:tcW w:w="896" w:type="dxa"/>
                  <w:tcBorders>
                    <w:top w:val="inset" w:sz="6" w:space="0" w:color="808080"/>
                    <w:left w:val="inset" w:sz="6" w:space="0" w:color="808080"/>
                    <w:right w:val="inset" w:sz="6" w:space="0" w:color="808080"/>
                  </w:tcBorders>
                  <w:shd w:val="clear" w:color="auto" w:fill="FDE9D9"/>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1037" w:type="dxa"/>
                  <w:tcBorders>
                    <w:top w:val="inset" w:sz="6" w:space="0" w:color="808080"/>
                    <w:left w:val="inset" w:sz="6" w:space="0" w:color="808080"/>
                    <w:right w:val="inset" w:sz="6" w:space="0" w:color="808080"/>
                  </w:tcBorders>
                  <w:shd w:val="clear" w:color="auto" w:fill="FDE9D9"/>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896" w:type="dxa"/>
                  <w:tcBorders>
                    <w:top w:val="inset" w:sz="6" w:space="0" w:color="808080"/>
                    <w:left w:val="inset" w:sz="6" w:space="0" w:color="808080"/>
                    <w:right w:val="inset" w:sz="6" w:space="0" w:color="808080"/>
                  </w:tcBorders>
                  <w:shd w:val="clear" w:color="auto" w:fill="FDE9D9"/>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895" w:type="dxa"/>
                  <w:tcBorders>
                    <w:top w:val="inset" w:sz="6" w:space="0" w:color="808080"/>
                    <w:left w:val="inset" w:sz="6" w:space="0" w:color="808080"/>
                    <w:right w:val="inset" w:sz="6" w:space="0" w:color="808080"/>
                  </w:tcBorders>
                  <w:shd w:val="clear" w:color="auto" w:fill="FDE9D9"/>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896" w:type="dxa"/>
                  <w:tcBorders>
                    <w:top w:val="inset" w:sz="6" w:space="0" w:color="808080"/>
                    <w:left w:val="inset" w:sz="6" w:space="0" w:color="808080"/>
                    <w:right w:val="inset" w:sz="6" w:space="0" w:color="808080"/>
                  </w:tcBorders>
                  <w:shd w:val="clear" w:color="auto" w:fill="FDE9D9"/>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895" w:type="dxa"/>
                  <w:tcBorders>
                    <w:top w:val="inset" w:sz="6" w:space="0" w:color="808080"/>
                    <w:left w:val="inset" w:sz="6" w:space="0" w:color="808080"/>
                    <w:right w:val="inset" w:sz="6" w:space="0" w:color="808080"/>
                  </w:tcBorders>
                  <w:shd w:val="clear" w:color="auto" w:fill="FDE9D9"/>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754" w:type="dxa"/>
                  <w:tcBorders>
                    <w:top w:val="inset" w:sz="6" w:space="0" w:color="808080"/>
                    <w:left w:val="inset" w:sz="6" w:space="0" w:color="808080"/>
                    <w:right w:val="inset" w:sz="6" w:space="0" w:color="808080"/>
                  </w:tcBorders>
                  <w:shd w:val="clear" w:color="auto" w:fill="FDE9D9"/>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1040" w:type="dxa"/>
                  <w:tcBorders>
                    <w:top w:val="inset" w:sz="6" w:space="0" w:color="808080"/>
                    <w:left w:val="inset" w:sz="6" w:space="0" w:color="808080"/>
                  </w:tcBorders>
                  <w:shd w:val="clear" w:color="auto" w:fill="FDE9D9"/>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592 724</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Таблица 9,</w:t>
            </w:r>
            <w:r>
              <w:rPr>
                <w:rFonts w:ascii="Times New Roman" w:eastAsia="Times New Roman" w:hAnsi="Times New Roman" w:cs="Times New Roman"/>
                <w:szCs w:val="24"/>
              </w:rPr>
              <w:t xml:space="preserve"> преразпределяни суми (разлика между общо публичните средства, налични към 18-то, и към 17-то изменение) - сумите са в евро, публични средства:</w:t>
            </w:r>
          </w:p>
          <w:tbl>
            <w:tblPr>
              <w:tblStyle w:val="Table"/>
              <w:tblW w:w="9761"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661"/>
              <w:gridCol w:w="1365"/>
              <w:gridCol w:w="696"/>
              <w:gridCol w:w="940"/>
              <w:gridCol w:w="960"/>
              <w:gridCol w:w="919"/>
              <w:gridCol w:w="696"/>
              <w:gridCol w:w="940"/>
              <w:gridCol w:w="939"/>
              <w:gridCol w:w="519"/>
              <w:gridCol w:w="1087"/>
            </w:tblGrid>
            <w:tr>
              <w:tblPrEx>
                <w:tblW w:w="9761"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210"/>
              </w:trPr>
              <w:tc>
                <w:tcPr>
                  <w:tcW w:w="1890" w:type="dxa"/>
                  <w:gridSpan w:val="2"/>
                  <w:tcBorders>
                    <w:bottom w:val="inset" w:sz="6" w:space="0" w:color="808080"/>
                    <w:right w:val="inset" w:sz="6" w:space="0" w:color="808080"/>
                  </w:tcBorders>
                  <w:shd w:val="clear" w:color="auto" w:fill="EBF1DE"/>
                  <w:noWrap w:val="0"/>
                  <w:tcMar>
                    <w:top w:w="25"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Подмярка</w:t>
                  </w:r>
                </w:p>
              </w:tc>
              <w:tc>
                <w:tcPr>
                  <w:tcW w:w="1037" w:type="dxa"/>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2A</w:t>
                  </w:r>
                </w:p>
              </w:tc>
              <w:tc>
                <w:tcPr>
                  <w:tcW w:w="896" w:type="dxa"/>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2Б</w:t>
                  </w:r>
                </w:p>
              </w:tc>
              <w:tc>
                <w:tcPr>
                  <w:tcW w:w="916" w:type="dxa"/>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3А</w:t>
                  </w:r>
                </w:p>
              </w:tc>
              <w:tc>
                <w:tcPr>
                  <w:tcW w:w="875" w:type="dxa"/>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А, Б, В</w:t>
                  </w:r>
                </w:p>
              </w:tc>
              <w:tc>
                <w:tcPr>
                  <w:tcW w:w="1037" w:type="dxa"/>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5А</w:t>
                  </w:r>
                </w:p>
              </w:tc>
              <w:tc>
                <w:tcPr>
                  <w:tcW w:w="896" w:type="dxa"/>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5Б</w:t>
                  </w:r>
                </w:p>
              </w:tc>
              <w:tc>
                <w:tcPr>
                  <w:tcW w:w="895" w:type="dxa"/>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5В</w:t>
                  </w:r>
                </w:p>
              </w:tc>
              <w:tc>
                <w:tcPr>
                  <w:tcW w:w="754" w:type="dxa"/>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5Г</w:t>
                  </w:r>
                </w:p>
              </w:tc>
              <w:tc>
                <w:tcPr>
                  <w:tcW w:w="1040" w:type="dxa"/>
                  <w:tcBorders>
                    <w:left w:val="inset" w:sz="6" w:space="0" w:color="808080"/>
                    <w:bottom w:val="inset" w:sz="6" w:space="0" w:color="808080"/>
                  </w:tcBorders>
                  <w:shd w:val="clear" w:color="auto" w:fill="EBF1DE"/>
                  <w:noWrap w:val="0"/>
                  <w:tcMar>
                    <w:top w:w="25"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Общо</w:t>
                  </w:r>
                </w:p>
              </w:tc>
            </w:tr>
            <w:tr>
              <w:tblPrEx>
                <w:tblW w:w="9761" w:type="dxa"/>
                <w:tblCellMar>
                  <w:top w:w="15" w:type="dxa"/>
                  <w:left w:w="15" w:type="dxa"/>
                  <w:bottom w:w="15" w:type="dxa"/>
                  <w:right w:w="15" w:type="dxa"/>
                </w:tblCellMar>
                <w:tblLook w:val="05E0"/>
              </w:tblPrEx>
              <w:trPr>
                <w:trHeight w:val="210"/>
              </w:trPr>
              <w:tc>
                <w:tcPr>
                  <w:tcW w:w="614" w:type="dxa"/>
                  <w:tcBorders>
                    <w:top w:val="inset" w:sz="6" w:space="0" w:color="808080"/>
                    <w:bottom w:val="inset" w:sz="6" w:space="0" w:color="808080"/>
                    <w:right w:val="inset" w:sz="6" w:space="0" w:color="808080"/>
                  </w:tcBorders>
                  <w:shd w:val="clear" w:color="auto" w:fill="EBF1DE"/>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4.1</w:t>
                  </w:r>
                </w:p>
              </w:tc>
              <w:tc>
                <w:tcPr>
                  <w:tcW w:w="1321"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Общо публични</w:t>
                  </w:r>
                </w:p>
              </w:tc>
              <w:tc>
                <w:tcPr>
                  <w:tcW w:w="1037"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-12 203 406</w:t>
                  </w:r>
                </w:p>
              </w:tc>
              <w:tc>
                <w:tcPr>
                  <w:tcW w:w="896"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-317 647</w:t>
                  </w:r>
                </w:p>
              </w:tc>
              <w:tc>
                <w:tcPr>
                  <w:tcW w:w="916"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875"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-5 062 971</w:t>
                  </w:r>
                </w:p>
              </w:tc>
              <w:tc>
                <w:tcPr>
                  <w:tcW w:w="1037"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-19 281 349</w:t>
                  </w:r>
                </w:p>
              </w:tc>
              <w:tc>
                <w:tcPr>
                  <w:tcW w:w="896"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-154 088</w:t>
                  </w:r>
                </w:p>
              </w:tc>
              <w:tc>
                <w:tcPr>
                  <w:tcW w:w="895"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754"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1040" w:type="dxa"/>
                  <w:tcBorders>
                    <w:top w:val="inset" w:sz="6" w:space="0" w:color="808080"/>
                    <w:left w:val="inset" w:sz="6" w:space="0" w:color="808080"/>
                    <w:bottom w:val="inset" w:sz="6" w:space="0" w:color="808080"/>
                  </w:tcBorders>
                  <w:shd w:val="clear" w:color="auto" w:fill="EBF1DE"/>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-37 019 461</w:t>
                  </w:r>
                </w:p>
              </w:tc>
            </w:tr>
            <w:tr>
              <w:tblPrEx>
                <w:tblW w:w="9761" w:type="dxa"/>
                <w:tblCellMar>
                  <w:top w:w="15" w:type="dxa"/>
                  <w:left w:w="15" w:type="dxa"/>
                  <w:bottom w:w="15" w:type="dxa"/>
                  <w:right w:w="15" w:type="dxa"/>
                </w:tblCellMar>
                <w:tblLook w:val="05E0"/>
              </w:tblPrEx>
              <w:trPr>
                <w:trHeight w:val="210"/>
              </w:trPr>
              <w:tc>
                <w:tcPr>
                  <w:tcW w:w="6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4.1.2</w:t>
                  </w:r>
                </w:p>
              </w:tc>
              <w:tc>
                <w:tcPr>
                  <w:tcW w:w="132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Общо публични</w:t>
                  </w:r>
                </w:p>
              </w:tc>
              <w:tc>
                <w:tcPr>
                  <w:tcW w:w="103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89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9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87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103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89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89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75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104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0</w:t>
                  </w:r>
                </w:p>
              </w:tc>
            </w:tr>
            <w:tr>
              <w:tblPrEx>
                <w:tblW w:w="9761" w:type="dxa"/>
                <w:tblCellMar>
                  <w:top w:w="15" w:type="dxa"/>
                  <w:left w:w="15" w:type="dxa"/>
                  <w:bottom w:w="15" w:type="dxa"/>
                  <w:right w:w="15" w:type="dxa"/>
                </w:tblCellMar>
                <w:tblLook w:val="05E0"/>
              </w:tblPrEx>
              <w:trPr>
                <w:trHeight w:val="300"/>
              </w:trPr>
              <w:tc>
                <w:tcPr>
                  <w:tcW w:w="614" w:type="dxa"/>
                  <w:tcBorders>
                    <w:top w:val="inset" w:sz="6" w:space="0" w:color="808080"/>
                    <w:bottom w:val="inset" w:sz="6" w:space="0" w:color="808080"/>
                    <w:right w:val="inset" w:sz="6" w:space="0" w:color="808080"/>
                  </w:tcBorders>
                  <w:shd w:val="clear" w:color="auto" w:fill="EBF1DE"/>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4.2</w:t>
                  </w:r>
                </w:p>
              </w:tc>
              <w:tc>
                <w:tcPr>
                  <w:tcW w:w="1321"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Общо публични</w:t>
                  </w:r>
                </w:p>
              </w:tc>
              <w:tc>
                <w:tcPr>
                  <w:tcW w:w="1037"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896"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916"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-4 705 882</w:t>
                  </w:r>
                </w:p>
              </w:tc>
              <w:tc>
                <w:tcPr>
                  <w:tcW w:w="875"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1037"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896"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5 312 971</w:t>
                  </w:r>
                </w:p>
              </w:tc>
              <w:tc>
                <w:tcPr>
                  <w:tcW w:w="895"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12 251 437</w:t>
                  </w:r>
                </w:p>
              </w:tc>
              <w:tc>
                <w:tcPr>
                  <w:tcW w:w="754"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1040" w:type="dxa"/>
                  <w:tcBorders>
                    <w:top w:val="inset" w:sz="6" w:space="0" w:color="808080"/>
                    <w:left w:val="inset" w:sz="6" w:space="0" w:color="808080"/>
                    <w:bottom w:val="inset" w:sz="6" w:space="0" w:color="808080"/>
                  </w:tcBorders>
                  <w:shd w:val="clear" w:color="auto" w:fill="EBF1DE"/>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12 858 526</w:t>
                  </w:r>
                </w:p>
              </w:tc>
            </w:tr>
            <w:tr>
              <w:tblPrEx>
                <w:tblW w:w="9761" w:type="dxa"/>
                <w:tblCellMar>
                  <w:top w:w="15" w:type="dxa"/>
                  <w:left w:w="15" w:type="dxa"/>
                  <w:bottom w:w="15" w:type="dxa"/>
                  <w:right w:w="15" w:type="dxa"/>
                </w:tblCellMar>
                <w:tblLook w:val="05E0"/>
              </w:tblPrEx>
              <w:trPr>
                <w:trHeight w:val="300"/>
              </w:trPr>
              <w:tc>
                <w:tcPr>
                  <w:tcW w:w="6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4.2.2</w:t>
                  </w:r>
                </w:p>
              </w:tc>
              <w:tc>
                <w:tcPr>
                  <w:tcW w:w="132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Общо публични</w:t>
                  </w:r>
                </w:p>
              </w:tc>
              <w:tc>
                <w:tcPr>
                  <w:tcW w:w="103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89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9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87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103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89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89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75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104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0</w:t>
                  </w:r>
                </w:p>
              </w:tc>
            </w:tr>
            <w:tr>
              <w:tblPrEx>
                <w:tblW w:w="9761" w:type="dxa"/>
                <w:tblCellMar>
                  <w:top w:w="15" w:type="dxa"/>
                  <w:left w:w="15" w:type="dxa"/>
                  <w:bottom w:w="15" w:type="dxa"/>
                  <w:right w:w="15" w:type="dxa"/>
                </w:tblCellMar>
                <w:tblLook w:val="05E0"/>
              </w:tblPrEx>
              <w:trPr>
                <w:trHeight w:val="300"/>
              </w:trPr>
              <w:tc>
                <w:tcPr>
                  <w:tcW w:w="614" w:type="dxa"/>
                  <w:tcBorders>
                    <w:top w:val="inset" w:sz="6" w:space="0" w:color="808080"/>
                    <w:bottom w:val="inset" w:sz="6" w:space="0" w:color="808080"/>
                    <w:right w:val="inset" w:sz="6" w:space="0" w:color="808080"/>
                  </w:tcBorders>
                  <w:shd w:val="clear" w:color="auto" w:fill="EBF1DE"/>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4.3</w:t>
                  </w:r>
                </w:p>
              </w:tc>
              <w:tc>
                <w:tcPr>
                  <w:tcW w:w="1321"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Общо публични</w:t>
                  </w:r>
                </w:p>
              </w:tc>
              <w:tc>
                <w:tcPr>
                  <w:tcW w:w="1037"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896"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916"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875"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1037"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896"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895"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754"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1040" w:type="dxa"/>
                  <w:tcBorders>
                    <w:top w:val="inset" w:sz="6" w:space="0" w:color="808080"/>
                    <w:left w:val="inset" w:sz="6" w:space="0" w:color="808080"/>
                    <w:bottom w:val="inset" w:sz="6" w:space="0" w:color="808080"/>
                  </w:tcBorders>
                  <w:shd w:val="clear" w:color="auto" w:fill="EBF1DE"/>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0</w:t>
                  </w:r>
                </w:p>
              </w:tc>
            </w:tr>
            <w:tr>
              <w:tblPrEx>
                <w:tblW w:w="9761" w:type="dxa"/>
                <w:tblCellMar>
                  <w:top w:w="15" w:type="dxa"/>
                  <w:left w:w="15" w:type="dxa"/>
                  <w:bottom w:w="15" w:type="dxa"/>
                  <w:right w:w="15" w:type="dxa"/>
                </w:tblCellMar>
                <w:tblLook w:val="05E0"/>
              </w:tblPrEx>
              <w:trPr>
                <w:trHeight w:val="300"/>
              </w:trPr>
              <w:tc>
                <w:tcPr>
                  <w:tcW w:w="614" w:type="dxa"/>
                  <w:tcBorders>
                    <w:top w:val="inset" w:sz="6" w:space="0" w:color="808080"/>
                    <w:right w:val="inset" w:sz="6" w:space="0" w:color="808080"/>
                  </w:tcBorders>
                  <w:shd w:val="clear" w:color="auto" w:fill="FDE9D9"/>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1321" w:type="dxa"/>
                  <w:tcBorders>
                    <w:top w:val="inset" w:sz="6" w:space="0" w:color="808080"/>
                    <w:left w:val="inset" w:sz="6" w:space="0" w:color="808080"/>
                    <w:right w:val="inset" w:sz="6" w:space="0" w:color="808080"/>
                  </w:tcBorders>
                  <w:shd w:val="clear" w:color="auto" w:fill="FDE9D9"/>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Финансов инструмент</w:t>
                  </w:r>
                </w:p>
              </w:tc>
              <w:tc>
                <w:tcPr>
                  <w:tcW w:w="1037" w:type="dxa"/>
                  <w:tcBorders>
                    <w:top w:val="inset" w:sz="6" w:space="0" w:color="808080"/>
                    <w:left w:val="inset" w:sz="6" w:space="0" w:color="808080"/>
                    <w:right w:val="inset" w:sz="6" w:space="0" w:color="808080"/>
                  </w:tcBorders>
                  <w:shd w:val="clear" w:color="auto" w:fill="FDE9D9"/>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896" w:type="dxa"/>
                  <w:tcBorders>
                    <w:top w:val="inset" w:sz="6" w:space="0" w:color="808080"/>
                    <w:left w:val="inset" w:sz="6" w:space="0" w:color="808080"/>
                    <w:right w:val="inset" w:sz="6" w:space="0" w:color="808080"/>
                  </w:tcBorders>
                  <w:shd w:val="clear" w:color="auto" w:fill="FDE9D9"/>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916" w:type="dxa"/>
                  <w:tcBorders>
                    <w:top w:val="inset" w:sz="6" w:space="0" w:color="808080"/>
                    <w:left w:val="inset" w:sz="6" w:space="0" w:color="808080"/>
                    <w:right w:val="inset" w:sz="6" w:space="0" w:color="808080"/>
                  </w:tcBorders>
                  <w:shd w:val="clear" w:color="auto" w:fill="FDE9D9"/>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875" w:type="dxa"/>
                  <w:tcBorders>
                    <w:top w:val="inset" w:sz="6" w:space="0" w:color="808080"/>
                    <w:left w:val="inset" w:sz="6" w:space="0" w:color="808080"/>
                    <w:right w:val="inset" w:sz="6" w:space="0" w:color="808080"/>
                  </w:tcBorders>
                  <w:shd w:val="clear" w:color="auto" w:fill="FDE9D9"/>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1037" w:type="dxa"/>
                  <w:tcBorders>
                    <w:top w:val="inset" w:sz="6" w:space="0" w:color="808080"/>
                    <w:left w:val="inset" w:sz="6" w:space="0" w:color="808080"/>
                    <w:right w:val="inset" w:sz="6" w:space="0" w:color="808080"/>
                  </w:tcBorders>
                  <w:shd w:val="clear" w:color="auto" w:fill="FDE9D9"/>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896" w:type="dxa"/>
                  <w:tcBorders>
                    <w:top w:val="inset" w:sz="6" w:space="0" w:color="808080"/>
                    <w:left w:val="inset" w:sz="6" w:space="0" w:color="808080"/>
                    <w:right w:val="inset" w:sz="6" w:space="0" w:color="808080"/>
                  </w:tcBorders>
                  <w:shd w:val="clear" w:color="auto" w:fill="FDE9D9"/>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895" w:type="dxa"/>
                  <w:tcBorders>
                    <w:top w:val="inset" w:sz="6" w:space="0" w:color="808080"/>
                    <w:left w:val="inset" w:sz="6" w:space="0" w:color="808080"/>
                    <w:right w:val="inset" w:sz="6" w:space="0" w:color="808080"/>
                  </w:tcBorders>
                  <w:shd w:val="clear" w:color="auto" w:fill="FDE9D9"/>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754" w:type="dxa"/>
                  <w:tcBorders>
                    <w:top w:val="inset" w:sz="6" w:space="0" w:color="808080"/>
                    <w:left w:val="inset" w:sz="6" w:space="0" w:color="808080"/>
                    <w:right w:val="inset" w:sz="6" w:space="0" w:color="808080"/>
                  </w:tcBorders>
                  <w:shd w:val="clear" w:color="auto" w:fill="FDE9D9"/>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1040" w:type="dxa"/>
                  <w:tcBorders>
                    <w:top w:val="inset" w:sz="6" w:space="0" w:color="808080"/>
                    <w:left w:val="inset" w:sz="6" w:space="0" w:color="808080"/>
                  </w:tcBorders>
                  <w:shd w:val="clear" w:color="auto" w:fill="FDE9D9"/>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0</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Целта на предложените по-горе прехвърляния между ФО от подмярка 4.1 в подмярка 4.2 е </w:t>
            </w:r>
            <w:r>
              <w:rPr>
                <w:rFonts w:ascii="Times New Roman" w:eastAsia="Times New Roman" w:hAnsi="Times New Roman" w:cs="Times New Roman"/>
                <w:b/>
                <w:bCs/>
                <w:szCs w:val="24"/>
              </w:rPr>
              <w:t>чрез увеличение на бюджета на прием 2024 да бъдат одобрени по-голям брой проектни предложения</w:t>
            </w:r>
            <w:r>
              <w:rPr>
                <w:rFonts w:ascii="Times New Roman" w:eastAsia="Times New Roman" w:hAnsi="Times New Roman" w:cs="Times New Roman"/>
                <w:szCs w:val="24"/>
              </w:rPr>
              <w:t>, които, получавайки равен брой точки при извършеното класиране, са еднакво качествени и всички те допринасят за постигане целите на подмярката.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В допълнение, суми в размер на общо </w:t>
            </w:r>
            <w:r>
              <w:rPr>
                <w:rFonts w:ascii="Times New Roman" w:eastAsia="Times New Roman" w:hAnsi="Times New Roman" w:cs="Times New Roman"/>
                <w:b/>
                <w:bCs/>
                <w:szCs w:val="24"/>
              </w:rPr>
              <w:t xml:space="preserve">16 908 288 </w:t>
            </w:r>
            <w:r>
              <w:rPr>
                <w:rFonts w:ascii="Times New Roman" w:eastAsia="Times New Roman" w:hAnsi="Times New Roman" w:cs="Times New Roman"/>
                <w:b/>
                <w:bCs/>
                <w:szCs w:val="24"/>
              </w:rPr>
              <w:t xml:space="preserve">евро (които отговарят на </w:t>
            </w:r>
            <w:r>
              <w:rPr>
                <w:rFonts w:ascii="Times New Roman" w:eastAsia="Times New Roman" w:hAnsi="Times New Roman" w:cs="Times New Roman"/>
                <w:b/>
                <w:bCs/>
                <w:szCs w:val="24"/>
              </w:rPr>
              <w:t xml:space="preserve">14 372 895 </w:t>
            </w:r>
            <w:r>
              <w:rPr>
                <w:rFonts w:ascii="Times New Roman" w:eastAsia="Times New Roman" w:hAnsi="Times New Roman" w:cs="Times New Roman"/>
                <w:b/>
                <w:bCs/>
                <w:szCs w:val="24"/>
              </w:rPr>
              <w:t xml:space="preserve">евро от ЕЗФРСР) следва да бъдат изведени с цел покриване изискванията на чл. 38 от Регламент 1306/2013.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Също така, в условията на продължаващата икономическа криза, неизползването на възможността за прехвърляне на средства и неосигуряването на свеж финансов ресурс за предприятията, би могло да доведе до задълбочаване на проблемите в сектора и невъзможност за изготвяне на проекти и кандидатстване в рамките на предвидените за това възможности по Стратегическия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III. Извеждане на средства от мерки и подмерки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Извеждане на средства от подмярка 4.1 „Инвестиции в земеделски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01.03.2025 г. по подмярка 4.1 „Инвестиции в земеделски стопанства“ е наличен общ остатък както следва (вкл. 8 181 075 евро по линия на EURI):</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Таблица 10,</w:t>
            </w:r>
            <w:r>
              <w:rPr>
                <w:rFonts w:ascii="Times New Roman" w:eastAsia="Times New Roman" w:hAnsi="Times New Roman" w:cs="Times New Roman"/>
                <w:szCs w:val="24"/>
              </w:rPr>
              <w:t xml:space="preserve"> сумите са в евро, публични средства:</w:t>
            </w:r>
          </w:p>
          <w:tbl>
            <w:tblPr>
              <w:tblStyle w:val="Table"/>
              <w:tblW w:w="5000"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1702"/>
              <w:gridCol w:w="1163"/>
              <w:gridCol w:w="1196"/>
              <w:gridCol w:w="1196"/>
              <w:gridCol w:w="1082"/>
              <w:gridCol w:w="933"/>
              <w:gridCol w:w="933"/>
              <w:gridCol w:w="931"/>
              <w:gridCol w:w="1284"/>
            </w:tblGrid>
            <w:tr>
              <w:tblPrEx>
                <w:tblW w:w="5000"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660"/>
              </w:trPr>
              <w:tc>
                <w:tcPr>
                  <w:tcW w:w="623" w:type="pct"/>
                  <w:tcBorders>
                    <w:bottom w:val="inset" w:sz="6" w:space="0" w:color="808080"/>
                    <w:right w:val="inset" w:sz="6" w:space="0" w:color="808080"/>
                  </w:tcBorders>
                  <w:shd w:val="clear" w:color="auto" w:fill="EBF1DE"/>
                  <w:noWrap w:val="0"/>
                  <w:tcMar>
                    <w:top w:w="25"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Подмярка/Фокус област</w:t>
                  </w:r>
                </w:p>
              </w:tc>
              <w:tc>
                <w:tcPr>
                  <w:tcW w:w="588" w:type="pct"/>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2A</w:t>
                  </w:r>
                </w:p>
              </w:tc>
              <w:tc>
                <w:tcPr>
                  <w:tcW w:w="605" w:type="pct"/>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2Б</w:t>
                  </w:r>
                </w:p>
              </w:tc>
              <w:tc>
                <w:tcPr>
                  <w:tcW w:w="605" w:type="pct"/>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А, Б, В</w:t>
                  </w:r>
                </w:p>
              </w:tc>
              <w:tc>
                <w:tcPr>
                  <w:tcW w:w="546" w:type="pct"/>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5А</w:t>
                  </w:r>
                </w:p>
              </w:tc>
              <w:tc>
                <w:tcPr>
                  <w:tcW w:w="469" w:type="pct"/>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5Б</w:t>
                  </w:r>
                </w:p>
              </w:tc>
              <w:tc>
                <w:tcPr>
                  <w:tcW w:w="469" w:type="pct"/>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5В</w:t>
                  </w:r>
                </w:p>
              </w:tc>
              <w:tc>
                <w:tcPr>
                  <w:tcW w:w="468" w:type="pct"/>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5Г</w:t>
                  </w:r>
                </w:p>
              </w:tc>
              <w:tc>
                <w:tcPr>
                  <w:tcW w:w="626" w:type="pct"/>
                  <w:tcBorders>
                    <w:left w:val="inset" w:sz="6" w:space="0" w:color="808080"/>
                    <w:bottom w:val="inset" w:sz="6" w:space="0" w:color="808080"/>
                  </w:tcBorders>
                  <w:shd w:val="clear" w:color="auto" w:fill="EBF1DE"/>
                  <w:noWrap w:val="0"/>
                  <w:tcMar>
                    <w:top w:w="25"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Общо, евро публични средства</w:t>
                  </w:r>
                </w:p>
              </w:tc>
            </w:tr>
            <w:tr>
              <w:tblPrEx>
                <w:tblW w:w="5000" w:type="pct"/>
                <w:tblCellMar>
                  <w:top w:w="15" w:type="dxa"/>
                  <w:left w:w="15" w:type="dxa"/>
                  <w:bottom w:w="15" w:type="dxa"/>
                  <w:right w:w="15" w:type="dxa"/>
                </w:tblCellMar>
                <w:tblLook w:val="05E0"/>
              </w:tblPrEx>
              <w:trPr>
                <w:trHeight w:val="300"/>
              </w:trPr>
              <w:tc>
                <w:tcPr>
                  <w:tcW w:w="623" w:type="pct"/>
                  <w:tcBorders>
                    <w:top w:val="inset" w:sz="6" w:space="0" w:color="808080"/>
                    <w:right w:val="inset" w:sz="6" w:space="0" w:color="808080"/>
                  </w:tcBorders>
                  <w:shd w:val="clear" w:color="auto" w:fill="EBF1DE"/>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4.1</w:t>
                  </w:r>
                </w:p>
              </w:tc>
              <w:tc>
                <w:tcPr>
                  <w:tcW w:w="588" w:type="pct"/>
                  <w:tcBorders>
                    <w:top w:val="inset" w:sz="6" w:space="0" w:color="808080"/>
                    <w:left w:val="inset" w:sz="6" w:space="0" w:color="808080"/>
                    <w:right w:val="inset" w:sz="6" w:space="0" w:color="808080"/>
                  </w:tcBorders>
                  <w:noWrap w:val="0"/>
                  <w:tcMar>
                    <w:top w:w="22" w:type="dxa"/>
                    <w:left w:w="22" w:type="dxa"/>
                    <w:bottom w:w="25"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14 889 024</w:t>
                  </w:r>
                </w:p>
              </w:tc>
              <w:tc>
                <w:tcPr>
                  <w:tcW w:w="605" w:type="pct"/>
                  <w:tcBorders>
                    <w:top w:val="inset" w:sz="6" w:space="0" w:color="808080"/>
                    <w:left w:val="inset" w:sz="6" w:space="0" w:color="808080"/>
                    <w:right w:val="inset" w:sz="6" w:space="0" w:color="808080"/>
                  </w:tcBorders>
                  <w:noWrap w:val="0"/>
                  <w:tcMar>
                    <w:top w:w="22" w:type="dxa"/>
                    <w:left w:w="22" w:type="dxa"/>
                    <w:bottom w:w="25"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3 777 076</w:t>
                  </w:r>
                </w:p>
              </w:tc>
              <w:tc>
                <w:tcPr>
                  <w:tcW w:w="605" w:type="pct"/>
                  <w:tcBorders>
                    <w:top w:val="inset" w:sz="6" w:space="0" w:color="808080"/>
                    <w:left w:val="inset" w:sz="6" w:space="0" w:color="808080"/>
                    <w:right w:val="inset" w:sz="6" w:space="0" w:color="808080"/>
                  </w:tcBorders>
                  <w:noWrap w:val="0"/>
                  <w:tcMar>
                    <w:top w:w="22" w:type="dxa"/>
                    <w:left w:w="22" w:type="dxa"/>
                    <w:bottom w:w="25"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5 083 294</w:t>
                  </w:r>
                </w:p>
              </w:tc>
              <w:tc>
                <w:tcPr>
                  <w:tcW w:w="546" w:type="pct"/>
                  <w:tcBorders>
                    <w:top w:val="inset" w:sz="6" w:space="0" w:color="808080"/>
                    <w:left w:val="inset" w:sz="6" w:space="0" w:color="808080"/>
                    <w:right w:val="inset" w:sz="6" w:space="0" w:color="808080"/>
                  </w:tcBorders>
                  <w:noWrap w:val="0"/>
                  <w:tcMar>
                    <w:top w:w="22" w:type="dxa"/>
                    <w:left w:w="22" w:type="dxa"/>
                    <w:bottom w:w="25"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19 661 188</w:t>
                  </w:r>
                </w:p>
              </w:tc>
              <w:tc>
                <w:tcPr>
                  <w:tcW w:w="469" w:type="pct"/>
                  <w:tcBorders>
                    <w:top w:val="inset" w:sz="6" w:space="0" w:color="808080"/>
                    <w:left w:val="inset" w:sz="6" w:space="0" w:color="808080"/>
                    <w:right w:val="inset" w:sz="6" w:space="0" w:color="808080"/>
                  </w:tcBorders>
                  <w:noWrap w:val="0"/>
                  <w:tcMar>
                    <w:top w:w="22" w:type="dxa"/>
                    <w:left w:w="22" w:type="dxa"/>
                    <w:bottom w:w="25"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177 834</w:t>
                  </w:r>
                </w:p>
              </w:tc>
              <w:tc>
                <w:tcPr>
                  <w:tcW w:w="469" w:type="pct"/>
                  <w:tcBorders>
                    <w:top w:val="inset" w:sz="6" w:space="0" w:color="808080"/>
                    <w:left w:val="inset" w:sz="6" w:space="0" w:color="808080"/>
                    <w:right w:val="inset" w:sz="6" w:space="0" w:color="808080"/>
                  </w:tcBorders>
                  <w:noWrap w:val="0"/>
                  <w:tcMar>
                    <w:top w:w="22" w:type="dxa"/>
                    <w:left w:w="22" w:type="dxa"/>
                    <w:bottom w:w="25"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171 858</w:t>
                  </w:r>
                </w:p>
              </w:tc>
              <w:tc>
                <w:tcPr>
                  <w:tcW w:w="468" w:type="pct"/>
                  <w:tcBorders>
                    <w:top w:val="inset" w:sz="6" w:space="0" w:color="808080"/>
                    <w:left w:val="inset" w:sz="6" w:space="0" w:color="808080"/>
                    <w:right w:val="inset" w:sz="6" w:space="0" w:color="808080"/>
                  </w:tcBorders>
                  <w:noWrap w:val="0"/>
                  <w:tcMar>
                    <w:top w:w="22" w:type="dxa"/>
                    <w:left w:w="22" w:type="dxa"/>
                    <w:bottom w:w="25"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63 363</w:t>
                  </w:r>
                </w:p>
              </w:tc>
              <w:tc>
                <w:tcPr>
                  <w:tcW w:w="626" w:type="pct"/>
                  <w:tcBorders>
                    <w:top w:val="inset" w:sz="6" w:space="0" w:color="808080"/>
                    <w:left w:val="inset" w:sz="6" w:space="0" w:color="808080"/>
                  </w:tcBorders>
                  <w:noWrap w:val="0"/>
                  <w:tcMar>
                    <w:top w:w="22" w:type="dxa"/>
                    <w:left w:w="22" w:type="dxa"/>
                    <w:bottom w:w="25"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43 823 637</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таблицата е видно наличието на общ остатък, но в някои от фокус областите е установен и известен недостиг на средства, предимно извън средствата по линия на EURI, които се отчитат отделно.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Поради фактът, че не се предвиждат нови приеми, които да могат да бъдат допълнително финансирани в рамките на подмярката, УО на ПРСР предлага извеждане на част от остатъчните средства от под мярката с цел преразпределяне към други мерки от ПРСР 2014-2020, по които има недостиг.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След предложеното преразпределение на средствата, включително извеждането на такива към други подмерки от ПРСР, общото разпределение, индикативно на разположение за подмярка 4.1 е представено в таблица 11.</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Таблица 11,</w:t>
            </w:r>
            <w:r>
              <w:rPr>
                <w:rFonts w:ascii="Times New Roman" w:eastAsia="Times New Roman" w:hAnsi="Times New Roman" w:cs="Times New Roman"/>
                <w:szCs w:val="24"/>
              </w:rPr>
              <w:t xml:space="preserve"> сумите са в евро, публични средства:</w:t>
            </w:r>
          </w:p>
          <w:tbl>
            <w:tblPr>
              <w:tblStyle w:val="Table"/>
              <w:tblpPr w:leftFromText="135" w:rightFromText="135" w:topFromText="0" w:bottomFromText="0" w:vertAnchor="text" w:tblpY="1"/>
              <w:tblOverlap w:val="never"/>
              <w:tblW w:w="5000"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1356"/>
              <w:gridCol w:w="1490"/>
              <w:gridCol w:w="1371"/>
              <w:gridCol w:w="1371"/>
              <w:gridCol w:w="1442"/>
              <w:gridCol w:w="1371"/>
              <w:gridCol w:w="1246"/>
              <w:gridCol w:w="1069"/>
              <w:gridCol w:w="1244"/>
            </w:tblGrid>
            <w:tr>
              <w:tblPrEx>
                <w:tblW w:w="5000"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300"/>
              </w:trPr>
              <w:tc>
                <w:tcPr>
                  <w:tcW w:w="567" w:type="pct"/>
                  <w:tcBorders>
                    <w:bottom w:val="inset" w:sz="6" w:space="0" w:color="808080"/>
                    <w:right w:val="inset" w:sz="6" w:space="0" w:color="808080"/>
                  </w:tcBorders>
                  <w:shd w:val="clear" w:color="auto" w:fill="EBF1DE"/>
                  <w:noWrap w:val="0"/>
                  <w:tcMar>
                    <w:top w:w="25" w:type="dxa"/>
                    <w:left w:w="25" w:type="dxa"/>
                    <w:bottom w:w="22" w:type="dxa"/>
                    <w:right w:w="22"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Подмярка/</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Фокус област</w:t>
                  </w:r>
                </w:p>
              </w:tc>
              <w:tc>
                <w:tcPr>
                  <w:tcW w:w="623" w:type="pct"/>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2A</w:t>
                  </w:r>
                </w:p>
              </w:tc>
              <w:tc>
                <w:tcPr>
                  <w:tcW w:w="573" w:type="pct"/>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2Б</w:t>
                  </w:r>
                </w:p>
              </w:tc>
              <w:tc>
                <w:tcPr>
                  <w:tcW w:w="573" w:type="pct"/>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А, Б, В</w:t>
                  </w:r>
                </w:p>
              </w:tc>
              <w:tc>
                <w:tcPr>
                  <w:tcW w:w="603" w:type="pct"/>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5А</w:t>
                  </w:r>
                </w:p>
              </w:tc>
              <w:tc>
                <w:tcPr>
                  <w:tcW w:w="573" w:type="pct"/>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5Б</w:t>
                  </w:r>
                </w:p>
              </w:tc>
              <w:tc>
                <w:tcPr>
                  <w:tcW w:w="521" w:type="pct"/>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5В</w:t>
                  </w:r>
                </w:p>
              </w:tc>
              <w:tc>
                <w:tcPr>
                  <w:tcW w:w="447" w:type="pct"/>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5Г</w:t>
                  </w:r>
                </w:p>
              </w:tc>
              <w:tc>
                <w:tcPr>
                  <w:tcW w:w="520" w:type="pct"/>
                  <w:tcBorders>
                    <w:left w:val="inset" w:sz="6" w:space="0" w:color="808080"/>
                    <w:bottom w:val="inset" w:sz="6" w:space="0" w:color="808080"/>
                  </w:tcBorders>
                  <w:shd w:val="clear" w:color="auto" w:fill="EBF1DE"/>
                  <w:noWrap w:val="0"/>
                  <w:tcMar>
                    <w:top w:w="25"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Общо</w:t>
                  </w:r>
                </w:p>
              </w:tc>
            </w:tr>
            <w:tr>
              <w:tblPrEx>
                <w:tblW w:w="5000" w:type="pct"/>
                <w:tblCellMar>
                  <w:top w:w="15" w:type="dxa"/>
                  <w:left w:w="15" w:type="dxa"/>
                  <w:bottom w:w="15" w:type="dxa"/>
                  <w:right w:w="15" w:type="dxa"/>
                </w:tblCellMar>
                <w:tblLook w:val="05E0"/>
              </w:tblPrEx>
              <w:trPr>
                <w:trHeight w:val="300"/>
              </w:trPr>
              <w:tc>
                <w:tcPr>
                  <w:tcW w:w="567" w:type="pct"/>
                  <w:vMerge w:val="restart"/>
                  <w:tcBorders>
                    <w:top w:val="inset" w:sz="6" w:space="0" w:color="808080"/>
                    <w:right w:val="inset" w:sz="6" w:space="0" w:color="808080"/>
                  </w:tcBorders>
                  <w:shd w:val="clear" w:color="auto" w:fill="EBF1DE"/>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4.1</w:t>
                  </w:r>
                </w:p>
              </w:tc>
              <w:tc>
                <w:tcPr>
                  <w:tcW w:w="623"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417 040 825</w:t>
                  </w:r>
                </w:p>
              </w:tc>
              <w:tc>
                <w:tcPr>
                  <w:tcW w:w="573"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83 179 298</w:t>
                  </w:r>
                </w:p>
              </w:tc>
              <w:tc>
                <w:tcPr>
                  <w:tcW w:w="573"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50 518 987</w:t>
                  </w:r>
                </w:p>
              </w:tc>
              <w:tc>
                <w:tcPr>
                  <w:tcW w:w="603"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77 491 225</w:t>
                  </w:r>
                </w:p>
              </w:tc>
              <w:tc>
                <w:tcPr>
                  <w:tcW w:w="573"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85 342 486</w:t>
                  </w:r>
                </w:p>
              </w:tc>
              <w:tc>
                <w:tcPr>
                  <w:tcW w:w="521"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1 841 489</w:t>
                  </w:r>
                </w:p>
              </w:tc>
              <w:tc>
                <w:tcPr>
                  <w:tcW w:w="447"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773 326</w:t>
                  </w:r>
                </w:p>
              </w:tc>
              <w:tc>
                <w:tcPr>
                  <w:tcW w:w="520"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716 187 638</w:t>
                  </w:r>
                </w:p>
              </w:tc>
            </w:tr>
            <w:tr>
              <w:tblPrEx>
                <w:tblW w:w="5000" w:type="pct"/>
                <w:tblCellMar>
                  <w:top w:w="15" w:type="dxa"/>
                  <w:left w:w="15" w:type="dxa"/>
                  <w:bottom w:w="15" w:type="dxa"/>
                  <w:right w:w="15" w:type="dxa"/>
                </w:tblCellMar>
                <w:tblLook w:val="05E0"/>
              </w:tblPrEx>
              <w:trPr>
                <w:trHeight w:val="300"/>
              </w:trPr>
              <w:tc>
                <w:tcPr>
                  <w:vMerge/>
                  <w:tcBorders>
                    <w:top w:val="inset" w:sz="6" w:space="0" w:color="808080"/>
                    <w:righ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c>
                <w:tcPr>
                  <w:tcW w:w="623"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-12 203 406</w:t>
                  </w:r>
                </w:p>
              </w:tc>
              <w:tc>
                <w:tcPr>
                  <w:tcW w:w="573"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-317 647</w:t>
                  </w:r>
                </w:p>
              </w:tc>
              <w:tc>
                <w:tcPr>
                  <w:tcW w:w="573"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-5 062 971</w:t>
                  </w:r>
                </w:p>
              </w:tc>
              <w:tc>
                <w:tcPr>
                  <w:tcW w:w="603"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-19 281 349</w:t>
                  </w:r>
                </w:p>
              </w:tc>
              <w:tc>
                <w:tcPr>
                  <w:tcW w:w="573"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-154 088</w:t>
                  </w:r>
                </w:p>
              </w:tc>
              <w:tc>
                <w:tcPr>
                  <w:tcW w:w="521"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447"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520"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-37 019 461</w:t>
                  </w:r>
                </w:p>
              </w:tc>
            </w:tr>
            <w:tr>
              <w:tblPrEx>
                <w:tblW w:w="5000" w:type="pct"/>
                <w:tblCellMar>
                  <w:top w:w="15" w:type="dxa"/>
                  <w:left w:w="15" w:type="dxa"/>
                  <w:bottom w:w="15" w:type="dxa"/>
                  <w:right w:w="15" w:type="dxa"/>
                </w:tblCellMar>
                <w:tblLook w:val="05E0"/>
              </w:tblPrEx>
              <w:trPr>
                <w:trHeight w:val="300"/>
              </w:trPr>
              <w:tc>
                <w:tcPr>
                  <w:vMerge/>
                  <w:tcBorders>
                    <w:top w:val="inset" w:sz="6" w:space="0" w:color="808080"/>
                    <w:righ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c>
                <w:tcPr>
                  <w:tcW w:w="623" w:type="pct"/>
                  <w:tcBorders>
                    <w:top w:val="inset" w:sz="6" w:space="0" w:color="808080"/>
                    <w:left w:val="inset" w:sz="6" w:space="0" w:color="808080"/>
                    <w:right w:val="inset" w:sz="6" w:space="0" w:color="808080"/>
                  </w:tcBorders>
                  <w:shd w:val="clear" w:color="auto" w:fill="EBF1DE"/>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404 837 420</w:t>
                  </w:r>
                </w:p>
              </w:tc>
              <w:tc>
                <w:tcPr>
                  <w:tcW w:w="573" w:type="pct"/>
                  <w:tcBorders>
                    <w:top w:val="inset" w:sz="6" w:space="0" w:color="808080"/>
                    <w:left w:val="inset" w:sz="6" w:space="0" w:color="808080"/>
                    <w:right w:val="inset" w:sz="6" w:space="0" w:color="808080"/>
                  </w:tcBorders>
                  <w:shd w:val="clear" w:color="auto" w:fill="EBF1DE"/>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82 861 651</w:t>
                  </w:r>
                </w:p>
              </w:tc>
              <w:tc>
                <w:tcPr>
                  <w:tcW w:w="573" w:type="pct"/>
                  <w:tcBorders>
                    <w:top w:val="inset" w:sz="6" w:space="0" w:color="808080"/>
                    <w:left w:val="inset" w:sz="6" w:space="0" w:color="808080"/>
                    <w:right w:val="inset" w:sz="6" w:space="0" w:color="808080"/>
                  </w:tcBorders>
                  <w:shd w:val="clear" w:color="auto" w:fill="EBF1DE"/>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45 456 017</w:t>
                  </w:r>
                </w:p>
              </w:tc>
              <w:tc>
                <w:tcPr>
                  <w:tcW w:w="603" w:type="pct"/>
                  <w:tcBorders>
                    <w:top w:val="inset" w:sz="6" w:space="0" w:color="808080"/>
                    <w:left w:val="inset" w:sz="6" w:space="0" w:color="808080"/>
                    <w:right w:val="inset" w:sz="6" w:space="0" w:color="808080"/>
                  </w:tcBorders>
                  <w:shd w:val="clear" w:color="auto" w:fill="EBF1DE"/>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58 209 876</w:t>
                  </w:r>
                </w:p>
              </w:tc>
              <w:tc>
                <w:tcPr>
                  <w:tcW w:w="573" w:type="pct"/>
                  <w:tcBorders>
                    <w:top w:val="inset" w:sz="6" w:space="0" w:color="808080"/>
                    <w:left w:val="inset" w:sz="6" w:space="0" w:color="808080"/>
                    <w:right w:val="inset" w:sz="6" w:space="0" w:color="808080"/>
                  </w:tcBorders>
                  <w:shd w:val="clear" w:color="auto" w:fill="EBF1DE"/>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85 188 398</w:t>
                  </w:r>
                </w:p>
              </w:tc>
              <w:tc>
                <w:tcPr>
                  <w:tcW w:w="521" w:type="pct"/>
                  <w:tcBorders>
                    <w:top w:val="inset" w:sz="6" w:space="0" w:color="808080"/>
                    <w:left w:val="inset" w:sz="6" w:space="0" w:color="808080"/>
                    <w:right w:val="inset" w:sz="6" w:space="0" w:color="808080"/>
                  </w:tcBorders>
                  <w:shd w:val="clear" w:color="auto" w:fill="EBF1DE"/>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1 841 489</w:t>
                  </w:r>
                </w:p>
              </w:tc>
              <w:tc>
                <w:tcPr>
                  <w:tcW w:w="447" w:type="pct"/>
                  <w:tcBorders>
                    <w:top w:val="inset" w:sz="6" w:space="0" w:color="808080"/>
                    <w:left w:val="inset" w:sz="6" w:space="0" w:color="808080"/>
                    <w:right w:val="inset" w:sz="6" w:space="0" w:color="808080"/>
                  </w:tcBorders>
                  <w:shd w:val="clear" w:color="auto" w:fill="EBF1DE"/>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773 326</w:t>
                  </w:r>
                </w:p>
              </w:tc>
              <w:tc>
                <w:tcPr>
                  <w:tcW w:w="520" w:type="pct"/>
                  <w:tcBorders>
                    <w:top w:val="inset" w:sz="6" w:space="0" w:color="808080"/>
                    <w:left w:val="inset" w:sz="6" w:space="0" w:color="808080"/>
                  </w:tcBorders>
                  <w:shd w:val="clear" w:color="auto" w:fill="EBF1DE"/>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679 168 177</w:t>
                  </w:r>
                </w:p>
              </w:tc>
            </w:tr>
          </w:tbl>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Също така, УО на ПРСР предлага преразпределяне и на средства вътре в рамките на подмярката, с цел недопускане на дефицит към края на 2025 г. – суми в размер до 2 млн. евро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Извеждане на средства от подмярка  4.2 „Инвестиции в преработка/маркетинг на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01.03.2025 г. по подмярка 4.2 „Инвестиции в преработка/маркетинг на селскостопански продукти“ е наличен общ остатък както следва (вкл. 22 402 902 евро по линия на EURI):</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Таблица 12,</w:t>
            </w:r>
            <w:r>
              <w:rPr>
                <w:rFonts w:ascii="Times New Roman" w:eastAsia="Times New Roman" w:hAnsi="Times New Roman" w:cs="Times New Roman"/>
                <w:szCs w:val="24"/>
              </w:rPr>
              <w:t xml:space="preserve"> сумите са в евро, публични средства:</w:t>
            </w:r>
          </w:p>
          <w:tbl>
            <w:tblPr>
              <w:tblStyle w:val="Table"/>
              <w:tblW w:w="7500" w:type="dxa"/>
              <w:jc w:val="center"/>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1953"/>
              <w:gridCol w:w="1312"/>
              <w:gridCol w:w="1312"/>
              <w:gridCol w:w="1219"/>
              <w:gridCol w:w="1663"/>
            </w:tblGrid>
            <w:tr>
              <w:tblPrEx>
                <w:tblW w:w="7500" w:type="dxa"/>
                <w:jc w:val="center"/>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660"/>
                <w:jc w:val="center"/>
              </w:trPr>
              <w:tc>
                <w:tcPr>
                  <w:tcW w:w="1528" w:type="dxa"/>
                  <w:tcBorders>
                    <w:bottom w:val="inset" w:sz="6" w:space="0" w:color="808080"/>
                    <w:right w:val="inset" w:sz="6" w:space="0" w:color="808080"/>
                  </w:tcBorders>
                  <w:shd w:val="clear" w:color="auto" w:fill="EBF1DE"/>
                  <w:noWrap w:val="0"/>
                  <w:tcMar>
                    <w:top w:w="25"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Подмярка/Фокус област</w:t>
                  </w:r>
                </w:p>
              </w:tc>
              <w:tc>
                <w:tcPr>
                  <w:tcW w:w="1525" w:type="dxa"/>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3А</w:t>
                  </w:r>
                </w:p>
              </w:tc>
              <w:tc>
                <w:tcPr>
                  <w:tcW w:w="1525" w:type="dxa"/>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5Б</w:t>
                  </w:r>
                </w:p>
              </w:tc>
              <w:tc>
                <w:tcPr>
                  <w:tcW w:w="1405" w:type="dxa"/>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5В</w:t>
                  </w:r>
                </w:p>
              </w:tc>
              <w:tc>
                <w:tcPr>
                  <w:tcW w:w="1768" w:type="dxa"/>
                  <w:tcBorders>
                    <w:left w:val="inset" w:sz="6" w:space="0" w:color="808080"/>
                    <w:bottom w:val="inset" w:sz="6" w:space="0" w:color="808080"/>
                  </w:tcBorders>
                  <w:shd w:val="clear" w:color="auto" w:fill="EBF1DE"/>
                  <w:noWrap w:val="0"/>
                  <w:tcMar>
                    <w:top w:w="25"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Общо, евро публични средства</w:t>
                  </w:r>
                </w:p>
              </w:tc>
            </w:tr>
            <w:tr>
              <w:tblPrEx>
                <w:tblW w:w="7500" w:type="dxa"/>
                <w:jc w:val="center"/>
                <w:tblCellMar>
                  <w:top w:w="15" w:type="dxa"/>
                  <w:left w:w="15" w:type="dxa"/>
                  <w:bottom w:w="15" w:type="dxa"/>
                  <w:right w:w="15" w:type="dxa"/>
                </w:tblCellMar>
                <w:tblLook w:val="05E0"/>
              </w:tblPrEx>
              <w:trPr>
                <w:trHeight w:val="300"/>
                <w:jc w:val="center"/>
              </w:trPr>
              <w:tc>
                <w:tcPr>
                  <w:tcW w:w="1528" w:type="dxa"/>
                  <w:tcBorders>
                    <w:top w:val="inset" w:sz="6" w:space="0" w:color="808080"/>
                    <w:right w:val="inset" w:sz="6" w:space="0" w:color="808080"/>
                  </w:tcBorders>
                  <w:shd w:val="clear" w:color="auto" w:fill="EBF1DE"/>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4.2</w:t>
                  </w:r>
                </w:p>
              </w:tc>
              <w:tc>
                <w:tcPr>
                  <w:tcW w:w="1525"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31 682 096</w:t>
                  </w:r>
                </w:p>
              </w:tc>
              <w:tc>
                <w:tcPr>
                  <w:tcW w:w="1525"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2 121 672</w:t>
                  </w:r>
                </w:p>
              </w:tc>
              <w:tc>
                <w:tcPr>
                  <w:tcW w:w="1405"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2 054 291</w:t>
                  </w:r>
                </w:p>
              </w:tc>
              <w:tc>
                <w:tcPr>
                  <w:tcW w:w="1768" w:type="dxa"/>
                  <w:tcBorders>
                    <w:top w:val="inset" w:sz="6" w:space="0" w:color="808080"/>
                    <w:left w:val="inset" w:sz="6" w:space="0" w:color="808080"/>
                  </w:tcBorders>
                  <w:noWrap w:val="0"/>
                  <w:tcMar>
                    <w:top w:w="22" w:type="dxa"/>
                    <w:left w:w="22" w:type="dxa"/>
                    <w:bottom w:w="25"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35 858 059</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Тъй като голяма част от остатъчните средства не попадат в рамките на средствата, заделени по линия на чл. 59, ал. 6 от Регламент 1305/2013, средства в размер на 4 705 882 евро публични средства, извеждани за покриване изискванията на чл. 38 от Регламент 1306/2013 са именно от фокус област 3А.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този начин, предлаганите изменения изцяло съобразени с изискванията на чл. 59, ал. 6 от Регламент 1305/2013, като процентът, общо заделен за тези инвестиции не се намалява.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Извеждане на средства от подмярка 7.2. „Инвестиции в създаването, подобряването или разширяването на всички видове малка по мащаби инфраструктура“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са стартирани четири приема на заявления – съответно през 2016, 2017, 2018, и 2022 календарни години, като в тях е ангажиран целия наличен индикативен бюджет, разпределен за подмярката.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последните състояли се приеми за подбор на проектни предложения през 2022 г. по Подмярка 7.2 „Инвестиции в създаването, подобряването или разширяването на всички видове малка по мащаби инфраструктура“, УО на ПРСР обяви бюджет първоначално в размер на 150 000 000 евро общо за четири стартирани процедури. Интересът на кандидатите – общини на територията на селските райони в страната е изключително висок и нуждите значително надвишат определените бюджети, като:</w:t>
            </w:r>
          </w:p>
          <w:p>
            <w:pPr>
              <w:numPr>
                <w:ilvl w:val="0"/>
                <w:numId w:val="2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процедура „Пътища“ са подадени 51 проектни предложения с обща стойност на заявените разходи в размер на 71,6 млн. евро.</w:t>
            </w:r>
          </w:p>
          <w:p>
            <w:pPr>
              <w:numPr>
                <w:ilvl w:val="0"/>
                <w:numId w:val="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процедура „Улици“ са подадени 108 проектни предложения с обща стойност на заявените разходи в размер на близо 101,2 млн. евро.</w:t>
            </w:r>
          </w:p>
          <w:p>
            <w:pPr>
              <w:numPr>
                <w:ilvl w:val="0"/>
                <w:numId w:val="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процедура „Енергийна ефективност“ са подадени 122 проектни предложения с обща стойност на заявените разходи в размер на близо 53,2 млн. евро.</w:t>
            </w:r>
          </w:p>
          <w:p>
            <w:pPr>
              <w:numPr>
                <w:ilvl w:val="0"/>
                <w:numId w:val="2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процедура „Вода“ са подадени 35 проектни предложения с обща стойност на заявените разходи в размер на близо 46,6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След направен анализа на състоянието на мярката, към 01.03.2025 г. са налични остатъчни средства, освободени от анексиране на вече сключени договори.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друга страна, общо планираните публични средства по подмярка 6.4.1 „Инвестиционна подкрепа за неземеделски дейности“  за периода 2014-2020 г. възлизат на 32 739 831 евро публични средства. Към 01.03.2025 г. от страна на ДФЗ са докладвани увеличения по договори (в общия случай - върнати за договаряне проектни предложения след съдебни решения), което при приключване на програмата би генерирало дефицит в размер на 1 240 000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Предложението на УО на ПРСР е за прехвърляне на средства в размер на 1 240 000 евро публични средства от подмярка 7.2, към подмярка 6.4.1, с цел покриване на бъдещите предвидени плащания по мярката до края на 2025 г. По този начин общият бюджет на мярката ще се увеличи до 33 979 831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Средства не попадат в рамките на средствата, заделени по линия на чл. 59, ал. 6 от Регламент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IV. Добавяне на средства към мерки и подмерки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Добавяне на средства към подмярка 4.2 „Инвестиции в преработка/маркетинг на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Както е описано в глава II, със Заповед № РД09-771 от 11.07.2024 г. на ръководителят на Управляващия орган на Програмата за развитие на селските райони за периода 2014 – 2020 г. е обявен целеви прием за инвестиции и дейности, осигуряващи опазване на компонентите на околната среда, включително ВЕИ по подмярка 4.2.</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Приемът е с общ бюджет 27 000 000 евро публични средства. В периода на приема са постъпили 210 проектни предложения с обща стойност на заявените публични средства /БФП/ в размер на 47 095 847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ДФЗ извърши предварителна оценка на постъпилите проектни предложения. Едно проектно предложение беше оттеглено, а 162 проектни предложения преминаха на последващ етап за обработка по процедурата – Оценка на административно съответствие и допустимост. Останалите проектни предложения към момента не са разглеждани, поради недостатъчен бюджет по процедурата.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Осигуряването на допълнителен финансов ресурс в размер на до 20 млн. евро по подмярка 4.2 ще предостави възможност за сключването на договори с всички  кандидати, чиито проектни предложения са получили изискуемият брой точки по критериите за подбор (мин. 10) и същите отговарят на условията и изискванията за предоставяне на финансова помощ, съгласно Условията за кандидатстване по процедурата.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резултат на подпомогнатите допълнителни проектни предложения се очаква да бъде постигнат значителен екологичен ефект от производството в страната и инвестиции, свързани с намаляване на вредните емисии при използване на технологии за производство на топлинна енергия и на енергия от възобновяеми енергийни източници.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След направен анализ, включително на средствата по М4.1 и тези М4.2, освободени от приемите досега и от текущо разглежданите заявления, с цел одобрение на по-голям брой заявления с равен брой точки по подмярка 4.2, УО счита, че част от средствата - 13 млн. евро, недостигащи за финансиране на всички проекти по процедурата (общо 20 млн. евро) може да бъдат прехвърлени от подмярка 4.1 към подмярка 4.2, друга част – с цел минимално прехвърляне между мерки - преразпределени вътре в рамките на подмярка 4.2, а част от средствата, които не може да бъдат използвани за дофинансиране на процедурата (такива във фокус област 3А), съответно и изведени извън нея с цел адресиране на сумите съгласно изискванията на чл. 38 от Регламент 1306/2013.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Таблица 13,</w:t>
            </w:r>
            <w:r>
              <w:rPr>
                <w:rFonts w:ascii="Times New Roman" w:eastAsia="Times New Roman" w:hAnsi="Times New Roman" w:cs="Times New Roman"/>
                <w:szCs w:val="24"/>
              </w:rPr>
              <w:t xml:space="preserve"> сумите са в евро, публични средства:</w:t>
            </w:r>
          </w:p>
          <w:tbl>
            <w:tblPr>
              <w:tblStyle w:val="Table"/>
              <w:tblW w:w="8484" w:type="dxa"/>
              <w:jc w:val="center"/>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2258"/>
              <w:gridCol w:w="1540"/>
              <w:gridCol w:w="1668"/>
              <w:gridCol w:w="1410"/>
              <w:gridCol w:w="1568"/>
            </w:tblGrid>
            <w:tr>
              <w:tblPrEx>
                <w:tblW w:w="8484" w:type="dxa"/>
                <w:jc w:val="center"/>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300"/>
                <w:jc w:val="center"/>
              </w:trPr>
              <w:tc>
                <w:tcPr>
                  <w:tcW w:w="2316" w:type="dxa"/>
                  <w:tcBorders>
                    <w:bottom w:val="inset" w:sz="6" w:space="0" w:color="808080"/>
                    <w:right w:val="inset" w:sz="6" w:space="0" w:color="808080"/>
                  </w:tcBorders>
                  <w:shd w:val="clear" w:color="auto" w:fill="EBF1DE"/>
                  <w:noWrap w:val="0"/>
                  <w:tcMar>
                    <w:top w:w="25" w:type="dxa"/>
                    <w:left w:w="25" w:type="dxa"/>
                    <w:bottom w:w="22" w:type="dxa"/>
                    <w:right w:w="22"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Подмярка</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/фокус област</w:t>
                  </w:r>
                </w:p>
              </w:tc>
              <w:tc>
                <w:tcPr>
                  <w:tcW w:w="1605" w:type="dxa"/>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3А</w:t>
                  </w:r>
                </w:p>
              </w:tc>
              <w:tc>
                <w:tcPr>
                  <w:tcW w:w="1746" w:type="dxa"/>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5Б</w:t>
                  </w:r>
                </w:p>
              </w:tc>
              <w:tc>
                <w:tcPr>
                  <w:tcW w:w="1462" w:type="dxa"/>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5В</w:t>
                  </w:r>
                </w:p>
              </w:tc>
              <w:tc>
                <w:tcPr>
                  <w:tcW w:w="1606" w:type="dxa"/>
                  <w:tcBorders>
                    <w:left w:val="inset" w:sz="6" w:space="0" w:color="808080"/>
                    <w:bottom w:val="inset" w:sz="6" w:space="0" w:color="808080"/>
                  </w:tcBorders>
                  <w:shd w:val="clear" w:color="auto" w:fill="EBF1DE"/>
                  <w:noWrap w:val="0"/>
                  <w:tcMar>
                    <w:top w:w="25"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Общо</w:t>
                  </w:r>
                </w:p>
              </w:tc>
            </w:tr>
            <w:tr>
              <w:tblPrEx>
                <w:tblW w:w="8484" w:type="dxa"/>
                <w:jc w:val="center"/>
                <w:tblCellMar>
                  <w:top w:w="15" w:type="dxa"/>
                  <w:left w:w="15" w:type="dxa"/>
                  <w:bottom w:w="15" w:type="dxa"/>
                  <w:right w:w="15" w:type="dxa"/>
                </w:tblCellMar>
                <w:tblLook w:val="05E0"/>
              </w:tblPrEx>
              <w:trPr>
                <w:trHeight w:val="345"/>
                <w:jc w:val="center"/>
              </w:trPr>
              <w:tc>
                <w:tcPr>
                  <w:tcW w:w="2316" w:type="dxa"/>
                  <w:vMerge w:val="restart"/>
                  <w:tcBorders>
                    <w:top w:val="inset" w:sz="6" w:space="0" w:color="808080"/>
                    <w:right w:val="inset" w:sz="6" w:space="0" w:color="808080"/>
                  </w:tcBorders>
                  <w:shd w:val="clear" w:color="auto" w:fill="EBF1DE"/>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4.2</w:t>
                  </w:r>
                </w:p>
              </w:tc>
              <w:tc>
                <w:tcPr>
                  <w:tcW w:w="1605"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384 989 275</w:t>
                  </w:r>
                </w:p>
              </w:tc>
              <w:tc>
                <w:tcPr>
                  <w:tcW w:w="1746"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81 389 965</w:t>
                  </w:r>
                </w:p>
              </w:tc>
              <w:tc>
                <w:tcPr>
                  <w:tcW w:w="1462"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47 446 509</w:t>
                  </w:r>
                </w:p>
              </w:tc>
              <w:tc>
                <w:tcPr>
                  <w:tcW w:w="1606" w:type="dxa"/>
                  <w:tcBorders>
                    <w:top w:val="inset" w:sz="6" w:space="0" w:color="808080"/>
                    <w:left w:val="inset" w:sz="6" w:space="0" w:color="808080"/>
                    <w:bottom w:val="inset" w:sz="6" w:space="0" w:color="808080"/>
                  </w:tcBorders>
                  <w:shd w:val="clear" w:color="auto" w:fill="EBF1DE"/>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513 825 749</w:t>
                  </w:r>
                </w:p>
              </w:tc>
            </w:tr>
            <w:tr>
              <w:tblPrEx>
                <w:tblW w:w="8484" w:type="dxa"/>
                <w:jc w:val="center"/>
                <w:tblCellMar>
                  <w:top w:w="15" w:type="dxa"/>
                  <w:left w:w="15" w:type="dxa"/>
                  <w:bottom w:w="15" w:type="dxa"/>
                  <w:right w:w="15" w:type="dxa"/>
                </w:tblCellMar>
                <w:tblLook w:val="05E0"/>
              </w:tblPrEx>
              <w:trPr>
                <w:trHeight w:val="300"/>
                <w:jc w:val="center"/>
              </w:trPr>
              <w:tc>
                <w:tcPr>
                  <w:vMerge/>
                  <w:tcBorders>
                    <w:top w:val="inset" w:sz="6" w:space="0" w:color="808080"/>
                    <w:righ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c>
                <w:tcPr>
                  <w:tcW w:w="160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-4 705 882</w:t>
                  </w:r>
                </w:p>
              </w:tc>
              <w:tc>
                <w:tcPr>
                  <w:tcW w:w="17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5 312 971</w:t>
                  </w:r>
                </w:p>
              </w:tc>
              <w:tc>
                <w:tcPr>
                  <w:tcW w:w="14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12 251 437</w:t>
                  </w:r>
                </w:p>
              </w:tc>
              <w:tc>
                <w:tcPr>
                  <w:tcW w:w="160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12 858 526</w:t>
                  </w:r>
                </w:p>
              </w:tc>
            </w:tr>
            <w:tr>
              <w:tblPrEx>
                <w:tblW w:w="8484" w:type="dxa"/>
                <w:jc w:val="center"/>
                <w:tblCellMar>
                  <w:top w:w="15" w:type="dxa"/>
                  <w:left w:w="15" w:type="dxa"/>
                  <w:bottom w:w="15" w:type="dxa"/>
                  <w:right w:w="15" w:type="dxa"/>
                </w:tblCellMar>
                <w:tblLook w:val="05E0"/>
              </w:tblPrEx>
              <w:trPr>
                <w:trHeight w:val="300"/>
                <w:jc w:val="center"/>
              </w:trPr>
              <w:tc>
                <w:tcPr>
                  <w:vMerge/>
                  <w:tcBorders>
                    <w:top w:val="inset" w:sz="6" w:space="0" w:color="808080"/>
                    <w:righ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c>
                <w:tcPr>
                  <w:tcW w:w="1605" w:type="dxa"/>
                  <w:tcBorders>
                    <w:top w:val="inset" w:sz="6" w:space="0" w:color="808080"/>
                    <w:left w:val="inset" w:sz="6" w:space="0" w:color="808080"/>
                    <w:right w:val="inset" w:sz="6" w:space="0" w:color="808080"/>
                  </w:tcBorders>
                  <w:shd w:val="clear" w:color="auto" w:fill="EBF1DE"/>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380 283 393</w:t>
                  </w:r>
                </w:p>
              </w:tc>
              <w:tc>
                <w:tcPr>
                  <w:tcW w:w="1746" w:type="dxa"/>
                  <w:tcBorders>
                    <w:top w:val="inset" w:sz="6" w:space="0" w:color="808080"/>
                    <w:left w:val="inset" w:sz="6" w:space="0" w:color="808080"/>
                    <w:right w:val="inset" w:sz="6" w:space="0" w:color="808080"/>
                  </w:tcBorders>
                  <w:shd w:val="clear" w:color="auto" w:fill="EBF1DE"/>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86 702 936</w:t>
                  </w:r>
                </w:p>
              </w:tc>
              <w:tc>
                <w:tcPr>
                  <w:tcW w:w="1462" w:type="dxa"/>
                  <w:tcBorders>
                    <w:top w:val="inset" w:sz="6" w:space="0" w:color="808080"/>
                    <w:left w:val="inset" w:sz="6" w:space="0" w:color="808080"/>
                    <w:right w:val="inset" w:sz="6" w:space="0" w:color="808080"/>
                  </w:tcBorders>
                  <w:shd w:val="clear" w:color="auto" w:fill="EBF1DE"/>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59 697 946</w:t>
                  </w:r>
                </w:p>
              </w:tc>
              <w:tc>
                <w:tcPr>
                  <w:tcW w:w="1606" w:type="dxa"/>
                  <w:tcBorders>
                    <w:top w:val="inset" w:sz="6" w:space="0" w:color="808080"/>
                    <w:left w:val="inset" w:sz="6" w:space="0" w:color="808080"/>
                  </w:tcBorders>
                  <w:shd w:val="clear" w:color="auto" w:fill="EBF1DE"/>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526 684 275</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Добавяне на средства към подмярка 6.4.1. „Инвестиционна подкрепа за неземеделски дейности“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Общо планираните публични средства по мярка „Инвестиционна подкрепа за неземеделски дейности“  за периода 2014-2020 г. възлизат на 32 739 831 евро публични средства, разпределени в приоритет 6 „Насърчаване на социалното приобщаване, намаляването на бедността и икономическото развитие в селските райони“, фокус област 6А „Улесняване на разнообразяването, създаването и развитието на малки предприятия, както и разкриването на работни места“. Към 01.03.2025 г. от страна на ДФЗ са докладвани увеличения по договори (в общия случай - върнати за договаряне проектни предложения след съдебни решения), което при приключване на програмата би генерирало дефицит в размер на 1 240 000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Предложението на УО на ПРСР е за прехвърляне на средства в размер на 1 240 000 евро публични средства, с цел покриване на бъдещите предвидени плащания по мярката до края на 2025 г. По този начин общият бюджет на мярката ще се увеличи до 33 979 831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Средствата е предвидено да бъдат осигурени от генериран остатък в рамките на мярка 7 „Основни услуги и обновяване на селата в селските райони“, който текущо е също в приоритет 6 „Насърчаване на социалното приобщаване, намаляването на бедността и икономическото развитие в селските райони“, фокус област 6Б „Стимулиране на местното развитие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Добавяне на средства към Мярка 10 „Агроекология и климат", Мярка 11 „Биологично земеделие", Мярка 12 „Плащания по „Натура-2000” и Рамковата директива  за водите", Мярка 13 „Плащания за райони, изправени пред природни или други специфични ограничения", Мярка 14 „Хуманно отношение към животните"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мерките, предприети за намаляване на риска от автоматично отчисление на средства по ПРСР 2014-2020, в периода 15-20 ноември 2024 г. бе проведена чрез имейл писмена комуникация със службите на ЕК, с основния въпрос „може ли плащане по дадена мярка да бъде извършено така, че бюджета на мярката да бъде реално надплатен преди 31.12.2024 г., а изменение на ПРСР 2014-2020 г. с предложение за увеличаване на бюджета на съответната мярка да бъде изпратено през календарната 2025 г., без да се засяга по принцип възстановяването на средствата от ЕК (без надвнесените суми да останат за сметка на държавата), и същото това надплащане би ли било зачетено по правилото N+3 към 31.12.2024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Отговорът на ЕК бе положителен - в посока, че такова плащане е допустимо да бъде направено, и то ще се добави към сумата, необходима за покриване на правилото N+3, при положение че плащането е направено преди 31.12.2024 г., и че след това с одобрено изменение на Програмата ще се адаптира съответно бюджета на съответната мярка. Междувременно, надплатените суми над бюджета на мярката (респ. фокус областта) няма да бъдат възстановени на държавата членка до влизане в сила на изменението, с което се увеличава бюджета на 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резултат, в ДФЗ бе създадена в спешен порядък организация, и бяха разплатени всички налични заявления по мерките с плащане на площ, генерирайки надплащане над размерите на съответните мерки. С настоящото изменение УО на ПРСР предлага преразпределяне на средства към горепосочените мерки с плащане на площ, като освен надплатените средства към края на годината, предлагаме прехвърляне на определени суми, които, по данни на ДФЗ се предвижда да бъдат разплатени в рамките на, и до края на 2025 календарна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10 „Агроекология и климат“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Общо планираните публични средства по мярка 10 „Агроекология и климат“ за периода 2014-2020 г. възлизат на 266 151 283 евро (от които 8 000 000 евро по линия на инструмента EURI). Разплащанията към 01.03.2025 г. са в размер на 268 997 181 евро публични средства, което генерира текущ дефицит в размер на 2 910 769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Предложението на УО на ПРСР е за прехвърляне на средства в размер на 4 723 333 евро публични средства, с цел покриване както на текущия дефицит, така и на бъдещите предвидени плащания по мярката до края на 2025 г. По този начин общият бюджет на мярката ще се увеличи до 270 874 616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11 „Биологично земеделие“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Общо планираните публични средства по мярка 11 „Биологично земеделие“ за периода 2014-2020 г. възлизат на 207 443 439 евро публични средства. Разплащанията към 01.03.2025 г. са в размер на 208 194 679 евро публични средства, което генерира текущ дефицит в размер на 751 240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Предложението на УО на ПРСР е за прехвърляне на средства в размер на 2 066 667 евро публични средства, с цел покриване както на текущия дефицит, така и на бъдещите предвидени плащания по мярката до края на 2025 г. По този начин общият бюджет на мярката ще се увеличи до 209 510 106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12 „Плащания по „Натура-2000” и Рамковата директива  за водите"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Общо планираните публични средства по мярка 12 „Плащания по „Натура-2000” и Рамковата директива  за водите" за периода 2014-2020 г. възлизат на 198 276 037 евро публични средства. Разплащанията към 01.03.2025 г. са в размер на 198 155 071 евро публични средства, което не генерира текущ дефицит, но по данни на ДФЗ са предвидени доплащания в размер до 250 000 евро публични средства до края на 2025 г., с което мярката би била надплатена.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Предложението на УО на ПРСР е за прехвърляне на средства в размер на 133 333 евро публични средства, с цел покриване на бъдещите предвидени плащания по мярката до края на 2025 г. По този начин общият бюджет на мярката ще се увеличи до 198 409 371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13 „Плащания за райони, изправени пред природни или други специфични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Общо планираните публични средства по мярка 13 „Плащания за райони, изправени пред природни или други специфични ограничения" за периода 2014-2020 г. възлизат на 383 814 675 евро публични средства. Разплащанията към 01.03.2025 г. са в размер на 383 575 248 евро публични средства, което не генерира текущ дефицит, но по данни на ДФЗ са предвидени доплащания в размер до 250 000 евро публични средства до края на 2025 г., с което мярката би била надплатена с малко над 10 000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Предложението на УО на ПРСР е за прехвърляне на средства в размер на 10 667 евро публични средства, с цел покриване на бъдещите предвидени плащания по мярката до края на 2025 г. По този начин общият бюджет на мярката ще се увеличи до 383 825 341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14 „Хуманно отношение към животните“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Общо планираните публични средства по мярка 14 „Хуманно отношение към животните“ за периода 2014-2020 г. възлизат на 22 391 536 евро публични средства. Разплащанията към 01.03.2025 г. са в размер на 22 451 034 евро публични средства, което генерира текущ дефицит в размер на 59 498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Предложението на УО на ПРСР е за прехвърляне на средства в размер на 317 647 евро публични средства, с цел покриване както на текущия дефицит, така и на бъдещите предвидени плащания по мярката до края на 2025 г. По този начин общият бюджет на мярката ще се увеличи до 22 649 184 евро публични средства.</w:t>
            </w:r>
          </w:p>
          <w:p>
            <w:pPr>
              <w:pStyle w:val="BodyText"/>
              <w:jc w:val="both"/>
              <w:rPr>
                <w:b w:val="0"/>
              </w:rPr>
            </w:pPr>
          </w:p>
        </w:tc>
      </w:tr>
    </w:tbl>
    <w:p>
      <w:pPr>
        <w:pStyle w:val="Heading5"/>
        <w:jc w:val="left"/>
        <w:rPr>
          <w:b w:val="0"/>
        </w:rPr>
      </w:pPr>
      <w:r>
        <w:rPr>
          <w:b w:val="0"/>
        </w:rPr>
        <w:t>Въздействие от промяната върху показателите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Прехвърлянето на средства от Подмерки 4.1. и 7.2. се предвижда да доведе до необходимост от промяна единствено във финансов аспект на целевите стойности на показателите за изпълнение, като евентуални съпътстващи промени в стойностите на показателите от Рамката за изпълнение се очакват отново единствено при тези с финансови стойности.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прехвърлянето вътре в подмярка 7.2. „Инвестиции в създаването, подобряването или разширяването на всички видове малка по мащаби инфраструктура“, към фокус област 5С (5В на кирилица)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 където при програмирането на ПРСР е предвидено по подмярка 7.2 да се подпомагат публични проекти за инвестиции във ВЕИ за собствено потребление, от Шести приоритет на Програмата – фокус област 6Б) „Стимулиране на местното развитие в селските райони“, се увеличават съответно сумите от 38 на 43 млн. евро във фокус област 5В, както и съответното намаление на сумите с 4 млн. евро във фокус област 6Б) „Стимулиране на местното развитие в селските райони“ по отношение на Мярка 7.</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предложените за извеждане средства от мерки с плащане на площ - Мярка 10 „Агроекология и климат“, Мярка 11 „Биологично земеделие“ и Мярка 12 „Плащания по „Натура-2000” и Рамковата директива за водите“ промяната във финансовите параметри на тези мерки не се предвижда да повлияе на заложените стратегически цели за площ, тъй като цяло са постигнати в задоволителна степен за мерките, които са стартирали към момента, а и не се предвижда заявяване на площи над текущо заявяваните по тези мерки. Единствените промени се предвижда да бъдат по отношение стойностите на показателите в чисто финансов аспект.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Всички останали промени, свързани с прехвърляне на средства, ще окажат влияние единствено на показателите за продукт (output) и целевите показатели, които директно резултират от разпределени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предвижда промяна на показателите, свързани със създаване на работни места, както и тези, свързани с площи.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Като цяло за изменението, са отчетени и съобразени и изискванията на чл. 59, ал. 6 от Регламент 1305/2013, както и т.нар „no backsliding principle” (съгласно който тази сума трябва да бъде като съотношение над 35.7%). След всички планирани за прехвърляне суми между мерки и подмерки на ПРСР 2014-2020, особено след добавяне на средства към мерки 10, 11, 12, 13 и 14, по така направените изчисления, съотношението като процент е дори по-високо в сравнение с последното 17-то изменение на ПРСР - в размер на 36.39%.</w:t>
            </w:r>
          </w:p>
          <w:p>
            <w:pPr>
              <w:pStyle w:val="BodyText"/>
              <w:jc w:val="both"/>
              <w:rPr>
                <w:b w:val="0"/>
              </w:rPr>
            </w:pPr>
          </w:p>
        </w:tc>
      </w:tr>
    </w:tbl>
    <w:p>
      <w:pPr>
        <w:pStyle w:val="Heading5"/>
        <w:jc w:val="left"/>
        <w:rPr>
          <w:b w:val="0"/>
        </w:rPr>
      </w:pPr>
      <w:r>
        <w:rPr>
          <w:b w:val="0"/>
        </w:rPr>
        <w:t>Връзка между изменението и споразумението за партньорство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настоящото предложение за изменение се предвижда извеждане на общо 45 646 525 евро от ЕЗФРСР (на тази сума отговарят 54 749 252 евро публични средства в мерките, от които се прави дедукцията). Прехвърлените суми към предложените мерки/подмерки са в размер на 37 839 964 евро публични средства. Като резултат, разполагаемите средства от ЕЗФРСР се намаляват със сумата от 14 372 895.01 евро, а именно от 3 129 044 775.00 евро до 3 114 671 879.99 евро, а публичната помощ намалява с 16 909 288 евро публични средства, от 3 791 876 986 евро до 3 774 967 698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Промяната не оказва негативно влияние върху държавния бюджет.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Изменението на ПРСР в този му вид, оказва влияние върху индикативното разпределение на суми по Тематични цели, от Споразумението за партньорство-  в таблица 1.4.1 „Ориентировъчен размер на разпределена подкрепа от Съюза по тематична цел на национално равнище за всеки от европейските структурни и инвестиционни фондове (в евро)“</w:t>
            </w:r>
          </w:p>
          <w:p>
            <w:pPr>
              <w:pStyle w:val="BodyText"/>
              <w:jc w:val="both"/>
              <w:rPr>
                <w:b w:val="0"/>
              </w:rPr>
            </w:pPr>
          </w:p>
        </w:tc>
      </w:tr>
    </w:tbl>
    <w:p>
      <w:pPr>
        <w:rPr>
          <w:b w:val="0"/>
        </w:rPr>
        <w:sectPr>
          <w:pgMar w:top="900" w:right="900" w:bottom="900" w:left="900" w:header="720" w:footer="720"/>
          <w:cols w:space="720"/>
        </w:sectPr>
      </w:pPr>
    </w:p>
    <w:p>
      <w:pPr>
        <w:pStyle w:val="Heading1"/>
        <w:rPr>
          <w:b w:val="0"/>
        </w:rPr>
      </w:pPr>
      <w:bookmarkStart w:id="7" w:name="_Toc256000007"/>
      <w:r>
        <w:rPr>
          <w:b w:val="0"/>
        </w:rPr>
        <w:t>Държава членка или административен район</w:t>
      </w:r>
      <w:bookmarkEnd w:id="7"/>
    </w:p>
    <w:p>
      <w:pPr>
        <w:pStyle w:val="Heading2"/>
        <w:rPr>
          <w:b w:val="0"/>
        </w:rPr>
      </w:pPr>
      <w:bookmarkStart w:id="8" w:name="_Toc256000008"/>
      <w:r>
        <w:rPr>
          <w:b w:val="0"/>
        </w:rPr>
        <w:t>Географски район, обхванат от програмата</w:t>
      </w:r>
      <w:bookmarkEnd w:id="8"/>
    </w:p>
    <w:p>
      <w:pPr>
        <w:rPr>
          <w:b w:val="0"/>
        </w:rPr>
      </w:pPr>
      <w:r>
        <w:rPr>
          <w:b w:val="0"/>
        </w:rPr>
        <w:t xml:space="preserve">Географски район: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tcPr>
          <w:p>
            <w:pPr>
              <w:pStyle w:val="BodyText"/>
              <w:jc w:val="both"/>
              <w:rPr>
                <w:b w:val="0"/>
              </w:rPr>
            </w:pPr>
            <w:r>
              <w:rPr>
                <w:b w:val="0"/>
              </w:rPr>
              <w:t>BG - National</w:t>
            </w:r>
          </w:p>
        </w:tc>
      </w:tr>
    </w:tbl>
    <w:p>
      <w:pPr>
        <w:rPr>
          <w:b w:val="0"/>
        </w:rPr>
      </w:pPr>
      <w:r>
        <w:rPr>
          <w:b w:val="0"/>
        </w:rPr>
        <w:t xml:space="preserve">Описание: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Програмата ще се прилага на цялата територия на Република България</w:t>
            </w:r>
          </w:p>
          <w:p>
            <w:pPr>
              <w:pStyle w:val="BodyText"/>
              <w:jc w:val="both"/>
              <w:rPr>
                <w:b w:val="0"/>
              </w:rPr>
            </w:pPr>
          </w:p>
        </w:tc>
      </w:tr>
    </w:tbl>
    <w:p>
      <w:pPr>
        <w:pStyle w:val="Heading2"/>
        <w:rPr>
          <w:b w:val="0"/>
        </w:rPr>
      </w:pPr>
      <w:bookmarkStart w:id="9" w:name="_Toc256000009"/>
      <w:r>
        <w:rPr>
          <w:b w:val="0"/>
        </w:rPr>
        <w:t>Класификация на региона</w:t>
      </w:r>
      <w:bookmarkEnd w:id="9"/>
    </w:p>
    <w:p>
      <w:pPr>
        <w:rPr>
          <w:b w:val="0"/>
        </w:rPr>
      </w:pPr>
      <w:r>
        <w:rPr>
          <w:b w:val="0"/>
        </w:rPr>
        <w:t xml:space="preserve">Описание: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региони, покрити от Програмата, попадат в класификацията като по-слабо развити съгласно Приложение І от Решение за изпълнение 2014/99/ЕС на Комисията от 18 февруари 2014 година за определяне на списъка на регионите, които отговарят на критериите за финансиране по Европейския фонд за регионално развитие и Европейския социален фонд, и на държавите членки, които отговарят на критериите за финансиране по Кохезионния фонд за периода 2014-2020 г. (ОВ L 50, 20.2.2014 г.).</w:t>
            </w:r>
          </w:p>
          <w:p>
            <w:pPr>
              <w:pStyle w:val="BodyText"/>
              <w:jc w:val="both"/>
              <w:rPr>
                <w:b w:val="0"/>
              </w:rPr>
            </w:pPr>
          </w:p>
        </w:tc>
      </w:tr>
    </w:tbl>
    <w:p>
      <w:pPr>
        <w:rPr>
          <w:b w:val="0"/>
        </w:rPr>
        <w:sectPr>
          <w:type w:val="nextPage"/>
          <w:pgMar w:top="900" w:right="900" w:bottom="900" w:left="900" w:header="720" w:footer="720"/>
          <w:cols w:space="720"/>
        </w:sectPr>
      </w:pPr>
    </w:p>
    <w:p>
      <w:pPr>
        <w:pStyle w:val="Heading1"/>
      </w:pPr>
      <w:bookmarkStart w:id="10" w:name="_Toc256000010"/>
      <w:r>
        <w:t>Предварителна оценка</w:t>
      </w:r>
      <w:bookmarkEnd w:id="10"/>
    </w:p>
    <w:p>
      <w:pPr>
        <w:pStyle w:val="Heading2"/>
      </w:pPr>
      <w:bookmarkStart w:id="11" w:name="_Toc256000011"/>
      <w:r>
        <w:t>Описание на процеса, включително графика на основните прояви и междинните доклади, свързани с ключовите етапи при реализирането на програмата за развитие на селските райони.</w:t>
      </w:r>
      <w:bookmarkEnd w:id="1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Оценката е резултат от партньорството между МЗХ и екипа оценители (ЕО), в което активно участие взеха също Разплащателната агенция (РА), Комитетът за наблюдение (КН) и Европейската комисия (ЕК). ЕО се състои от специалисти с широк национален и международен опит в политиките на ЕС в областта на земеделието и развитието на селските райони, както и в съответните сектори на българската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Предварителното оценяване бе наблюдавано от Комисия за управление на проекта (КУП), състояща се от представители на МЗХ и екипа оценители. Предварителната оценка следва общите насоки на ЕС и Заданието.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 са следните дейности по предварителната оценка:</w:t>
            </w:r>
          </w:p>
          <w:p>
            <w:pPr>
              <w:numPr>
                <w:ilvl w:val="0"/>
                <w:numId w:val="2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Неофициална предварителна среща между МЗХ и ЕО за ориентация на експертите от ЕО в процеса на програмиране на ПРСР (2014-2020), 31.05.2013 г.</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Официална начална среща между МЗХ и ЕО за предварителна оценка на българската ПРСР (2014-2020), 4.09.2013 г.</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Мисия 3, 16-18.12.2013 г. Цел: Обсъждане на коментарите на екипа оценители (ЕО) от Доклада за обратна връзка и семинара за логиката на интервенциите.</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Семинар за програмирането, проектирането на логиката на интервенциите в ПРСР и използването на общите показатели за контекст (ОПК), 17.12.2013 г.</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Среща на тематичната работна група (ТРГ) за проекта на ПРСР, 11.12.2013 г.</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Коментари на ЕО за мерките на ПРСР във варианта от 27.11.2013 г. на български език и за 2-рия вариант на Плана за оценка. Коментарите по мерките са предадени на МЗХ на 20.12.2013 г.</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Мисия 4, 22-24.01.2014 г. Цел: Двустранни срещи с експертите на МЗХ, отговорни за изготвянето на съответните мерки, както и с външния екип от експерти, отговорни за SWOT анализа, оценка на потребностите и стратегията.</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Участие в тематичната работна група (ТРГ) по ПРСР, 10.02.2014 г.</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Проучване и предварителна оценка на проекта на ПРСР, февруари-април 2014 г.</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Интервюиране на заинтересованите страни и казуси, февруари-април, 2014 г.</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на Синтезиран доклад с предварителните констатации, представен на 2.04.2014 г.</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на работен доклад за предварителна оценка, представен на 11.04.2014 г.</w:t>
            </w:r>
          </w:p>
          <w:p>
            <w:pPr>
              <w:numPr>
                <w:ilvl w:val="0"/>
                <w:numId w:val="2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Мисия 5, 7-9 май 2014. Цел: Срещи с външните експерти и служителите, изготвящи мерките, във връзка с препоръките в </w:t>
            </w:r>
            <w:r>
              <w:rPr>
                <w:rFonts w:ascii="Times New Roman" w:eastAsia="Times New Roman" w:hAnsi="Times New Roman" w:cs="Times New Roman"/>
                <w:i/>
                <w:iCs/>
                <w:szCs w:val="24"/>
              </w:rPr>
              <w:t>предварителната</w:t>
            </w:r>
            <w:r>
              <w:rPr>
                <w:rFonts w:ascii="Times New Roman" w:eastAsia="Times New Roman" w:hAnsi="Times New Roman" w:cs="Times New Roman"/>
                <w:szCs w:val="24"/>
              </w:rPr>
              <w:t xml:space="preserve"> оценка.</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 xml:space="preserve">Официално подаване на завършения Доклад за предварителна оценка, </w:t>
            </w:r>
            <w:r>
              <w:rPr>
                <w:rFonts w:ascii="Times New Roman" w:eastAsia="Times New Roman" w:hAnsi="Times New Roman" w:cs="Times New Roman"/>
                <w:szCs w:val="24"/>
              </w:rPr>
              <w:t>23 май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Въз основа на обратната връзка от МЗХ по отношение на Проекта на доклад за </w:t>
            </w:r>
            <w:r>
              <w:rPr>
                <w:rFonts w:ascii="Times New Roman" w:eastAsia="Times New Roman" w:hAnsi="Times New Roman" w:cs="Times New Roman"/>
                <w:i/>
                <w:iCs/>
                <w:szCs w:val="24"/>
              </w:rPr>
              <w:t>предварителната</w:t>
            </w:r>
            <w:r>
              <w:rPr>
                <w:rFonts w:ascii="Times New Roman" w:eastAsia="Times New Roman" w:hAnsi="Times New Roman" w:cs="Times New Roman"/>
                <w:szCs w:val="24"/>
              </w:rPr>
              <w:t xml:space="preserve"> оценка, беше изготвен преразгледания окончателен Доклад за предварителна оценка, който беше предаден на 23 май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Предварителната оценка следва Насоките за предварителни оценки на Програми за развитие на селските райони 2014-2020 на държавите-членки на ЕС. Методологията е основана на анализ по документи, статистически анализи, интервюта със заинтересовани страни, представляващи съответните заинтересовани организации и казуси на бенефициентите от текущата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Съгласно изискванията за съвместяване на процедурата по разработване на ПРСР (2014–2020) с процедурата за разработване на Стратегическа екологична оценка (СЕО) на Програмата, през декември 2012, МЗХ обяви обществена поръчка за извършване на услуга с предмет: </w:t>
            </w:r>
            <w:r>
              <w:rPr>
                <w:rFonts w:ascii="Times New Roman" w:eastAsia="Times New Roman" w:hAnsi="Times New Roman" w:cs="Times New Roman"/>
                <w:i/>
                <w:iCs/>
                <w:szCs w:val="24"/>
              </w:rPr>
              <w:t xml:space="preserve">Изготвяне на Позиция 2 „Стратегическа оценка на околната среда на ПРСР (2014-2020)”. </w:t>
            </w:r>
            <w:r>
              <w:rPr>
                <w:rFonts w:ascii="Times New Roman" w:eastAsia="Times New Roman" w:hAnsi="Times New Roman" w:cs="Times New Roman"/>
                <w:szCs w:val="24"/>
              </w:rPr>
              <w:t xml:space="preserve">Разработени бяха: </w:t>
            </w:r>
            <w:r>
              <w:rPr>
                <w:rFonts w:ascii="Times New Roman" w:eastAsia="Times New Roman" w:hAnsi="Times New Roman" w:cs="Times New Roman"/>
                <w:i/>
                <w:iCs/>
                <w:szCs w:val="24"/>
              </w:rPr>
              <w:t xml:space="preserve">Искане </w:t>
            </w:r>
            <w:r>
              <w:rPr>
                <w:rFonts w:ascii="Times New Roman" w:eastAsia="Times New Roman" w:hAnsi="Times New Roman" w:cs="Times New Roman"/>
                <w:szCs w:val="24"/>
              </w:rPr>
              <w:t xml:space="preserve">за преценка необходимостта от СЕО и оценка на съвместимостта на ПРСР (2014–2020) - получено е Решение № ЕО-8/2014 на МОСВ да се извърши екологична оценка на ПРСР (2014-2020) като не се разработва Оценка за съвместимост; </w:t>
            </w:r>
            <w:r>
              <w:rPr>
                <w:rFonts w:ascii="Times New Roman" w:eastAsia="Times New Roman" w:hAnsi="Times New Roman" w:cs="Times New Roman"/>
                <w:i/>
                <w:iCs/>
                <w:szCs w:val="24"/>
              </w:rPr>
              <w:t>Задание</w:t>
            </w:r>
            <w:r>
              <w:rPr>
                <w:rFonts w:ascii="Times New Roman" w:eastAsia="Times New Roman" w:hAnsi="Times New Roman" w:cs="Times New Roman"/>
                <w:szCs w:val="24"/>
              </w:rPr>
              <w:t xml:space="preserve"> за обхват и съдържание на СЕО на ПРСР (2014-2020) и </w:t>
            </w:r>
            <w:r>
              <w:rPr>
                <w:rFonts w:ascii="Times New Roman" w:eastAsia="Times New Roman" w:hAnsi="Times New Roman" w:cs="Times New Roman"/>
                <w:i/>
                <w:iCs/>
                <w:szCs w:val="24"/>
              </w:rPr>
              <w:t>Схема</w:t>
            </w:r>
            <w:r>
              <w:rPr>
                <w:rFonts w:ascii="Times New Roman" w:eastAsia="Times New Roman" w:hAnsi="Times New Roman" w:cs="Times New Roman"/>
                <w:szCs w:val="24"/>
              </w:rPr>
              <w:t xml:space="preserve"> за провеждане на консултации – проведени са консултации с МОСВ, МЗ и други специализирани ведомства, ТРГ по ПРСР (2014-2020) и заинтересуваната общественост.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24.11.2014 г. в МОСВ бе внесено искане за издаване на становище по СЕО на ПРСР (2014-2020). На 12.12.2014 г. МОСВ издаде становище по СЕО. На 22.12.2014 г. в МОСВ бе внесена обобщената справка за анализа на съответствието на ПРСР (2014-2020) с постановеното в Становището на МОСВ, съгласно чл.29, ал.1 от Наредбата за реда и условията за извършване на СЕО на планове и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Проведени бяха поредица от срещи на екипа от независими експерти, разработващи СЕО, с експертите, разработващи ПРСР, експертите, разработващи предварителната оценка и с членовете на ТРГ.</w:t>
            </w:r>
          </w:p>
          <w:p>
            <w:pPr>
              <w:pStyle w:val="BodyText"/>
              <w:jc w:val="both"/>
            </w:pPr>
          </w:p>
        </w:tc>
      </w:tr>
    </w:tbl>
    <w:p>
      <w:pPr>
        <w:pStyle w:val="Heading2"/>
      </w:pPr>
      <w:r>
        <w:br w:type="page"/>
      </w:r>
      <w:bookmarkStart w:id="12" w:name="_Toc256000012"/>
      <w:r>
        <w:t>Структурирана таблица, съдържаща препоръките от предварителната оценка и информация за начина, по който те са взети предвид.</w:t>
      </w:r>
      <w:bookmarkEnd w:id="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552"/>
        <w:gridCol w:w="3552"/>
        <w:gridCol w:w="355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000" w:type="dxa"/>
            <w:shd w:val="clear" w:color="auto" w:fill="C0C0C0"/>
          </w:tcPr>
          <w:p>
            <w:pPr>
              <w:rPr>
                <w:b/>
              </w:rPr>
            </w:pPr>
            <w:r>
              <w:rPr>
                <w:b/>
              </w:rPr>
              <w:t>Наименование (или референтен номер) на препоръката</w:t>
            </w:r>
          </w:p>
        </w:tc>
        <w:tc>
          <w:tcPr>
            <w:tcW w:w="12000" w:type="dxa"/>
            <w:shd w:val="clear" w:color="auto" w:fill="C0C0C0"/>
          </w:tcPr>
          <w:p>
            <w:pPr>
              <w:rPr>
                <w:b/>
              </w:rPr>
            </w:pPr>
            <w:r>
              <w:rPr>
                <w:b/>
              </w:rPr>
              <w:t>Категория на препоръката</w:t>
            </w:r>
          </w:p>
        </w:tc>
        <w:tc>
          <w:tcPr>
            <w:tcW w:w="12000" w:type="dxa"/>
            <w:shd w:val="clear" w:color="auto" w:fill="C0C0C0"/>
          </w:tcPr>
          <w:p>
            <w:pPr>
              <w:rPr>
                <w:b w:val="0"/>
              </w:rPr>
            </w:pPr>
            <w:r>
              <w:rPr>
                <w:b/>
              </w:rPr>
              <w:t>Дата</w:t>
            </w:r>
          </w:p>
        </w:tc>
      </w:tr>
      <w:tr>
        <w:tblPrEx>
          <w:tblW w:w="5000" w:type="pct"/>
          <w:tblCellMar>
            <w:left w:w="108" w:type="dxa"/>
            <w:right w:w="108" w:type="dxa"/>
          </w:tblCellMar>
        </w:tblPrEx>
        <w:tc>
          <w:tcPr>
            <w:tcW w:w="12000" w:type="dxa"/>
            <w:shd w:val="clear" w:color="auto" w:fill="FFFFFF"/>
          </w:tcPr>
          <w:p>
            <w:pPr>
              <w:rPr>
                <w:b w:val="0"/>
              </w:rPr>
            </w:pPr>
            <w:r>
              <w:rPr>
                <w:b w:val="0"/>
              </w:rPr>
              <w:t>1. 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2. 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3.АНС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4. 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5. 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6. 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7. 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8. 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9. 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А. SWOT Aнализ</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Б. Потребности</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В. Стратегия 1</w:t>
            </w:r>
          </w:p>
        </w:tc>
        <w:tc>
          <w:tcPr>
            <w:tcW w:w="12000" w:type="dxa"/>
            <w:shd w:val="clear" w:color="auto" w:fill="FFFFFF"/>
          </w:tcPr>
          <w:p>
            <w:pPr>
              <w:rPr>
                <w:b w:val="0"/>
              </w:rPr>
            </w:pPr>
            <w:r>
              <w:rPr>
                <w:b w:val="0"/>
              </w:rPr>
              <w:t>Разработване на логиката на интервенция</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Г. Стратегия 2</w:t>
            </w:r>
          </w:p>
        </w:tc>
        <w:tc>
          <w:tcPr>
            <w:tcW w:w="12000" w:type="dxa"/>
            <w:shd w:val="clear" w:color="auto" w:fill="FFFFFF"/>
          </w:tcPr>
          <w:p>
            <w:pPr>
              <w:rPr>
                <w:b w:val="0"/>
              </w:rPr>
            </w:pPr>
            <w:r>
              <w:rPr>
                <w:b w:val="0"/>
              </w:rPr>
              <w:t>Разработване на логиката на интервенция</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Д. Стратегия 3</w:t>
            </w:r>
          </w:p>
        </w:tc>
        <w:tc>
          <w:tcPr>
            <w:tcW w:w="12000" w:type="dxa"/>
            <w:shd w:val="clear" w:color="auto" w:fill="FFFFFF"/>
          </w:tcPr>
          <w:p>
            <w:pPr>
              <w:rPr>
                <w:b w:val="0"/>
              </w:rPr>
            </w:pPr>
            <w:r>
              <w:rPr>
                <w:b w:val="0"/>
              </w:rPr>
              <w:t>Разработване на логиката на интервенция</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Е. Специфични цели</w:t>
            </w:r>
          </w:p>
        </w:tc>
        <w:tc>
          <w:tcPr>
            <w:tcW w:w="12000" w:type="dxa"/>
            <w:shd w:val="clear" w:color="auto" w:fill="FFFFFF"/>
          </w:tcPr>
          <w:p>
            <w:pPr>
              <w:rPr>
                <w:b w:val="0"/>
              </w:rPr>
            </w:pPr>
            <w:r>
              <w:rPr>
                <w:b w:val="0"/>
              </w:rPr>
              <w:t>Определяне на целите, разпределение на финансовите средства</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Ж. Финансови средства 1</w:t>
            </w:r>
          </w:p>
        </w:tc>
        <w:tc>
          <w:tcPr>
            <w:tcW w:w="12000" w:type="dxa"/>
            <w:shd w:val="clear" w:color="auto" w:fill="FFFFFF"/>
          </w:tcPr>
          <w:p>
            <w:pPr>
              <w:rPr>
                <w:b w:val="0"/>
              </w:rPr>
            </w:pPr>
            <w:r>
              <w:rPr>
                <w:b w:val="0"/>
              </w:rPr>
              <w:t>Определяне на целите, разпределение на финансовите средства</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З. Финансови средства 2</w:t>
            </w:r>
          </w:p>
        </w:tc>
        <w:tc>
          <w:tcPr>
            <w:tcW w:w="12000" w:type="dxa"/>
            <w:shd w:val="clear" w:color="auto" w:fill="FFFFFF"/>
          </w:tcPr>
          <w:p>
            <w:pPr>
              <w:rPr>
                <w:b w:val="0"/>
              </w:rPr>
            </w:pPr>
            <w:r>
              <w:rPr>
                <w:b w:val="0"/>
              </w:rPr>
              <w:t>Определяне на целите, разпределение на финансовите средства</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И. Финансови средства 3</w:t>
            </w:r>
          </w:p>
        </w:tc>
        <w:tc>
          <w:tcPr>
            <w:tcW w:w="12000" w:type="dxa"/>
            <w:shd w:val="clear" w:color="auto" w:fill="FFFFFF"/>
          </w:tcPr>
          <w:p>
            <w:pPr>
              <w:rPr>
                <w:b w:val="0"/>
              </w:rPr>
            </w:pPr>
            <w:r>
              <w:rPr>
                <w:b w:val="0"/>
              </w:rPr>
              <w:t>Определяне на целите, разпределение на финансовите средства</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Й. Административни ресурси</w:t>
            </w:r>
          </w:p>
        </w:tc>
        <w:tc>
          <w:tcPr>
            <w:tcW w:w="12000" w:type="dxa"/>
            <w:shd w:val="clear" w:color="auto" w:fill="FFFFFF"/>
          </w:tcPr>
          <w:p>
            <w:pPr>
              <w:rPr>
                <w:b w:val="0"/>
              </w:rPr>
            </w:pPr>
            <w:r>
              <w:rPr>
                <w:b w:val="0"/>
              </w:rPr>
              <w:t>Организация за изпълнението на програмата</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К. Обучение на персонала</w:t>
            </w:r>
          </w:p>
        </w:tc>
        <w:tc>
          <w:tcPr>
            <w:tcW w:w="12000" w:type="dxa"/>
            <w:shd w:val="clear" w:color="auto" w:fill="FFFFFF"/>
          </w:tcPr>
          <w:p>
            <w:pPr>
              <w:rPr>
                <w:b w:val="0"/>
              </w:rPr>
            </w:pPr>
            <w:r>
              <w:rPr>
                <w:b w:val="0"/>
              </w:rPr>
              <w:t>Организация за изпълнението на програмата</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Л. Тематична подпрограма за малки стопанства</w:t>
            </w:r>
          </w:p>
        </w:tc>
        <w:tc>
          <w:tcPr>
            <w:tcW w:w="12000" w:type="dxa"/>
            <w:shd w:val="clear" w:color="auto" w:fill="FFFFFF"/>
          </w:tcPr>
          <w:p>
            <w:pPr>
              <w:rPr>
                <w:b w:val="0"/>
              </w:rPr>
            </w:pPr>
            <w:r>
              <w:rPr>
                <w:b w:val="0"/>
              </w:rPr>
              <w:t>Други</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М. План за оценка</w:t>
            </w:r>
          </w:p>
        </w:tc>
        <w:tc>
          <w:tcPr>
            <w:tcW w:w="12000" w:type="dxa"/>
            <w:shd w:val="clear" w:color="auto" w:fill="FFFFFF"/>
          </w:tcPr>
          <w:p>
            <w:pPr>
              <w:rPr>
                <w:b w:val="0"/>
              </w:rPr>
            </w:pPr>
            <w:r>
              <w:rPr>
                <w:b w:val="0"/>
              </w:rPr>
              <w:t>Други</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Н. Комуникация</w:t>
            </w:r>
          </w:p>
        </w:tc>
        <w:tc>
          <w:tcPr>
            <w:tcW w:w="12000" w:type="dxa"/>
            <w:shd w:val="clear" w:color="auto" w:fill="FFFFFF"/>
          </w:tcPr>
          <w:p>
            <w:pPr>
              <w:rPr>
                <w:b w:val="0"/>
              </w:rPr>
            </w:pPr>
            <w:r>
              <w:rPr>
                <w:b w:val="0"/>
              </w:rPr>
              <w:t>Други</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О. Участие на заинтересованите страни</w:t>
            </w:r>
          </w:p>
        </w:tc>
        <w:tc>
          <w:tcPr>
            <w:tcW w:w="12000" w:type="dxa"/>
            <w:shd w:val="clear" w:color="auto" w:fill="FFFFFF"/>
          </w:tcPr>
          <w:p>
            <w:pPr>
              <w:rPr>
                <w:b w:val="0"/>
              </w:rPr>
            </w:pPr>
            <w:r>
              <w:rPr>
                <w:b w:val="0"/>
              </w:rPr>
              <w:t>Други</w:t>
            </w:r>
          </w:p>
        </w:tc>
        <w:tc>
          <w:tcPr>
            <w:tcW w:w="12000" w:type="dxa"/>
            <w:shd w:val="clear" w:color="auto" w:fill="FFFFFF"/>
          </w:tcPr>
          <w:p>
            <w:pPr>
              <w:rPr>
                <w:b w:val="0"/>
              </w:rPr>
            </w:pPr>
            <w:r>
              <w:rPr>
                <w:b w:val="0"/>
              </w:rPr>
              <w:t>03/02/2015</w:t>
            </w:r>
          </w:p>
        </w:tc>
      </w:tr>
    </w:tbl>
    <w:p>
      <w:pPr>
        <w:rPr>
          <w:b/>
        </w:rPr>
      </w:pPr>
    </w:p>
    <w:p>
      <w:pPr>
        <w:pStyle w:val="Heading3"/>
        <w:jc w:val="left"/>
        <w:rPr>
          <w:b w:val="0"/>
        </w:rPr>
      </w:pPr>
      <w:bookmarkStart w:id="13" w:name="_Toc256000013"/>
      <w:r>
        <w:rPr>
          <w:b w:val="0"/>
        </w:rPr>
        <w:t>1. АНС</w:t>
      </w:r>
      <w:bookmarkEnd w:id="13"/>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Общо</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АНС, за да се предостави по-добра, по-подробна и изчерпателна картина на сектора по земеделие, горско стопанство и селски райони в България.</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Анализът е разширен.</w:t>
            </w:r>
          </w:p>
          <w:p>
            <w:pPr>
              <w:pStyle w:val="BodyText"/>
              <w:jc w:val="both"/>
              <w:rPr>
                <w:b w:val="0"/>
              </w:rPr>
            </w:pPr>
          </w:p>
        </w:tc>
      </w:tr>
    </w:tbl>
    <w:p>
      <w:pPr>
        <w:pStyle w:val="Heading3"/>
        <w:jc w:val="left"/>
        <w:rPr>
          <w:b w:val="0"/>
        </w:rPr>
      </w:pPr>
      <w:bookmarkStart w:id="14" w:name="_Toc256000014"/>
      <w:r>
        <w:rPr>
          <w:b w:val="0"/>
        </w:rPr>
        <w:t>2. АНС</w:t>
      </w:r>
      <w:bookmarkEnd w:id="14"/>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Обобщение на приоритетите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направи кратко обобщение на АНС преди точката за SWOT анализа, където са обобщени заключенията по всеки от 6-те приоритета.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Направено е обобщение, но то е структурирано около общите показатели за контекста, в съответствие с изискванията.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5" w:name="_Toc256000015"/>
      <w:r>
        <w:rPr>
          <w:b w:val="0"/>
        </w:rPr>
        <w:t>3.АНС</w:t>
      </w:r>
      <w:bookmarkEnd w:id="15"/>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Дефиниции на селските райони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отчете необходимостта от адаптиране на подхода за определяне на селски район спрямо типологията на ЕС.</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се приема частично.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Коригирането на определението спрямо общата за ЕС категоризация е пряко обвързано с ангажиментите, поети в СП на Р България, с допълняемостта с другите програми по ЕСИФ, както и с осигуряването на приемственост на интервенциите от предходния програмен период.</w:t>
            </w:r>
          </w:p>
          <w:p>
            <w:pPr>
              <w:pStyle w:val="BodyText"/>
              <w:jc w:val="both"/>
              <w:rPr>
                <w:b w:val="0"/>
              </w:rPr>
            </w:pPr>
          </w:p>
        </w:tc>
      </w:tr>
    </w:tbl>
    <w:p>
      <w:pPr>
        <w:pStyle w:val="Heading3"/>
        <w:jc w:val="left"/>
        <w:rPr>
          <w:b w:val="0"/>
        </w:rPr>
      </w:pPr>
      <w:bookmarkStart w:id="16" w:name="_Toc256000016"/>
      <w:r>
        <w:rPr>
          <w:b w:val="0"/>
        </w:rPr>
        <w:t>4. АНС</w:t>
      </w:r>
      <w:bookmarkEnd w:id="16"/>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Земеделие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включи подробно описание на земеделските структури по отношение на производство, специализация и размер в дефинициите на съответните приоритети.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  там, където има налични данни, тази информация е била включена.</w:t>
            </w:r>
          </w:p>
          <w:p>
            <w:pPr>
              <w:pStyle w:val="BodyText"/>
              <w:jc w:val="both"/>
              <w:rPr>
                <w:b w:val="0"/>
              </w:rPr>
            </w:pPr>
          </w:p>
        </w:tc>
      </w:tr>
    </w:tbl>
    <w:p>
      <w:pPr>
        <w:pStyle w:val="Heading3"/>
        <w:jc w:val="left"/>
        <w:rPr>
          <w:b w:val="0"/>
        </w:rPr>
      </w:pPr>
      <w:bookmarkStart w:id="17" w:name="_Toc256000017"/>
      <w:r>
        <w:rPr>
          <w:b w:val="0"/>
        </w:rPr>
        <w:t>5. АНС</w:t>
      </w:r>
      <w:bookmarkEnd w:id="17"/>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Хранително-вкусова промишленост</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Подсилване на анализа за конкурентоспособността на отделните продукти и двигателите зад тенденциите.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анализа на потенциалната роля на схемите за качество.</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налични данни, които да дадат възможност за подробен анализ по подсектори. Най-важната налична информация, която разкрива условията и важността на ключовите подсектори в селското стопанство е анализирана.</w:t>
            </w:r>
          </w:p>
          <w:p>
            <w:pPr>
              <w:pStyle w:val="BodyText"/>
              <w:jc w:val="both"/>
              <w:rPr>
                <w:b w:val="0"/>
              </w:rPr>
            </w:pPr>
          </w:p>
        </w:tc>
      </w:tr>
    </w:tbl>
    <w:p>
      <w:pPr>
        <w:pStyle w:val="Heading3"/>
        <w:jc w:val="left"/>
        <w:rPr>
          <w:b w:val="0"/>
        </w:rPr>
      </w:pPr>
      <w:bookmarkStart w:id="18" w:name="_Toc256000018"/>
      <w:r>
        <w:rPr>
          <w:b w:val="0"/>
        </w:rPr>
        <w:t>6. АНС</w:t>
      </w:r>
      <w:bookmarkEnd w:id="18"/>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Организация на каналите за доставка на храни и хранителни продукти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включи по-подробен анализ на организацията на каналите за доставка на храни, като се посочат проблемите и стимулите за подобряване на веригата за добавяне на стойност в българската икономика.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Главата за хранителните вериги е разширена.</w:t>
            </w:r>
          </w:p>
          <w:p>
            <w:pPr>
              <w:pStyle w:val="BodyText"/>
              <w:jc w:val="both"/>
              <w:rPr>
                <w:b w:val="0"/>
              </w:rPr>
            </w:pPr>
          </w:p>
        </w:tc>
      </w:tr>
    </w:tbl>
    <w:p>
      <w:pPr>
        <w:pStyle w:val="Heading3"/>
        <w:jc w:val="left"/>
        <w:rPr>
          <w:b w:val="0"/>
        </w:rPr>
      </w:pPr>
      <w:bookmarkStart w:id="19" w:name="_Toc256000019"/>
      <w:r>
        <w:rPr>
          <w:b w:val="0"/>
        </w:rPr>
        <w:t>7. АНС</w:t>
      </w:r>
      <w:bookmarkEnd w:id="19"/>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Търговия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подобри анализа на търговията като се включат данни на подсекторно ниво, за да се разберат причините за развитие на конкурентоспособността в един подсектор/продукт спрямо друг.</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Анализът е разширен и са включени нови данни.</w:t>
            </w:r>
          </w:p>
          <w:p>
            <w:pPr>
              <w:pStyle w:val="BodyText"/>
              <w:jc w:val="both"/>
              <w:rPr>
                <w:b w:val="0"/>
              </w:rPr>
            </w:pPr>
          </w:p>
        </w:tc>
      </w:tr>
    </w:tbl>
    <w:p>
      <w:pPr>
        <w:pStyle w:val="Heading3"/>
        <w:jc w:val="left"/>
        <w:rPr>
          <w:b w:val="0"/>
        </w:rPr>
      </w:pPr>
      <w:bookmarkStart w:id="20" w:name="_Toc256000020"/>
      <w:r>
        <w:rPr>
          <w:b w:val="0"/>
        </w:rPr>
        <w:t>8. АНС</w:t>
      </w:r>
      <w:bookmarkEnd w:id="20"/>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Околна среда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анализира подробно въпроса за класификацията на земеделската земя, по-конкретно на затревените площи като недопустими за подпомагане по Стълб 1 и да се идентифицират действия за решаването на този въпрос.</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Тъй като тя касае плащанията по Стълб I, това не е отразено в ПРСР.</w:t>
            </w:r>
          </w:p>
          <w:p>
            <w:pPr>
              <w:pStyle w:val="BodyText"/>
              <w:jc w:val="both"/>
              <w:rPr>
                <w:b w:val="0"/>
              </w:rPr>
            </w:pPr>
          </w:p>
        </w:tc>
      </w:tr>
    </w:tbl>
    <w:p>
      <w:pPr>
        <w:pStyle w:val="Heading3"/>
        <w:jc w:val="left"/>
        <w:rPr>
          <w:b w:val="0"/>
        </w:rPr>
      </w:pPr>
      <w:bookmarkStart w:id="21" w:name="_Toc256000021"/>
      <w:r>
        <w:rPr>
          <w:b w:val="0"/>
        </w:rPr>
        <w:t>9. АНС</w:t>
      </w:r>
      <w:bookmarkEnd w:id="21"/>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Климат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обърне внимание на важността на темата за адаптация към изменението на климата и да се предприемат незабавни действия, поради уязвимостта на сектора от тези процеси.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Използването на ВЕИ следва да е свързано само със собствените нужди на стопанствата и предприятията.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pStyle w:val="BodyText"/>
              <w:jc w:val="both"/>
              <w:rPr>
                <w:b w:val="0"/>
              </w:rPr>
            </w:pPr>
          </w:p>
        </w:tc>
      </w:tr>
    </w:tbl>
    <w:p>
      <w:pPr>
        <w:pStyle w:val="Heading3"/>
        <w:jc w:val="left"/>
        <w:rPr>
          <w:b w:val="0"/>
        </w:rPr>
      </w:pPr>
      <w:bookmarkStart w:id="22" w:name="_Toc256000022"/>
      <w:r>
        <w:rPr>
          <w:b w:val="0"/>
        </w:rPr>
        <w:t>А. SWOT Aнализ</w:t>
      </w:r>
      <w:bookmarkEnd w:id="22"/>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SWOT Aнализ</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подготви кратък текст, за да се синтезира SWOT анализа и да се демонстрира как с подходящи интервенции се управляват основните силни и слаби страни, така че да се извлече полза от възможностите или да се избегнат заплахите.</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 тъй като не съответства на изискванията за структуриране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23" w:name="_Toc256000023"/>
      <w:r>
        <w:rPr>
          <w:b w:val="0"/>
        </w:rPr>
        <w:t>Б. Потребности</w:t>
      </w:r>
      <w:bookmarkEnd w:id="23"/>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Потребности</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включи ясна оценка на потребностите, която да свърже анализа на настоящата ситуация и SWOT анализа със стратегията и приоритизацията на ресурсите.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конкретизират потребностите, а идентификацията и оценката на потребностите да се направят проблемно ориентирани.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Обосновката на потребностите е подобрена и обвързана със SWOT анализа и националните и европейски стратегически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24" w:name="_Toc256000024"/>
      <w:r>
        <w:rPr>
          <w:b w:val="0"/>
        </w:rPr>
        <w:t>В. Стратегия 1</w:t>
      </w:r>
      <w:bookmarkEnd w:id="24"/>
    </w:p>
    <w:p>
      <w:pPr>
        <w:rPr>
          <w:b w:val="0"/>
        </w:rPr>
      </w:pPr>
      <w:r>
        <w:rPr>
          <w:b w:val="0"/>
        </w:rPr>
        <w:t xml:space="preserve">Категория на препоръката: </w:t>
      </w:r>
      <w:r>
        <w:rPr>
          <w:b w:val="0"/>
        </w:rPr>
        <w:t>Разработване на логиката на интервенция</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Стратегия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Съдържанието на стратегията да се направи по-конкретно и да се свърже с българския контекст.</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и където е необходимо, текстът е преразгледан.</w:t>
            </w:r>
          </w:p>
          <w:p>
            <w:pPr>
              <w:pStyle w:val="BodyText"/>
              <w:jc w:val="both"/>
              <w:rPr>
                <w:b w:val="0"/>
              </w:rPr>
            </w:pPr>
          </w:p>
        </w:tc>
      </w:tr>
    </w:tbl>
    <w:p>
      <w:pPr>
        <w:pStyle w:val="Heading3"/>
        <w:jc w:val="left"/>
        <w:rPr>
          <w:b w:val="0"/>
        </w:rPr>
      </w:pPr>
      <w:bookmarkStart w:id="25" w:name="_Toc256000025"/>
      <w:r>
        <w:rPr>
          <w:b w:val="0"/>
        </w:rPr>
        <w:t>Г. Стратегия 2</w:t>
      </w:r>
      <w:bookmarkEnd w:id="25"/>
    </w:p>
    <w:p>
      <w:pPr>
        <w:rPr>
          <w:b w:val="0"/>
        </w:rPr>
      </w:pPr>
      <w:r>
        <w:rPr>
          <w:b w:val="0"/>
        </w:rPr>
        <w:t xml:space="preserve">Категория на препоръката: </w:t>
      </w:r>
      <w:r>
        <w:rPr>
          <w:b w:val="0"/>
        </w:rPr>
        <w:t>Разработване на логиката на интервенция</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Стратегия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посочи приоритизацията на трите общи цели една спрямо друга.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Включена е обосновка на приоритизацията на целите.</w:t>
            </w:r>
          </w:p>
          <w:p>
            <w:pPr>
              <w:pStyle w:val="BodyText"/>
              <w:jc w:val="both"/>
              <w:rPr>
                <w:b w:val="0"/>
              </w:rPr>
            </w:pPr>
          </w:p>
        </w:tc>
      </w:tr>
    </w:tbl>
    <w:p>
      <w:pPr>
        <w:pStyle w:val="Heading3"/>
        <w:jc w:val="left"/>
        <w:rPr>
          <w:b w:val="0"/>
        </w:rPr>
      </w:pPr>
      <w:bookmarkStart w:id="26" w:name="_Toc256000026"/>
      <w:r>
        <w:rPr>
          <w:b w:val="0"/>
        </w:rPr>
        <w:t>Д. Стратегия 3</w:t>
      </w:r>
      <w:bookmarkEnd w:id="26"/>
    </w:p>
    <w:p>
      <w:pPr>
        <w:rPr>
          <w:b w:val="0"/>
        </w:rPr>
      </w:pPr>
      <w:r>
        <w:rPr>
          <w:b w:val="0"/>
        </w:rPr>
        <w:t xml:space="preserve">Категория на препоръката: </w:t>
      </w:r>
      <w:r>
        <w:rPr>
          <w:b w:val="0"/>
        </w:rPr>
        <w:t>Разработване на логиката на интервенция</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Стратегия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обоснове цялостното разпределение на ресурси за всяка обща цел. </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включена е обосновка на разпределението на ресурсите. </w:t>
            </w:r>
          </w:p>
          <w:p>
            <w:pPr>
              <w:pStyle w:val="BodyText"/>
              <w:jc w:val="both"/>
              <w:rPr>
                <w:b w:val="0"/>
              </w:rPr>
            </w:pPr>
          </w:p>
        </w:tc>
      </w:tr>
    </w:tbl>
    <w:p>
      <w:pPr>
        <w:pStyle w:val="Heading3"/>
        <w:jc w:val="left"/>
        <w:rPr>
          <w:b w:val="0"/>
        </w:rPr>
      </w:pPr>
      <w:bookmarkStart w:id="27" w:name="_Toc256000027"/>
      <w:r>
        <w:rPr>
          <w:b w:val="0"/>
        </w:rPr>
        <w:t>Е. Специфични цели</w:t>
      </w:r>
      <w:bookmarkEnd w:id="27"/>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Специфични цели</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изразят количествено специфичните цели на всички нива.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обоснована, тъй като в ПРСР има определени целеви показатели за резултат за всички приоритетни области.  </w:t>
            </w:r>
          </w:p>
          <w:p>
            <w:pPr>
              <w:pStyle w:val="BodyText"/>
              <w:jc w:val="both"/>
              <w:rPr>
                <w:b w:val="0"/>
              </w:rPr>
            </w:pPr>
          </w:p>
        </w:tc>
      </w:tr>
    </w:tbl>
    <w:p>
      <w:pPr>
        <w:pStyle w:val="Heading3"/>
        <w:jc w:val="left"/>
        <w:rPr>
          <w:b w:val="0"/>
        </w:rPr>
      </w:pPr>
      <w:bookmarkStart w:id="28" w:name="_Toc256000028"/>
      <w:r>
        <w:rPr>
          <w:b w:val="0"/>
        </w:rPr>
        <w:t>Ж. Финансови средства 1</w:t>
      </w:r>
      <w:bookmarkEnd w:id="28"/>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Финансови средства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балансират финансовите средства във връзка с планираните дейности.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 Тя е твърде обща и неясна.</w:t>
            </w:r>
          </w:p>
          <w:p>
            <w:pPr>
              <w:pStyle w:val="BodyText"/>
              <w:jc w:val="both"/>
              <w:rPr>
                <w:b w:val="0"/>
              </w:rPr>
            </w:pPr>
          </w:p>
        </w:tc>
      </w:tr>
    </w:tbl>
    <w:p>
      <w:pPr>
        <w:pStyle w:val="Heading3"/>
        <w:jc w:val="left"/>
        <w:rPr>
          <w:b w:val="0"/>
        </w:rPr>
      </w:pPr>
      <w:bookmarkStart w:id="29" w:name="_Toc256000029"/>
      <w:r>
        <w:rPr>
          <w:b w:val="0"/>
        </w:rPr>
        <w:t>З. Финансови средства 2</w:t>
      </w:r>
      <w:bookmarkEnd w:id="29"/>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Финансови средства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приведат в съответствие с бюджета на ПРСР и ПП.</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съществува разминаване между цифрите във Финансовия план и тези в мерките в Плана на показателите.</w:t>
            </w:r>
          </w:p>
          <w:p>
            <w:pPr>
              <w:pStyle w:val="BodyText"/>
              <w:jc w:val="both"/>
              <w:rPr>
                <w:b w:val="0"/>
              </w:rPr>
            </w:pPr>
          </w:p>
        </w:tc>
      </w:tr>
    </w:tbl>
    <w:p>
      <w:pPr>
        <w:pStyle w:val="Heading3"/>
        <w:jc w:val="left"/>
        <w:rPr>
          <w:b w:val="0"/>
        </w:rPr>
      </w:pPr>
      <w:bookmarkStart w:id="30" w:name="_Toc256000030"/>
      <w:r>
        <w:rPr>
          <w:b w:val="0"/>
        </w:rPr>
        <w:t>И. Финансови средства 3</w:t>
      </w:r>
      <w:bookmarkEnd w:id="30"/>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Финансови средства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изготви бюджет за подмерките и оперативното ниво.</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ПРСР включва разпределение на бюджета на мерките по ПО, което е в съответствие със законодателната рамка и позволява да се оцени кохерентността на интервенционната логика по ПО. В индикаторите за мониторинг е дадена разбивка на бюджета и физическите индикатори по подмерки, в съответствие с на изискванията. </w:t>
            </w:r>
          </w:p>
          <w:p>
            <w:pPr>
              <w:pStyle w:val="BodyText"/>
              <w:jc w:val="both"/>
              <w:rPr>
                <w:b w:val="0"/>
              </w:rPr>
            </w:pPr>
          </w:p>
        </w:tc>
      </w:tr>
    </w:tbl>
    <w:p>
      <w:pPr>
        <w:pStyle w:val="Heading3"/>
        <w:jc w:val="left"/>
        <w:rPr>
          <w:b w:val="0"/>
        </w:rPr>
      </w:pPr>
      <w:bookmarkStart w:id="31" w:name="_Toc256000031"/>
      <w:r>
        <w:rPr>
          <w:b w:val="0"/>
        </w:rPr>
        <w:t>Й. Административни ресурси</w:t>
      </w:r>
      <w:bookmarkEnd w:id="31"/>
    </w:p>
    <w:p>
      <w:pPr>
        <w:rPr>
          <w:b w:val="0"/>
        </w:rPr>
      </w:pPr>
      <w:r>
        <w:rPr>
          <w:b w:val="0"/>
        </w:rPr>
        <w:t xml:space="preserve">Категория на препоръката: </w:t>
      </w:r>
      <w:r>
        <w:rPr>
          <w:b w:val="0"/>
        </w:rPr>
        <w:t>Организация за изпълнението на програмата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Административни ресурси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оценят бюджетните средства в МЗХ и РА (ДФЗ).</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 „Техническа помощ” предвижда изпълнението на дейност, свързана с финансово стимулиране на изпълнението, мониторинга, оценката и контрола на ПРСР 2014-2020 г., с оглед на поддържането на капацитета, който е изграден и обучен в УО.</w:t>
            </w:r>
          </w:p>
          <w:p>
            <w:pPr>
              <w:pStyle w:val="BodyText"/>
              <w:jc w:val="both"/>
              <w:rPr>
                <w:b w:val="0"/>
              </w:rPr>
            </w:pPr>
          </w:p>
        </w:tc>
      </w:tr>
    </w:tbl>
    <w:p>
      <w:pPr>
        <w:pStyle w:val="Heading3"/>
        <w:jc w:val="left"/>
        <w:rPr>
          <w:b w:val="0"/>
        </w:rPr>
      </w:pPr>
      <w:bookmarkStart w:id="32" w:name="_Toc256000032"/>
      <w:r>
        <w:rPr>
          <w:b w:val="0"/>
        </w:rPr>
        <w:t>К. Обучение на персонала</w:t>
      </w:r>
      <w:bookmarkEnd w:id="32"/>
    </w:p>
    <w:p>
      <w:pPr>
        <w:rPr>
          <w:b w:val="0"/>
        </w:rPr>
      </w:pPr>
      <w:r>
        <w:rPr>
          <w:b w:val="0"/>
        </w:rPr>
        <w:t xml:space="preserve">Категория на препоръката: </w:t>
      </w:r>
      <w:r>
        <w:rPr>
          <w:b w:val="0"/>
        </w:rPr>
        <w:t>Организация за изпълнението на програмата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Обучение на персонала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осигури надеждно обучение и изграждане на капацитет на служителите на МЗХ и РА (ДФЗ) (нови и настоящи), за да се улесни изпълнение ПРСР 2014-2020 г. по най-ефективен начин.</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 „Техническа помощ” предвижда изпълнението на дейност, свързана с изграждането на капацитет в администрациите на МЗХ и ДФЗ, отговарящи за изпълнението, мониторинга, оценката и контрола на ПРСР 2014-2020 г.</w:t>
            </w:r>
          </w:p>
          <w:p>
            <w:pPr>
              <w:pStyle w:val="BodyText"/>
              <w:jc w:val="both"/>
              <w:rPr>
                <w:b w:val="0"/>
              </w:rPr>
            </w:pPr>
          </w:p>
        </w:tc>
      </w:tr>
    </w:tbl>
    <w:p>
      <w:pPr>
        <w:pStyle w:val="Heading3"/>
        <w:jc w:val="left"/>
        <w:rPr>
          <w:b w:val="0"/>
        </w:rPr>
      </w:pPr>
      <w:bookmarkStart w:id="33" w:name="_Toc256000033"/>
      <w:r>
        <w:rPr>
          <w:b w:val="0"/>
        </w:rPr>
        <w:t>Л. Тематична подпрограма за малки стопанства</w:t>
      </w:r>
      <w:bookmarkEnd w:id="33"/>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Тематична подпрограма за малки стопанства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Следва да се създаде баланс между дейности, резултати и ресурси.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Бюджетът на Тематичната подпрограма за малки стопанства е увеличен.</w:t>
            </w:r>
          </w:p>
          <w:p>
            <w:pPr>
              <w:pStyle w:val="BodyText"/>
              <w:jc w:val="both"/>
              <w:rPr>
                <w:b w:val="0"/>
              </w:rPr>
            </w:pPr>
          </w:p>
        </w:tc>
      </w:tr>
    </w:tbl>
    <w:p>
      <w:pPr>
        <w:pStyle w:val="Heading3"/>
        <w:jc w:val="left"/>
        <w:rPr>
          <w:b w:val="0"/>
        </w:rPr>
      </w:pPr>
      <w:bookmarkStart w:id="34" w:name="_Toc256000034"/>
      <w:r>
        <w:rPr>
          <w:b w:val="0"/>
        </w:rPr>
        <w:t>М. План за оценка</w:t>
      </w:r>
      <w:bookmarkEnd w:id="34"/>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План за оценка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да се направи по-конкретен и да предвижда бъдещи пречки пред наблюдението, оценяването и събирането на данни.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преразгледа времевата рамка, предвидена за бъдещи оценявания.</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Продължителността на изпълнението на всички дейности по оценката е удължена.</w:t>
            </w:r>
          </w:p>
          <w:p>
            <w:pPr>
              <w:pStyle w:val="BodyText"/>
              <w:jc w:val="both"/>
              <w:rPr>
                <w:b w:val="0"/>
              </w:rPr>
            </w:pPr>
          </w:p>
        </w:tc>
      </w:tr>
    </w:tbl>
    <w:p>
      <w:pPr>
        <w:pStyle w:val="Heading3"/>
        <w:jc w:val="left"/>
        <w:rPr>
          <w:b w:val="0"/>
        </w:rPr>
      </w:pPr>
      <w:bookmarkStart w:id="35" w:name="_Toc256000035"/>
      <w:r>
        <w:rPr>
          <w:b w:val="0"/>
        </w:rPr>
        <w:t>Н. Комуникация</w:t>
      </w:r>
      <w:bookmarkEnd w:id="35"/>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Комуникация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осигури изпълнение в достатъчна степен на предвидените в проекта за ПРСР добри и уместни дейности.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и отразена в дейностите в Раздела 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„Техническа помощ.</w:t>
            </w:r>
          </w:p>
          <w:p>
            <w:pPr>
              <w:pStyle w:val="BodyText"/>
              <w:jc w:val="both"/>
              <w:rPr>
                <w:b w:val="0"/>
              </w:rPr>
            </w:pPr>
          </w:p>
        </w:tc>
      </w:tr>
    </w:tbl>
    <w:p>
      <w:pPr>
        <w:pStyle w:val="Heading3"/>
        <w:jc w:val="left"/>
        <w:rPr>
          <w:b w:val="0"/>
        </w:rPr>
      </w:pPr>
      <w:bookmarkStart w:id="36" w:name="_Toc256000036"/>
      <w:r>
        <w:rPr>
          <w:b w:val="0"/>
        </w:rPr>
        <w:t>О. Участие на заинтересованите страни</w:t>
      </w:r>
      <w:bookmarkEnd w:id="36"/>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Участие на заинтересованите страни</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засили участието на членовете на ТРГ.</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Включена е допълнителна информация за участието на заинтересованите страни. Коментарите от заседанията на ТРГ и отговорите на МЗХ ще бъдат включени в отделно приложение.</w:t>
            </w:r>
          </w:p>
          <w:p>
            <w:pPr>
              <w:pStyle w:val="BodyText"/>
              <w:jc w:val="both"/>
              <w:rPr>
                <w:b w:val="0"/>
              </w:rPr>
            </w:pPr>
          </w:p>
        </w:tc>
      </w:tr>
    </w:tbl>
    <w:p>
      <w:pPr>
        <w:pStyle w:val="Heading2"/>
        <w:rPr>
          <w:b w:val="0"/>
        </w:rPr>
      </w:pPr>
      <w:bookmarkStart w:id="37" w:name="_Toc256000037"/>
      <w:r>
        <w:rPr>
          <w:b w:val="0"/>
        </w:rPr>
        <w:t>Доклад от предварителната оценка</w:t>
      </w:r>
      <w:bookmarkEnd w:id="37"/>
    </w:p>
    <w:p>
      <w:pPr>
        <w:rPr>
          <w:b w:val="0"/>
        </w:rPr>
      </w:pPr>
      <w:r>
        <w:rPr>
          <w:b w:val="0"/>
        </w:rPr>
        <w:t>Вж. приложените документи</w:t>
      </w:r>
    </w:p>
    <w:p>
      <w:pPr>
        <w:rPr>
          <w:b w:val="0"/>
        </w:rPr>
        <w:sectPr>
          <w:pgMar w:top="900" w:right="900" w:bottom="900" w:left="900" w:header="720" w:footer="720"/>
          <w:cols w:space="720"/>
        </w:sectPr>
      </w:pPr>
    </w:p>
    <w:p>
      <w:pPr>
        <w:pStyle w:val="Heading1"/>
      </w:pPr>
      <w:bookmarkStart w:id="38" w:name="_Toc256000038"/>
      <w:r>
        <w:t>SWOT и установяване на потребностите</w:t>
      </w:r>
      <w:bookmarkEnd w:id="38"/>
    </w:p>
    <w:p>
      <w:pPr>
        <w:pStyle w:val="Heading2"/>
      </w:pPr>
      <w:bookmarkStart w:id="39" w:name="_Toc256000039"/>
      <w:r>
        <w:t>SWOT</w:t>
      </w:r>
      <w:bookmarkEnd w:id="39"/>
    </w:p>
    <w:p>
      <w:pPr>
        <w:pStyle w:val="Heading3"/>
        <w:jc w:val="left"/>
        <w:rPr>
          <w:b w:val="0"/>
        </w:rPr>
      </w:pPr>
      <w:bookmarkStart w:id="40" w:name="_Toc256000040"/>
      <w:r>
        <w:rPr>
          <w:b w:val="0"/>
        </w:rPr>
        <w:t>Изчерпателно описание на настоящото положение в програмния район въз основа на общите и специфичните за програмата показатели за контекста и друга качествена актуална информация</w:t>
      </w:r>
      <w:bookmarkEnd w:id="4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Република България заема територия от 110,9 хил. кв.км, като в края на 2012 г. има население от 7,28 млн. души. През 2012 г. БВП е 39,7 млрд. евро. По паритет на покупателната способност, БВП на глава от населението е 47% от този в ЕС-27.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десетилетие на бърз икономически растеж, през 2009 г. икономиката на България навлезе в рецесия и БВП отбеляза спад от 5,5%. През периода 2010-2012 г. икономиката се възстановява бавно и растежът на БВП е нисък - между 0,4% и 1,8%.</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Рецесията води до значителен спад на заетостта (от 71% през 2008 г. до 63% през 2012 г.), като най-засегнати са групите с по-нисък образователен статус и квалификация. Равнището на безработица се удвоява (от 5.6% през 2008 г., до 12,3% през 2012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Рецесията се отразява неблагоприятно на публичните финанси, но България успява да запази стабилност - като през 2012 г. бюджетният дефицит в отношение към БВП е 0,8%, а публичният дълг – 18,5%. Намаляването на дефицита се постига чрез ограничаване на публичните разходи, включително инвестициите, които спадат от 5,2% от БВП през 2007 г. на 3,4% през 2012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Рецесията се отразява негативно на приходите на местните власти и възможностите им да осигуряват основни услуги за населението, да инвестират в поддържане на инфраструктурата и развитието на услугите.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Социално-икономическо положение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2012 г., предимно селските райони, определени по европейската типология на „градски-селски“ райони на ниво област (NUTS 3), заемат 54% от територията на България и 37% от населението. Според националната дефиниция, селските райони се определят на ниво община (LAU 2) и включват територията на 231 общини, в които най-голямото населено място има население до 30 000 души. Селските райони заемат 81% от територията и 39% от населението на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на България има гъста мрежа от малки градове (1382 бр.), които предоставят основните услуги на населението, от които 90 имат по-голямо функционално значение за организиране на територията, тъй като осигуряват по-голям обхват на услугите и/или обслужват населението на повече от една община.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периода 2007-2012 г., продължава спадът на броя и гъстотата на населението, и се увеличава рискът от обезлюдяване на значителни територии в селските райони, като най-засегнати са рядко населените територии (селата и най-малките градове). През периода 2007-2012 г. населението на предимно селските райони намалява с 8%, което е значително по-високо от средното за страната (5%). Около 70% от спада на населението се дължи на отрицателния естествен прираст, а останалите 30% - на миграция. Миграцията расте до 2010 г., но през 2011 г. намалява до 2,8 на хиляда души, поради влошените условия във всички региони на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като цяло, протича процес на застаряване на населението, а в селските райони проблемите са още по-остри. През 2012 г., само 13% от населението в предимно селските райони е на възраст под 15 г., а 20% е над 65 г.. Населението в трудоспособна възраст абсолютно и относително намалява.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Образователният статус на работната сила в селските райони се подобрява, но делът на хората с по-високо образование е много по-нисък от средния за страната, тъй като икономиката не създава работни места и възможности за професионално развитие на хората с по-високо образование.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делът на населението, живеещо в риск от бедност или социална изолация е висок (49% през 2012 г.) като най-засегнати са слабо населените територии на селските райони (61%). По-високият риск от бедност в селските райони се дължи на по-ниска заетост на трудоспособното население, по-висока безработица, по-ниска образователна степен на населението и по-ниски доходи. Рискът от бедност и социална изолация е по-висок при ромския етнос и дългосрочно безработните, възрастното население и хората с увреждания.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Икономиката на селските райони е силно засегната от рецесията. Нивото на заетост в групата 20-64 г. намалява до 60%, а безработица нараства до 14% (2012 г.). Увеличаването на безработицата води до загуба на умения и квалификация на работната сила и влияе негативно на икономическата активност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Икономическото развитие на селските райони, измерено чрез БВП на глава от населението е сред най-ниските в ЕС (28% от средното за ЕС), поради непълно използване на работната сила, структурни проблеми на икономиката и по-ниска производителност. Селските райони продължават да изостават в икономическото си развитие от градските райони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по националната дефиниция, развиват дейност 97,6 хил. фирми, в които са заети 501 хил. души или около 25% от всички в страната през 2012 г. Преобладаваща част от фирмите са микро-фирми – 90 хил., които осигуряват заетост на около 170 хил. души. Гъстотата на фирмите в селските райони е 34 фирми на хиляда души население, което е близо два пъти по-ниско отколкото в градските райони – 61. Инвестициите и производителността на труда в селската икономика са ниски.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Икономиката на селските райони е с ниска степен на диверсификация. В първичния сектор в предимно селските райони се създава много висок дял от добавената стойност и заетостта (съответно 11%, и 32% в селските райони). Развитието на неземеделските сектори се спира от по-лошите инвестиционни възможности, по-високия инвестиционен риск и разходи, ниските доходи и високата бедност, по-ниското качество на работната сила и публичната инфраструктура, достъпа до информация, обучение, консултации и кредит.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Индустриалният сектор създава около една трета от добавена стойност и заетостта в селските райони (37% от БДС и 27% от заетостта). В много от районите индустрията е слабо интегрирана с местната икономика и се развива на база на оползотворяване на предимството на по-ниската цена на труда. Слабо е развитието на секторите, които добавят стойност към произвежданите първични продукти или оползотворяват други местни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Секторът на услугите създава около половината от добавена стойност в предимно селските райони (52%) и има значително по-малък дял в заетостта (40%). Преобладаващият дял от заетостта в услугите се пада на публичните услуги, търговията, хотелиерството, ресторантьорството и транспорта.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Селските територии имат голям потенциал за развитие на </w:t>
            </w:r>
            <w:r>
              <w:rPr>
                <w:rFonts w:ascii="Times New Roman" w:eastAsia="Times New Roman" w:hAnsi="Times New Roman" w:cs="Times New Roman"/>
                <w:i/>
                <w:iCs/>
                <w:szCs w:val="24"/>
              </w:rPr>
              <w:t>устойчив туризъм</w:t>
            </w:r>
            <w:r>
              <w:rPr>
                <w:rFonts w:ascii="Times New Roman" w:eastAsia="Times New Roman" w:hAnsi="Times New Roman" w:cs="Times New Roman"/>
                <w:szCs w:val="24"/>
              </w:rPr>
              <w:t xml:space="preserve"> чрез опазване и експониране на природното и културно наследство и насърчаване на приемственост по отношение на живото наследство и традициите. Около 40% от всички общини в селските райони имат относително добро туристическо развитие, като използват ресурсите на територията за развитие на културен, приключенски, природолюбителски, балнеолечебен, селски и друг тематичен туризъм. Като цяло потенциалът не се използва напълно, поради слабото развитие на регионални туристически продукти, неразвити публично-частни партньорства, недобра туристическа инфраструктура и достъпност на част от териториите, неразвити атракции и отсъствие на обучен и квалифициран персонал и експертиза.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има добре развита мрежа за образователни и здравни услуги - 440 болници и лечебни заведения за извънболнична помощ, 1 140 детски градини, 1 150 общообразователни и 160 професионални гимназии и училища, но състоянието на инфраструктурата и оборудването в две-трети от тях е влошено. Достъпът до социални услуги в общността за уязвими групи в селските общини се подобрява, но капацитетът е крайно недостатъчен, а потенциалът за развитие на иновации в социалните услуги не се използва. По-трудния достъп до основни услуги влошава качеството на живот в селските райони и допринася за миграцията, особено на младите жители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Пътната мрежа в селските райони е относително добре развита, но не е добре поддържана. Общинските пътища, които обслужват комуникациите между населените места и общинския център, са 19,4 хил. км, като две-трети от тях се нуждаят от рехабилитация.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водоснабдителната мрежа надхвърля 40 000 км, но по-голямата част от нея е напълно амортизирана, което води до загуби на вода и рискове за качеството на водата. Недостатъчните инвестиции във водопреносната мрежа, в разработване на нови водоизточници и в модерни технологии за пречистване на води, годни за питейно-битови нужди, създават трайната тенденция на увеличаване на броя на населените места и населението, засегнати от проблеми с осигуряването на вода за питейно-битови нужди.. Друг значителен проблем е липсата на подходящо пречистване на отпадните води, отчасти поради неразвитата канализационна мрежа, особено в селата.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Достъп до стандартна широколентова мрежа е осигурен за почти всички домакинства в селските райони (99%), но в слабо населените селски райони само 60% от домакинствата имат достъп до фиксирана широколентова мрежа, спрямо 90% средно за страната. Едва 10% от домакинствата в селските райони имат достъп до мрежи от следващо поколение. Проникването на широколентов интернет в селските райони нараства значително през последните години, но остава нисък – само 37% от домакинствата в предимно селските райони имат абонамент за интернет. Използването на интернет от бизнеса и домакинствата за електронна търговия, интернет банкиране, информация и обучение е далеч от потенциално възможното.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преобладаваща част от селските територии са запазени връзките в местните общности, но готовността и капацитетът им за участие в дългосрочни многосекторни партньорства са недостатъчни и неравномерно развити. В последните години се наблюдава активизиране на дейността на читалищата и неправителствени организации, насочени към опазване на наследството и устойчиво развитие. Чрез изпълнение на проекти по различни програми е постигната определена промяна в нагласите на местните общности и е натрупан опит в планиране и реализиране на местни инициативи за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подкрепата на ПРСР, 35 МИГ прилагат стратегии за местно развитие в 25% от територията на селските райони. В резултат на интервенциите по ПРСР на местно и национално ниво e постигнат съществен напредък в изграждане на капацитет за подпомагане на воденото от общностите местно развитие като експерти, ресурси (наръчници, примери на добри практика, и др.) и мрежи за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Селско и горско стопанство и хранително-вкусова промишленост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Запазени са напоителни системи върху площи от 576 593 ха,  намаляват фермите, които напояват.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стратегията за управление и развитие на хидромелиорациите разработена от Световна банка е отбелязано, че структурата на земеделските стопанства в България се отличава с изключително висока концентрация на ползваната земя. 91,5% от всички стопанства с площ от 10 или по-малко хектара заемат едва 7% от общата използвана обработваема земя. На същите земеделски стопанства обаче се падат 42% от напояваните площи в България, което е значителна разлика. С други думи, 93% от обработваемата земя са заети от 8,5% от земеделските стопанства, попадащи в категорията 10-100 хектара и следващите категории. На тази група се падат над 50% от поливните площи, което отново е по-голямата част от всички поливни площи. Като цяло достъпът до поливни площи и тяхното използване се отличава с по-ниска концентрация. Анализът на данни от Системата за земеделска счетоводна информация (FADN) показва, че специализацията на малките и средни земеделски стопанства е предимно в производството на градински култури, включително зеленчукови и овощни насаждения, докато в сегмента на големите и много големите стопанства преобладава производството на зърнени и маслодайни култури, които не са така зависими от напояването, с изключение на царевицата, която се нуждае от напояване, за да издържа на летните засушавания.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Очакваните в бъдеще продължителни периоди на засушаване, в съчетание с все по-чести и по-тежки наводнения, ще доведат до нарастваща несигурност на селскостопанската дейност в България. В тези условия напоителната инфраструктура ще се използва за задоволяването на нарасналите нужди на селскостопанските култури от вода и ще осигури защита на обработваемата земя от вредните въздействия, свързани с климатичните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БДС, създадена в </w:t>
            </w:r>
            <w:r>
              <w:rPr>
                <w:rFonts w:ascii="Times New Roman" w:eastAsia="Times New Roman" w:hAnsi="Times New Roman" w:cs="Times New Roman"/>
                <w:i/>
                <w:iCs/>
                <w:szCs w:val="24"/>
              </w:rPr>
              <w:t>селското стопанство</w:t>
            </w:r>
            <w:r>
              <w:rPr>
                <w:rFonts w:ascii="Times New Roman" w:eastAsia="Times New Roman" w:hAnsi="Times New Roman" w:cs="Times New Roman"/>
                <w:szCs w:val="24"/>
              </w:rPr>
              <w:t>[1] е 2 056,9 млрд. евро, което e 6% от общото за България. През 2007-2012 г. БДС в постоянни цени нараства с 12,1%, но има много големи годишни колебания, като през четири години от периода е отбелязан спад. Броят на заетите в селското стопанство намалява, но секторът продължава да има много висок дял в заетостта в България (18,3% от работните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Производителността на труда, измерена с БДС на една годишна работна единица (ГРЕ) е много ниска – средно за 2010-2012 г. е 3 825,9 евро, което е само 26% от ЕС-27. Наблюдава се подобрение с 5% спрямо 2005-2007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w:t>
            </w:r>
            <w:r>
              <w:rPr>
                <w:rFonts w:ascii="Times New Roman" w:eastAsia="Times New Roman" w:hAnsi="Times New Roman" w:cs="Times New Roman"/>
                <w:i/>
                <w:iCs/>
                <w:szCs w:val="24"/>
              </w:rPr>
              <w:t>използваната земеделска площ</w:t>
            </w:r>
            <w:r>
              <w:rPr>
                <w:rFonts w:ascii="Times New Roman" w:eastAsia="Times New Roman" w:hAnsi="Times New Roman" w:cs="Times New Roman"/>
                <w:szCs w:val="24"/>
              </w:rPr>
              <w:t xml:space="preserve"> (ИЗП) е 5,12 млн. ха, което е 46,1% от територията на страната. Обработваемата земя е 3,3 млн. ха (64% от ИЗП), постоянно затревените площи - 1,65 млн. ха (32,1%), а трайните насаждения - 159,1 хил. ха (3,1%). През периода 2007-2012 г. обработваемата земя нараства с 8%, а постоянно затревените площи и трайните насаждения намаляват, съответно с 10% и 19%.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има значителна раздробеност на поземлената собственост и земята, като средният размер на един земеделски имот е около 0,5 ха. Пазарът за наемане на земя е относително добре развит и има законодателно уредени механизми за доброволни споразумения между стопаните, което води до комасация на ползването на земята. Раздробеността на земята затруднява главно дългосрочните инвестиции в подобрения на земята, трайни насаждения и инфраструктурата.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данни от преброяването през 2010 г., </w:t>
            </w:r>
            <w:r>
              <w:rPr>
                <w:rFonts w:ascii="Times New Roman" w:eastAsia="Times New Roman" w:hAnsi="Times New Roman" w:cs="Times New Roman"/>
                <w:i/>
                <w:iCs/>
                <w:szCs w:val="24"/>
              </w:rPr>
              <w:t>броят на земеделските стопанства</w:t>
            </w:r>
            <w:r>
              <w:rPr>
                <w:rFonts w:ascii="Times New Roman" w:eastAsia="Times New Roman" w:hAnsi="Times New Roman" w:cs="Times New Roman"/>
                <w:szCs w:val="24"/>
              </w:rPr>
              <w:t xml:space="preserve"> е 370,5 хил., като в сравнение с 2007 г. те са намалели с 25%, главно поради голям спад на стопанствата с ИЗП до 5 ха. Средният икономически размер на стопанствата в България е 6 847 евро СПО, което е 3,7 пъти по-ниско от средното за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Земеделската структура е биполярна. Делът на стопанствата с по-малко от 5 ха ИЗП е много висок (91%) от всички, но те имат много малък дял в ИЗП (5,2%) и стандартния производствен обем (8,7%). През последните години има благоприятна тенденция за нарастване на средния земеделски и икономически размер на стопанствата, но се наблюдава и нарастваща концентрация на земята в най-големите стопанства с над 100 ха, които през 2010 г. стопанисват 82,4% от земята. Броят на стопанства с размер от 5 до 50 ха расте бързо, но се запазва относително ниският дял на тези стопанства в ИЗП (7,9%).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Малките земеделски стопанства, които за нуждата на политиката са определени като стопанства с икономически размер от 2 000 до 7 999 евро СПО са 85 770, което е 23% от всички стопанства в България и те създават 24% от заетостта в земеделието. За периода 2007-2010 броят на малките стопанства намалява 34 хил. (28%), а постоянно заетите със земеделски дейности в тях намаляват с 82 хил. души (31%).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Общият СПО в малките стопанства е 308.8 млн. евро, което е 12,2% от националния. ИЗП в малките стопанства е 204 хил. ха или около 5% от общата в България, като се наблюдава трайна тенденция за нейното намаляване. На малките стопанства се падат близо една четвърт от пощите заети с пресни плодове и зеленчуци и трайни насаждения (2010 г.). Преобладаващата част от малките стопанства (83,5%) отглеждат селскостопански животни. В тях общо се отглеждат 228,2 хил. животински единици, което представлява 19,9% от общият брой в България. Малките стопанства, отглеждат 22,1% от млечните крави в България, 30,6% от овцете, 26,6% от козите. В малките стопанства са 54,1% от пчелните кошери. Дейността на малките стопанства е от решаващо значение за запазване на формирания ландшафт, на местната култура и балансираното социално и териториално развитие на страната. От друга страна в рамките на планинските райони на страната малките животновъдни стопанства имат и специфична структура на използваната земеделска площ, като средно 65% от площите в тези стопанства са съставени от ливади и пасища и само 35% от обработваеми площи. При малките животновъдни стопанства между 6 000 и 7 999 евро СПО извън планинските и необлагодетелствани райони едва 10% от използваните площи в стопанствата са ливади и пасища. Този факт на практика определя и възможностите за развитие на тези стопанства, насочено към екстензивно пасищно животновъдство, включително пчеларство и преработката на собствените селскостопански продукти с цел добавянето на стойност. При тези стопанства възможността за диверсификация на производството с отглеждане на растителни продукти е много малка, за разлика от стопанствата извън планинските и необлагодетелствани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2010 г. постоянната </w:t>
            </w:r>
            <w:r>
              <w:rPr>
                <w:rFonts w:ascii="Times New Roman" w:eastAsia="Times New Roman" w:hAnsi="Times New Roman" w:cs="Times New Roman"/>
                <w:i/>
                <w:iCs/>
                <w:szCs w:val="24"/>
              </w:rPr>
              <w:t>работна сила в земеделието</w:t>
            </w:r>
            <w:r>
              <w:rPr>
                <w:rFonts w:ascii="Times New Roman" w:eastAsia="Times New Roman" w:hAnsi="Times New Roman" w:cs="Times New Roman"/>
                <w:szCs w:val="24"/>
              </w:rPr>
              <w:t xml:space="preserve"> е 738,9 хил. лица, от които 321,2 хил. жени, а вложеният труд се равнява на 389,1 хил. ГРЕ. От вложения труд в земеделието 83% е на семейна работна сила. Преструктурирането на стопанствата и производството води до голям спад на постоянната работната сила през периода 2007-2010 г.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Близо две-трети от управителите на стопанствата са на възраст над 55 г. Броят на управителите на стопанствата на възраст до 35 г. нараства, но през 2010 г. те са само 6,9% от всички. Преобладаващата част (96,6%) от управителите на стопанства имат само практически опит в земеделието, но нямат специализирано земеделско образование. Освен това те имат недостатъчно знания в управлението на стопанствата, включително управлението на риска. Едва 5% от земеделските производители застраховат своята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периода 2007-2012 г. се наблюдават значителни промени в </w:t>
            </w:r>
            <w:r>
              <w:rPr>
                <w:rFonts w:ascii="Times New Roman" w:eastAsia="Times New Roman" w:hAnsi="Times New Roman" w:cs="Times New Roman"/>
                <w:i/>
                <w:iCs/>
                <w:szCs w:val="24"/>
              </w:rPr>
              <w:t>отрасловата структура на земеделието</w:t>
            </w:r>
            <w:r>
              <w:rPr>
                <w:rFonts w:ascii="Times New Roman" w:eastAsia="Times New Roman" w:hAnsi="Times New Roman" w:cs="Times New Roman"/>
                <w:szCs w:val="24"/>
              </w:rPr>
              <w:t>. Делът на растениевъдството в брутната добавена стойност нараства от 56% през 2007 г. на 69% през 2012 г. и съответно делът на животновъдството спада. През периода стойността на крайната продукция в растениевъдството нараства по текущи цени с 70,7%, докато в животновъдството е отбелязан лек спад –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структурата на ИЗП преобладават зърнените и техническите (предимно маслодайни) култури, като техният дял непрекъснато нараства, достигайки 58% през 2012 г., поради стимулите по ОСП и растежа на международните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2007-2012 г. има постоянен спад на площите с трайни насаждения, докато площите със зеленчуци са стабилизирани, но на много ниско ниво (24,8 хил. ха.). Делът на зеленчуците в стойността на крайната продукция от отрасъл земеделие намалява от 16% през 2007 г. до едва 3% през 2012 г., а на плодовете - от 7% на 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Съществуващата хидромелиоративна инфраструктура е остаряла, голяма част от нея е в лошо състояние. Използването й е неефективно, поради висока енергоемкост и значителни загуби на вода, което от своя страна повишава разходите за напояване. Тя е проектирана да задоволява нуждите на големите социалистически кооперативи и не отговаря на настоящата структура с преобладаващо малки и средни стопанства. Запазени са напоителни системи върху площи от 777 000ха, но реално се напояват около 100 000 ха (13%), намаляват фермите, които напояват.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2007-2012г. продължава спадът на всички видове селскостопански животни (говеда, овце, кози, свине и птици), главно поради намаление на животните в малките стопанства. Това води до намаляване на продукцията в животновъдството през периода 2007-2012, като през последните години се наблюдава известно стабилизиране. Благоприятно е, че в животновъдството се формира устойчив дял на динамични стопанства, които инвестират в нови технологии, подобрения на генофонда и подобряване на условията за отглеждане на животните. Пречки пред въвеждане на практики и технологии, надхвърлящи задължителните стандарти са ограничените финансови ресурси на земеделските производители. Анализът показва, че на този етап за над 65% от отглежданите биволи, 51% от говедата, 18% от овцете и 9% от козите има реална възможност да бъдат създадени условия надхвърлящи законовите стандарти за хуманно отношение към тях, което да доведе до производство на продукти с по-високо качество.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Биологичното производство бележи значителен растеж през периода 2007-2012 г. През 2012 г. сертифицираните площи са 11 974 ха (43% повече от 2007 г.), а площите в преход към биологично земеделие през 2012 г. са 27 164 ха (5 пъти повече от 2007 г.). Нараства и броят на животните, отглеждани с методите на биологичното земеделие. Производството е ориентирано предимно към експорт на суровини, поради слабо развитие на пазара и преработвателните мощности в България. Основните проблеми пред биологичното производство са свързани с по-ниски добиви и високите разходи за производство, липсата на специализирана техника за поддържане на почвеното плодородие и ниска цена на продукцията в преход.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Преобладаваща част от стопанствата в България се характеризират с ниско земеделско разнообразие, като структурата им е сведена до отглеждането на 1-2 култури. Много малък дял от стопанствата развиват неземеделски дейности. При преброяването през 2010 г. само 1,1 % от стопанствата получават приходи от неземеделски дейност, при 5,5% за ЕС-27.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w:t>
            </w:r>
            <w:r>
              <w:rPr>
                <w:rFonts w:ascii="Times New Roman" w:eastAsia="Times New Roman" w:hAnsi="Times New Roman" w:cs="Times New Roman"/>
                <w:i/>
                <w:iCs/>
                <w:szCs w:val="24"/>
              </w:rPr>
              <w:t xml:space="preserve">бруто образуването на основен капитал </w:t>
            </w:r>
            <w:r>
              <w:rPr>
                <w:rFonts w:ascii="Times New Roman" w:eastAsia="Times New Roman" w:hAnsi="Times New Roman" w:cs="Times New Roman"/>
                <w:szCs w:val="24"/>
              </w:rPr>
              <w:t>в селското стопанство е едва 11% от брутната добавена стойност, а нето образуването е отрицателно през периода 2009-2012 г. През периода 2007-2012 г. около 45% от инвестициите са насочени към машини и оборудване. Средно за периода 36% от инвестициите са за трайни насаждения, но има ясна тенденция на спад (с 25% през 2012 г. спрямо 2007 г.). Нисък дял имат инвестициите в сгради и животни, като и при тях има тенденция към спад.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Проучванията показват, че </w:t>
            </w:r>
            <w:r>
              <w:rPr>
                <w:rFonts w:ascii="Times New Roman" w:eastAsia="Times New Roman" w:hAnsi="Times New Roman" w:cs="Times New Roman"/>
                <w:i/>
                <w:iCs/>
                <w:szCs w:val="24"/>
              </w:rPr>
              <w:t>инвестициите в нови продукти и технологии</w:t>
            </w:r>
            <w:r>
              <w:rPr>
                <w:rFonts w:ascii="Times New Roman" w:eastAsia="Times New Roman" w:hAnsi="Times New Roman" w:cs="Times New Roman"/>
                <w:szCs w:val="24"/>
              </w:rPr>
              <w:t xml:space="preserve"> са ниски, а стопанства като цяло са недостатъчно информирани и заинтересовани да въвеждат иновации, поради риска, ниското си технологично ниво, несигурността на пазарите и цените, цената и достъпа до кредит.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2007 г. се увеличава броят и стойността на отпуснатите кредити от търговските банки за земеделието. Въпреки това достъпът до кредити в земеделието остава труден, особено на малките и средни стопанства, които не могат да предложат подходящи обезпечения. По данни от СЗСИ в ЕС с най-ниска стойност на активите са фермите в България и Румъния – 3 пъти по-ниско от нивото на ЕС-27.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България има слаби хоризонтални и вертикални връзки в </w:t>
            </w:r>
            <w:r>
              <w:rPr>
                <w:rFonts w:ascii="Times New Roman" w:eastAsia="Times New Roman" w:hAnsi="Times New Roman" w:cs="Times New Roman"/>
                <w:i/>
                <w:iCs/>
                <w:szCs w:val="24"/>
              </w:rPr>
              <w:t>хранителната верига</w:t>
            </w:r>
            <w:r>
              <w:rPr>
                <w:rFonts w:ascii="Times New Roman" w:eastAsia="Times New Roman" w:hAnsi="Times New Roman" w:cs="Times New Roman"/>
                <w:szCs w:val="24"/>
              </w:rPr>
              <w:t>. Участието на земеделските стопани в групи и организации на производители е много ограничено. Голяма част от земеделските производители, особено в растениевъдството, нямат предварително сключени търговски договори. В България са слабо развити схемите за директни продажби, маркетинг на местни продукти и е неразвита пазарната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2012 г</w:t>
            </w:r>
            <w:r>
              <w:rPr>
                <w:rFonts w:ascii="Times New Roman" w:eastAsia="Times New Roman" w:hAnsi="Times New Roman" w:cs="Times New Roman"/>
                <w:i/>
                <w:iCs/>
                <w:szCs w:val="24"/>
              </w:rPr>
              <w:t xml:space="preserve">. </w:t>
            </w:r>
            <w:r>
              <w:rPr>
                <w:rFonts w:ascii="Times New Roman" w:eastAsia="Times New Roman" w:hAnsi="Times New Roman" w:cs="Times New Roman"/>
                <w:szCs w:val="24"/>
              </w:rPr>
              <w:t>БДС на</w:t>
            </w:r>
            <w:r>
              <w:rPr>
                <w:rFonts w:ascii="Times New Roman" w:eastAsia="Times New Roman" w:hAnsi="Times New Roman" w:cs="Times New Roman"/>
                <w:i/>
                <w:iCs/>
                <w:szCs w:val="24"/>
              </w:rPr>
              <w:t xml:space="preserve"> хранително-вкусовата промишленост</w:t>
            </w:r>
            <w:r>
              <w:rPr>
                <w:rFonts w:ascii="Times New Roman" w:eastAsia="Times New Roman" w:hAnsi="Times New Roman" w:cs="Times New Roman"/>
                <w:szCs w:val="24"/>
              </w:rPr>
              <w:t xml:space="preserve"> е 1 304,5 млн. евро. Тя допринася за 3,8% от БДС и 3,4% от заетостта в България. През периода 2007-2012г. БДС, в постоянни цени, нараства с 34%, като растежът се ускорява през последните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сектора на производство на храни преобладават микро-фирмите, но над 50% от добавената стойност се създава от средните фирми, а около 25% в големите фирми. Развити са всички под-сектори като над 10% дял в добавена стойност имат производството на хляб и тестени изделия и месо и месни изделия.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2007-2012 г. е отбелязан много голям ръст на производителността на труда в хранително-вкусовата промишленост – 90%. Въпреки това тя остава ниска – 11 658 евро на зает (18% от ЕС-28), поради незавършена модернизация и използването на икономически неефективни технологии и оборудване, недостиг на квалифицирани кадри с опит в технологиите и иновациите. Конкурентоспособността на индустрията се спъва и от неефективността на веригата за доставка на суровини, зависимостта на част от секторите от вносни суровини и висока енергоемкост на производството.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2007-2012 г. има благоприятна тенденция за увеличаване на иновациите в продуктите и технологиите в хранителната промишленост. Част от фирмите укрепват и развиват връзки с научните звена и се ориентират към пазарите на качествени и функционални храни. Въпреки това инвестициите в иновации остават ниски – под 1% от печалбата на фирмите.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периода 2007-2012 г. </w:t>
            </w:r>
            <w:r>
              <w:rPr>
                <w:rFonts w:ascii="Times New Roman" w:eastAsia="Times New Roman" w:hAnsi="Times New Roman" w:cs="Times New Roman"/>
                <w:i/>
                <w:iCs/>
                <w:szCs w:val="24"/>
              </w:rPr>
              <w:t>външнотърговския оборот</w:t>
            </w:r>
            <w:r>
              <w:rPr>
                <w:rFonts w:ascii="Times New Roman" w:eastAsia="Times New Roman" w:hAnsi="Times New Roman" w:cs="Times New Roman"/>
                <w:szCs w:val="24"/>
              </w:rPr>
              <w:t xml:space="preserve"> със селскостопански продукти показва постоянен растеж, като нараства 2,25 пъти и достига до 5 669 млн. евро през 2012 г. Износът на селскостопански продукти се е увеличил 2,75 пъти. Търговското салдо на търговията със селскостопански стоки през всички години на периода е положително, с изключение на 2007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периода 2008-2012 г. се наблюдава висок растеж на износа на хранителната индустрия – общо за периода 82%, като растежът на износа изпреварва значително растежа на вноса, който е 39%.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България разполага със значителен потенциал за осъществяване на </w:t>
            </w:r>
            <w:r>
              <w:rPr>
                <w:rFonts w:ascii="Times New Roman" w:eastAsia="Times New Roman" w:hAnsi="Times New Roman" w:cs="Times New Roman"/>
                <w:i/>
                <w:iCs/>
                <w:szCs w:val="24"/>
              </w:rPr>
              <w:t>научно-изследователска и развойна дейност</w:t>
            </w:r>
            <w:r>
              <w:rPr>
                <w:rFonts w:ascii="Times New Roman" w:eastAsia="Times New Roman" w:hAnsi="Times New Roman" w:cs="Times New Roman"/>
                <w:szCs w:val="24"/>
              </w:rPr>
              <w:t xml:space="preserve"> в селското стопанство, горското стопанство и хранителните технологии, съсредоточен в структурите на Селскостопанска академия и университетите. Създадени са и специализирани структури, предоставящи научно-развойно обслужване на бизнеса, но като цяло има слаба обвързаност на науката и бизнеса.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1999 г. към МЗХ е създадена НССЗ, която е единствената специализирана публична консултантска организация с опит и изграден капацитет. През 2007-2013 г. частните консултантски организации извършват дейности основно по подготовка на бизнес планове и проекти по инвестиционните мерки от ПРСР, като се развива, макар и бавно консултантския капацитет в областта на биологичното производство и преработка.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Горските територии</w:t>
            </w:r>
            <w:r>
              <w:rPr>
                <w:rFonts w:ascii="Times New Roman" w:eastAsia="Times New Roman" w:hAnsi="Times New Roman" w:cs="Times New Roman"/>
                <w:szCs w:val="24"/>
              </w:rPr>
              <w:t xml:space="preserve"> на България заемат 4,1 млн. ха или 37,4% от територията на страната. Горите са 3,8 млн. ха, или 91% от горските територии. Горите с основно дърводобивна функция заемат 61,7% от горските територии. Основната част от горите са собственост на държавата (74,5%) и на общините (12%). Делът на частните гори е само 11%, като средно на един собственик се падат 0.8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Общият запас на дървесина за дърводобив е 644,8 куб. м, от които 42,2% са съсредоточени в защитните и рекреационните гори и в защитените територии. Средният запас на 1 ха е 172 куб. метра, като се има тенденция на увеличаване на запаса от дървесина на един хектар. Средният годишен прираст на дървесина на хектар се увеличава от 14,1 млн. куб. м на 14,4 млн. куб. 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БДС в </w:t>
            </w:r>
            <w:r>
              <w:rPr>
                <w:rFonts w:ascii="Times New Roman" w:eastAsia="Times New Roman" w:hAnsi="Times New Roman" w:cs="Times New Roman"/>
                <w:i/>
                <w:iCs/>
                <w:szCs w:val="24"/>
              </w:rPr>
              <w:t>горското стопанство и дърводобива</w:t>
            </w:r>
            <w:r>
              <w:rPr>
                <w:rFonts w:ascii="Times New Roman" w:eastAsia="Times New Roman" w:hAnsi="Times New Roman" w:cs="Times New Roman"/>
                <w:szCs w:val="24"/>
              </w:rPr>
              <w:t xml:space="preserve"> е 104,7 млн.евро, а заетите са 19,4 хиляди. През периода 2006-2010 г. има значителен ръст в БДС в сектора и много висок растеж на производителността на труда (23,4% годишно), главно поради увеличаване на дърводобива и намаляване на заетостта. Производителността на труда в горското стопанство и дърводобив остава ниска, поради използване на остаряла техника за добив, извоз и транспортиране на дървесината, ниско ниво на образование и квалификация на работниците. Горската пътна мрежа е слабо развита  (28 000 км), с недостатъчната гъстота (7,9 м/ха) и лошо поддържана, което води до повишаване на разходите и създава предпоставки за прекомерно ползване на дървесина в определени горски територии и възпрепятства превантивните действия срещу горски пожари и природни бедствия.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горското стопанство са много ниски, като брутообразуването на основен капитал е само 7,4% от добавената стойност (2010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Общият брой на промишлените предприятията за </w:t>
            </w:r>
            <w:r>
              <w:rPr>
                <w:rFonts w:ascii="Times New Roman" w:eastAsia="Times New Roman" w:hAnsi="Times New Roman" w:cs="Times New Roman"/>
                <w:i/>
                <w:iCs/>
                <w:szCs w:val="24"/>
              </w:rPr>
              <w:t>производство на дървен материал и изделия от него</w:t>
            </w:r>
            <w:r>
              <w:rPr>
                <w:rFonts w:ascii="Times New Roman" w:eastAsia="Times New Roman" w:hAnsi="Times New Roman" w:cs="Times New Roman"/>
                <w:szCs w:val="24"/>
              </w:rPr>
              <w:t xml:space="preserve"> (С16 - КИД) е 1940 като над 99% от тях са МСП. През 2012 г. заетите в този сектор са 22,3 хиляди като има трайна тенденция за спад в заетостта. През 2012 г. брутната добавена стойност в сектора е 109,6 млн. евро, като в постоянни цени е спаднала с 10% в сравнение с 2007 г. Производството е насочено предимно към вътрешния пазар като основните предизвикателства са ниската производителност, остаряло оборудване и технологии и липсата на иновации в продуктите и технологиите.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Околна среда/климат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България се нарежда на трето място сред държавите членки в ЕС по богатото си </w:t>
            </w:r>
            <w:r>
              <w:rPr>
                <w:rFonts w:ascii="Times New Roman" w:eastAsia="Times New Roman" w:hAnsi="Times New Roman" w:cs="Times New Roman"/>
                <w:i/>
                <w:iCs/>
                <w:szCs w:val="24"/>
              </w:rPr>
              <w:t>биоразнообразие</w:t>
            </w:r>
            <w:r>
              <w:rPr>
                <w:rFonts w:ascii="Times New Roman" w:eastAsia="Times New Roman" w:hAnsi="Times New Roman" w:cs="Times New Roman"/>
                <w:szCs w:val="24"/>
              </w:rPr>
              <w:t>. Защитените територии обхващат 5,3% от територията на страната, а зоните от Натура 2000 – 34,4%, но и извън тях се срещат земеделски земи и гори с висока природна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ноември 2013 г. общата площ на зоните от Натура 2000 е 4,1млн. ха(3,85 млн. ха сухоземна територия), от които 56,5% са горски екосистеми, 12,09% - земеделски, 13,47 %– тревистите, 5,9%- храсталачни и екоридни, 1,2 %- площи с разпокъсана и без растителност и 10,84% други екосистеми. Броят на защитените зони по Директива 2009/147/ЕО с издадени заповеди за обявяване е 119. Те обхващат 22,7% от територията на България (2 523 661 ха). Зоните по Директива 92/43/ЕО са 234. Те покриват 30% от територията на България (3 326 963 ха). Заповедите за обявяване за тях трябва да бъдат издадени до края на 2015 г. За 13 от зоните границите по двете директиви съвпадат. Съгласно Националната приоритетна рамка за действие най-многобройните заплахи за видовете са свързани с опожаряването, интензификацията на земеделските практики, транспортната инфраструктура, използването на биоциди, хормони и др. в горското стопанство, както и със залесяването на открити пространства с неместни видове. При природните местообитания, най-многобройните заплахи са интензивната паша, опожаряването, дисперсната урбанизация, залесяването с чужди дървесни видове и замърсяването.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Основният проблем на земите в Натура 2000 е, че повечето от земеделските стопани се стремят земите им да станат избираеми за подпомагане по СЕПП, което води до премахване на храсти, дървета, а в някой случаи и цялостно разораване на ценни местообитания. Освен това има недостиг от инвестиции в заграждения за пасищни животни, нискооборотни косачки, изграждане на водоеми и т.н. както и специфични знания и умения за прилагането на природосъобразни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Трайното намаляване на постоянно затревените площи, повечето от които са полу-естествени, също представлява заплаха за опазване на биоразнообразието. За периода 2005-2012 г. птиците, обитаващи земеделски земи намаляват с 11%, а тези на горските местообитания се изменят незначително. Основна причина за негативната тенденция, е промяната в естествените тревни местообитания - пасища и ливади, които са основно местообитание на видовете.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Общата площ на физическите блокове обработваемите земи с потенциално </w:t>
            </w:r>
            <w:r>
              <w:rPr>
                <w:rFonts w:ascii="Times New Roman" w:eastAsia="Times New Roman" w:hAnsi="Times New Roman" w:cs="Times New Roman"/>
                <w:i/>
                <w:iCs/>
                <w:szCs w:val="24"/>
              </w:rPr>
              <w:t xml:space="preserve">ВПС </w:t>
            </w:r>
            <w:r>
              <w:rPr>
                <w:rFonts w:ascii="Times New Roman" w:eastAsia="Times New Roman" w:hAnsi="Times New Roman" w:cs="Times New Roman"/>
                <w:szCs w:val="24"/>
              </w:rPr>
              <w:t>е 504,6 хил. ха, от които трайните насаждения са 59 хил. ха, семейните градини – 73,7 хил. ха, пасищата, мерите и ливадите – 809,5 хил. ха, смесеното земеползване – 279,1 хил. ха, храсти и затревени територии – 738,9 хил. ха (2012 г.). През 2013 г. от затревените площи са заявени за подпомагане по мярка 214 едва 7% (48 хил. ха[2], а от обработваемите земи – едва 2% (14,1 хил. ха) основно поради проблеми с допустимостта на тези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през 1984 г. са описани 33 аборигенни породи, като 8 от тях са изчезнали, а за 8 няма сведения, тъй като тези породи не се контролират от развъдни организации. Подпомагани от ПРСР са 22 автохтонни породи.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институтите на Селскостопанска академия се поддържат 163 застрашени от изчезване сорта местни растения със сортови свидетелства и 152 сорта без сортови свидетелства, чието опазването е от първостепенно значение за опазване на генофонда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България се отличава с относително значими пресни </w:t>
            </w:r>
            <w:r>
              <w:rPr>
                <w:rFonts w:ascii="Times New Roman" w:eastAsia="Times New Roman" w:hAnsi="Times New Roman" w:cs="Times New Roman"/>
                <w:i/>
                <w:iCs/>
                <w:szCs w:val="24"/>
              </w:rPr>
              <w:t>водни ресурси</w:t>
            </w:r>
            <w:r>
              <w:rPr>
                <w:rFonts w:ascii="Times New Roman" w:eastAsia="Times New Roman" w:hAnsi="Times New Roman" w:cs="Times New Roman"/>
                <w:szCs w:val="24"/>
              </w:rPr>
              <w:t>, но неравномерно разпределени на територията на страната и във времето, което води до недостиг на вода в определени райони, който ще се задълбочава от очакваните климатични промени. Наблюдава се тенденция за подобряване на качеството на повърхностните води, но въпреки това все още има водни тела в риск, посочени в разработените от басейновите дирекции планове за управление на речните басейни (ПУРБ). Постепенно подобряване се наблюдава и на качеството на подземните води за по-голяма част от показателите. Намаляване на средните годишни концентрации показват общото желязо, амониевите йони, фосфатите и хлоридите, а липса на изразени тенденции се наблюдават при нитратите, нитритите, перманганатната окисляемост, мангана и сулфатите. През 2011 г. процента на пунктовете, в които се установяват наднормени стойности на средногодишните концентрации на нитрати е 13,27 %. Основният източник на дифузно замърсяване на повърхностните и подземните води е селскостопанската дейност, емитираща както нитратни и фосфатни съединения, така и пестициди и вещества, ползвани за растителна защита и лечение на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Според ПУРБ в България основния хидроморфологичен натиск е свързан с: регулиране на оттока на реките и нарушаване/прекъсване на местообитанията; прекъсване на връзката между съседни влажни влажни зони/заливни тераси; хидрологични промени; изземване на инертни материали; добив на редки и ценни материали в речните корита; изграждане на хидротехнически и хидромелиоративни съоръжения за укрепване на речното легло. Поради липса на национален подход за оценка на риска от хидроморфологичния натиск и в междинните прегледи на значимите проблеми по райони за басейново управление, публикувани към м. ноември 2014 г., липсва оценяването на това въздействие. По настоящем хидроморфологичният натиск, отнесен към категория физични изменения, е дефиниран като значим единствено на база експертна оценка на наличните данни (основно по издадените разрешителни), а не въз основа на детайлен анализ.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Действащите ПУРБ за периода 2009-2015 г. включват количествена информация за състоянието само на подземните водни тела. Затова не може да бъде предоставена информация за изложените на риск водни тела. Обобщена информация относно обхвата и регионалното разпределение на хидроморфологичния натиск  ще бъде направена в рамките на Стратегията за укрепване на конкурентоспособността на селското стопанство и устойчивото управление в хидромелиоративния сектор и опазване на вредното въздействие на водите, по която работи Световна банка. Световната банка разполага с предварителна информация, която ще бъде актуализирана за всеки район от ПУРБ по отношение на статута на  водните тела.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Общата площ на </w:t>
            </w:r>
            <w:r>
              <w:rPr>
                <w:rFonts w:ascii="Times New Roman" w:eastAsia="Times New Roman" w:hAnsi="Times New Roman" w:cs="Times New Roman"/>
                <w:i/>
                <w:iCs/>
                <w:szCs w:val="24"/>
              </w:rPr>
              <w:t>нитратно уязвимите зони</w:t>
            </w:r>
            <w:r>
              <w:rPr>
                <w:rFonts w:ascii="Times New Roman" w:eastAsia="Times New Roman" w:hAnsi="Times New Roman" w:cs="Times New Roman"/>
                <w:szCs w:val="24"/>
              </w:rPr>
              <w:t>, определена през 2010 г. е 34,5% от територията на страната и 69% от площите със селскостопанско предназначение и включва три основни географски части: Северна, Южна и Югозападна България (частично или изцяло територията на 96 общини). Първоначално определените зони през 2004 г. (59 хил. кв.км) са намалени с около 21 хил. кв.км – територии, заети от гори, водни площи, високо урбанизирани индустриални и други територии с неселскостопанско предназначение.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2012 г. е направена предварителната оценка на риска от наводнения за всеки речен басейн. Много от съществуващите съоръжения за защита от вредното въздействие на водите се нуждаят от ремонт и профилактика. Необходимо е и да се възстановяват влажните зони и ливади като естествена мярка за намаляване на риска от наводнения.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2005-2012 г. почвите в страната са в добро екологично състояние по отношение на запасеност с биогенни елементи/органично вещество и по отношение на замърсяване с тежки метали, металоиди и устойчиви органични замърсители).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Значителна част от </w:t>
            </w:r>
            <w:r>
              <w:rPr>
                <w:rFonts w:ascii="Times New Roman" w:eastAsia="Times New Roman" w:hAnsi="Times New Roman" w:cs="Times New Roman"/>
                <w:i/>
                <w:iCs/>
                <w:szCs w:val="24"/>
              </w:rPr>
              <w:t>почвите</w:t>
            </w:r>
            <w:r>
              <w:rPr>
                <w:rFonts w:ascii="Times New Roman" w:eastAsia="Times New Roman" w:hAnsi="Times New Roman" w:cs="Times New Roman"/>
                <w:szCs w:val="24"/>
              </w:rPr>
              <w:t xml:space="preserve"> в България са засегнати в различна степен от деградационни процеси, които включват всички видове на проявление на почвена ерозия, вкисляване, засоляване, замърсяване, разрушаване и т.н., което намалява способността на почвите за поглъщане на въглерода и увеличаване на парниковите газове от неподходящи земеделски дейности. През 2011 г. общата площ на земеделските земи, които са засегнати от плоскостна водна ерозия с интензитет над 3 т/ха/година е 2 825 600 ха със средногодишен интензитет от 7,36 т/ха. Площта, засегната от ветровата ерозия, остава относително постоянна, като 1 156 063 ха от обработваемите земи в страната са с риск от ветрова ерозия със среден интензитет 0,6 т/ха/година. Нивите в областите: Добрич, Плевен, Бургас, и Велико Търново са с най-висок риск от ветрова ерозия. Една от най-важните мерки срещу ветровата ерозия е изграждането на горски (ветрозащитни) пояси в Североизточна България. Тези пояси допринасят и за увеличаването на залесените територии, поглъщащи въглерод. През последните години обаче, тези пояси не се поддържат добре, а изграждането на нови пояси е силно ограничено.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данни на Българска агенция по безопасност на храните (БАБХ), през 2011 г. наторените площи с азот са с 4,1 % повече в сравнение с 2010 г. Тенденцията е към увеличаване на площите наторени с азот, но средно с по-малко количество азотен тор на декар. При фосфора се констатира нарастване на наторените площи през 2011 г. с 29,38 % спрямо 2010 г. През 2011 г. е отчетено рязко повишаване на количеството употребен оборски тор - 200 118 т, с които са наторени приблизително 15 042,24 хa. Наторяват са предимно зеленчуци, лозя, овощни, картофи и технически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Основната причина за процесите на почвена деградация е практиката за нискотехнологична сеитба – небалансирано използване на торове и ниско количество органични торове, намален брой на почвените обработки и т.н. Свръхизпасването на пасищата и отъпкването на затревени площи в близост до населените места, което с особена сила важи за общинските мери, също води до ерозия на почвата и загуба на почвено плодородие.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31.12.2012 г. общите нива на емисиите на SO2, NO2, NH3, NMVOC са значително по-ниски от ангажиментите на страната, съгласно Директива 2001/81/ЕО относно националните тавани за емисиите на определени атмосферни замърсители, Гьотеборгския протокол и целите за 2015 г. по Националната програма за намаляване на общите годишни емисии на гореизброените замърсители по отношение на NO2, NH3, NMVOC. Битовото отопление е основен източник на ФПЧ10, емитирайки 59% от общото количество, изхвърляно в атмосферата. Основните атмосферни замърсители, емитирани от селското стопанство са амоняк (90%) и неметанови летливи органични съединения - 8% от националните емисии.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w:t>
            </w:r>
            <w:r>
              <w:rPr>
                <w:rFonts w:ascii="Times New Roman" w:eastAsia="Times New Roman" w:hAnsi="Times New Roman" w:cs="Times New Roman"/>
                <w:i/>
                <w:iCs/>
                <w:szCs w:val="24"/>
              </w:rPr>
              <w:t>емисиите парникови газове</w:t>
            </w:r>
            <w:r>
              <w:rPr>
                <w:rFonts w:ascii="Times New Roman" w:eastAsia="Times New Roman" w:hAnsi="Times New Roman" w:cs="Times New Roman"/>
                <w:szCs w:val="24"/>
              </w:rPr>
              <w:t xml:space="preserve"> от сектор „Селско стопанство“ са 10,4% от общите емисии в България, като основен източник са земеделските почви (56%). В последните години данните показват, че количеството на употребените минерални торове непрекъснато нараства, нарастват и площите (до 2009 г.) третирани с минерални торове, главно с едностранно азотно торене. Животновъдството допринася за 41% от емисиите, свързани с биологична ферментация (22%) и управлението на оборски тор (19%), като се наблюдава тенденция на спад на емисиите, главно поради намаляване на броя на животните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Поглъщането на парникови газове</w:t>
            </w:r>
            <w:r>
              <w:rPr>
                <w:rFonts w:ascii="Times New Roman" w:eastAsia="Times New Roman" w:hAnsi="Times New Roman" w:cs="Times New Roman"/>
                <w:szCs w:val="24"/>
              </w:rPr>
              <w:t xml:space="preserve"> в сектор „Земеползване, промяна в земеползването и горско стопанство“ компенсира между 11,4% - 19,9% от общите емисии на парникови газове в България. С най-голяма роля за поглъщането и складирането на въглерод (94-95% от общото поглъщане за сектора) са териториите, заети от гори.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приспособяването към изменението в климата, очакваното повишение на температурите в България в резултат на промените в климата е от 0,7 до 1,8ºC към 2020 г., от 1,6 до 3,1ºC към 2050 г. и от 2,9 до 4,1ºC към 2080 г. Промените в климата ще наложат допълнително напояване на културите през сухите месеци на вегетативния период (юни - септември), за да се компенсира липсата на влага в почвата.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Необлагодетелстваните райони</w:t>
            </w:r>
            <w:r>
              <w:rPr>
                <w:rFonts w:ascii="Times New Roman" w:eastAsia="Times New Roman" w:hAnsi="Times New Roman" w:cs="Times New Roman"/>
                <w:szCs w:val="24"/>
              </w:rPr>
              <w:t xml:space="preserve"> в България са определени през 2007 г. През 2013 г. планинските райони обхващат 38,2% от територията на страната и 16,6% от ИЗП. Другите необлагодетелствани райони обхващат 9,8% от ИЗП, като се очаква през 2017 г., след предефиниране на обхвата им, те да са 12-14% от територията на страната. До края на същия период ще бъдат дефинирани и райони със специфични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края на 2011 г. делът на произведената </w:t>
            </w:r>
            <w:r>
              <w:rPr>
                <w:rFonts w:ascii="Times New Roman" w:eastAsia="Times New Roman" w:hAnsi="Times New Roman" w:cs="Times New Roman"/>
                <w:i/>
                <w:iCs/>
                <w:szCs w:val="24"/>
              </w:rPr>
              <w:t>енергия от възобновяеми източници</w:t>
            </w:r>
            <w:r>
              <w:rPr>
                <w:rFonts w:ascii="Times New Roman" w:eastAsia="Times New Roman" w:hAnsi="Times New Roman" w:cs="Times New Roman"/>
                <w:szCs w:val="24"/>
              </w:rPr>
              <w:t xml:space="preserve"> в брутното крайно потребление на енергия на България достига 13,8% при заложена цел от 16% към края на 2020 г. Най-голям дял в производството на енергия от ВЕИ се пада на енергията от биомаса и възобновяеми отпадъци. Данните за 2010 - 2011 г., относно производството и потреблението на възобновяема енергия в селското и горското стопанство показват, че по-голямата част от произведената възобновяема енергия е с произход горското стопанство, докато заради по-високия енергиен интензитет на технологиите за отглеждане на селскостопанска продукция, в реалността, основният дял от крайното потребление на енергия се пада на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Горите със защитни и специални функции</w:t>
            </w:r>
            <w:r>
              <w:rPr>
                <w:rFonts w:ascii="Times New Roman" w:eastAsia="Times New Roman" w:hAnsi="Times New Roman" w:cs="Times New Roman"/>
                <w:szCs w:val="24"/>
              </w:rPr>
              <w:t xml:space="preserve"> заемат 38,3% от горските територии, като през периода 2006-2010 г. този дял е нараснал с 6,4% пункта, основно в категорията защитени природни територии (защитени местности и ландшафти и природни паркове).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Горските територии, включени в европейската екологична мрежа Натура 2000, са 57% от общата горска площ. По данни на ИАГ за 2010 г. общата площ на защитните гори е 518,7 ха, което е 12,5% от общата площ на горските територии в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периода 2006 – 2011 г. здравословното състояние на горите е добро. В горските територии не са отчетени превишения на критичните натоварвания за киселинност, сяра и азот. Почвите в горските територии са в добро, устойчиво състояние по отношение на замърсяване с тежки метали, металоиди и устойчиви органични замърсители.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Най-сериозен рисков фактор за горите продължават да са горските пожари, които водят и до увеличаване на емисиите от парникови газове. За последните 6 години са възникнали 3 624 горски пожара, които са засегнали 61,5 хил. ха горски територии. В резултат от изменението на климата неблагоприятните въздействия върху горите от пожари и природни бедствия се очаква да станат по-чести и с по-големи нежелани последствия.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Приложение 35 е даден подробен социално-икономически анализ.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[1]Растениевъдство и животновъдство, ловно стопанство и свързаните с тях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Данните обхващат само заявените площи по подмярка „поддържане на затревени площи с ВПС”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1" w:name="_Toc256000041"/>
      <w:r>
        <w:rPr>
          <w:b w:val="0"/>
        </w:rPr>
        <w:t>Силни страни, установени в програмния район</w:t>
      </w:r>
      <w:bookmarkEnd w:id="4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Социално-икономическо положение в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Запазена богата природна среда, предлагаща привлекателни среда за живот;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Територии с уникален характер и неусвоен потенциал за развитие на туризма, съчетаващи природни и културни ценности;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Добре изградена мрежа от малки градски центрове, сравнително равномерно разположени на територията на страната, осигуряващи основни услуги за населението;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Добре развита мрежа от детски градини и училища, осигуряващи основни публични услуги за населението;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Изградена пътна и водоснабдителна инфраструктура;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Съхранени традиционни занаяти, услуги и технологии за преработка на храни, които създават заетост и допълнителни доходи в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Съхранени местни общности, културни традиции и активизиране на читалищата и неправителствените организации;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Създаден капацитет (знания, опит, ресурси, мрежи) за подпомагане на инициативи за местно развитие по подхода ЛИДЕР - на национално ниво и в част от територията от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Натрупан опит в прилагане на подхода Лидер на една четвърт от територията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Селско и горско стопанство и хранително-вкусова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Благоприятен агро-екологичен потенциал за развитие отглеждане на различни земеделски култури;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Бързо развиващ се сектор на биологичното земеделие;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Високи изисквания на българските потребители към качеството на храните и предпочитание към местните храни;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Нарастващ брой земеделски стопанства и фирми от хранителната промишленост, ориентиращи фирмените си стратегии към качество и иновации;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Консолидирана и частично модернизирана хранителна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Увеличена експортна ориентация на производството;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Достъп до пазарите на ЕС, традиционно присъствие на пазарите в Русия, ОНД и Близкия Изток;</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Развита система за аграрно образование, наука и съветнически услуги;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Традиции в създаването и отглеждането на гори, дърводобива и горската промишленост.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Околна среда/климат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Богато биоразнообразие и разнообразен ландшафт;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Зоните с най-богато и ценно биоразнообразие са защитени от националното законодателство - зоните от Натура 2000 обхващат една трета от територията на страната;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Наличие на адаптирани към местните условия местни породи и растителни видове;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Голям дял на полуестествени затревени площи, благоприятстващи развитието на пасищно животновъдство;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Постепенно развитие на биологичното земеделие;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Тенденция в подобряване на качеството на водите;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Опит в защитата от ерозия и положителна тенденция за ограничаване на ветровата и водна ерозия; полезащитни пояси;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Голям дял на горските територии, които допринасят за предотвратяване на промените в климата;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Добро здравословно състояние на горските екосистеми;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Инвентаризирани горски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2" w:name="_Toc256000042"/>
      <w:r>
        <w:rPr>
          <w:b w:val="0"/>
        </w:rPr>
        <w:t>Слаби страни в програмния район</w:t>
      </w:r>
      <w:bookmarkEnd w:id="4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Социално-икономическо положение в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Намаляване и застаряване на населението, миграция, особено на младо и високо образовано население;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Намаляване на гъстотата на населението и риск от обезлюдяване на част от териториите;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Слаба икономическа активност, ниска степен на предприемачество;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Ниска степен на диверсификация и на добавяне на стойност в селската икономика;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Неразвити туристически атракции и инфраструктура;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Намаляване на работната сила, по-нисък образователен статус на работната сила, риск от загуба на квалификация и умения поради дългосрочна безработица;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Висок риск от бедност и социално изключване, особено сред ромите, уязвимите групи и възрастните;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Сравнително ниско качество на социалните услуги в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Лошо състояние на изградената техническа инфраструктура и ниска енергийна ефективност на публичните обекти;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Непълно покритие на територията на селските райони с фиксирана широколентова инфраструктура и ниско използване информационните и комуникационни технологии от населението и бизнеса;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Недостатъчно развит капацитет на местните общности за включване и управление на инициативи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Селско и горско стопанство и хранително-вкусова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Поляризирана структура на стопанствата;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Неблагоприятна възрастова и образователна структура на управителите на стопанствата и заетите в земеделието;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Незавършено преструктуриране и модернизация на малките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Тенденция на спад на традиционно отглежданите земеделски култури в България в т.ч. месо, мляко, плодове и зеленчуци;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Раздробена собственост върху земята и горите, които са частна собственост;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Слаба диверсификация на стопанската дейност в земеделските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Амортизирано оборудване и морално остарели технологии в част от земеделските стопанства и в горското стопанство;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Ниска производителност на труда в селското и горското стопанство, хранително-вкусовата промишленост и дървопреработващата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Ниска инвестиционна активност, недостатъчни инвестиции в технологична модернизация и иновации в селското и горско стопанство и преработващата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Силна зависимост от вноса на суровини в някои подотрасли на хранително-вкусовата промишленост (основно месна, млечна и консервна);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Неблагоприятна структура на износа и вноса на селскостопански стоки - непреработените земеделски продукти преобладават в износа, а преработените във вноса;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Слаби вертикални връзки, коопериране и сътрудничество в хранителната верига;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Слабо коопериране между земеделските стопани и слаби пазарни позиции, включително и поради нелоялна конкуренция от вносна продукция и злоупотреба с пазарна сила на посредници;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Стари технологии и съоръжения в хидромелиоративната инфраструктура извън стопанствата и лошо поддържане и ползване на инфраструктурата; проблеми в стопанисването и използването на хидромелиоративните съоръжения;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Слаба организация за трансфера на знания в земеделието, ХВП и горското стопанство; недостатъчно ефективна връзка между научно-изследователските и образователни институти и бизнеса;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Неразвити механизми за управление на риска;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Ограничен достъп до кредит и външно финансиране, особено за малките и средни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Околна среда/климат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Унищожение на ценни полу-естествени местообитания посредством разораване, строителна дейност и използване на синтетични торове и химикали;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Неефективно използване на природните ресурси, включително свръх експлоатиране; замърсявания, нарушен воден баланс;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Хидроморфологичен натиск върху водните тела, в това число пресушаване или прекъсване на връзката между съседни влажни зони, регулиране на водния отток и изграждане на хидротехнически и хидромелиоративни съоръжения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Големи площи, изправени пред загуба на многофункционалността на почвите вследствие водна и ветрова ерозия; намаляване на хумусния слой на почвата; засоляване, вкиселяване и механично унищожение на почвите;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Монокултурни производствени модели;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Земеделието е източник на парникови газове, влияещи върху климатичните промени;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Недостатъчна осведоменост и познания на земеделските стопани относно природната стойност на земята и устойчивото земеползване и промените в климата;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Недостатъчна гъстота и незадоволително състояние на горската пътна мрежа;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Недостатъчно интегриране на дейностите по запазване на биологичното разнообразие с горското планиране и със стопанисването на горите;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Недостиг на инвестиции в непродуктивни инвестиции, свързани с прилагането на екологосъобразни практики;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Ниска степен на ползване на алтернативни източници на енергия;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Недостатъчни инвестиции в мерки за предотвратяване на пожари и природни бедствия;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Премахване на характеристики на ландшафта (храсти и дървета) с цел получаване на преки плащания в рамките на първи стълб на ОСП.</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Недостатъчен капацитет за осигуряване на консултантски услуги за опазване на околната среда и екосистемите и адаптиране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3" w:name="_Toc256000043"/>
      <w:r>
        <w:rPr>
          <w:b w:val="0"/>
        </w:rPr>
        <w:t>Възможности, установени в програмния район</w:t>
      </w:r>
      <w:bookmarkEnd w:id="4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Разширяване на пазарите и нарастване на потребителско търсене на хранителни продукти, с гарантирано качество и произход, местни продукти, както и биологични продукти и продукти, произведени при високи стандарти на опазване на околната среда и хуманното отношение към животните;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Повишено търсене на културно-исторически, спа и балнеологичен, приключенски, еко и селски туризъм;</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технологиите в областта на зелената икономика, включително ВЕИ;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иновациите в областта на социалните услуги;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екосистемните услуги;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Улеснен достъп до нови знания, технологии и практики вследствие членството в Европейския съюз;</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Ново отношение на обществото към мултифункционалната роля на земеделието и горите, и тяхната роля за опазване на околната среда и създаването на нови производствени цикли;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Повишаване на търсенето на селскостопански продукти на международните пазари;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Издаване на заповедите за обявяване на защитените зони за местообитанията в рамките на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4" w:name="_Toc256000044"/>
      <w:r>
        <w:rPr>
          <w:b w:val="0"/>
        </w:rPr>
        <w:t>Заплахи в програмния район</w:t>
      </w:r>
      <w:bookmarkEnd w:id="4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numPr>
                <w:ilvl w:val="0"/>
                <w:numId w:val="24"/>
              </w:numPr>
              <w:spacing w:before="0" w:after="240"/>
              <w:ind w:left="1440" w:hanging="930"/>
              <w:jc w:val="left"/>
              <w:rPr>
                <w:rFonts w:ascii="Times New Roman" w:eastAsia="Times New Roman" w:hAnsi="Times New Roman" w:cs="Times New Roman"/>
                <w:szCs w:val="24"/>
              </w:rPr>
            </w:pPr>
            <w:r>
              <w:rPr>
                <w:rFonts w:ascii="Times New Roman" w:eastAsia="Times New Roman" w:hAnsi="Times New Roman" w:cs="Times New Roman"/>
                <w:szCs w:val="24"/>
              </w:rPr>
              <w:t>·      Нисък икономически растеж в страната, особено с ефект върху заетостта и квалификацията и бедността;</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Продължаващ ефект на икономическата криза в останалите страни-членки на ЕС, които са основни търговски партньори в стокообмена със стоки на аграрния сектор и ХВП, което може да доведе до понижено търсене;</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Увеличаване на териториалните различия в качеството на живот и доходите, ускоряващи вътрешната и външна миграция на населението на селските райони;</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Загуба на квалифицирана работна ръка и недостиг на работна сила, поради неконкурентно заплащане на труда;</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Нарастващата роля на транснационалните компании в хранителната верига;</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Нарастване на цените на използваните ресурси и материали (земя, труд, горива и др.) при производството и преработката на земеделски и горски продукти;</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Циклични спадове и големи колебания в цените на селскостопанските стоки;</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Увеличаване на замърсяването в следствие на интензивно земеделие, производствени дейности, транспорт и туризъм;</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Глобалната промяна на климата, попадане на страната в зона на засушаване и рискове, свързани с природни бедствия (т.е. наводнения, злополуки, пожари, суша).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sectPr>
          <w:pgMar w:top="900" w:right="900" w:bottom="900" w:left="900" w:header="720" w:footer="720"/>
          <w:cols w:space="720"/>
        </w:sectPr>
      </w:pPr>
    </w:p>
    <w:p>
      <w:pPr>
        <w:pStyle w:val="Heading3"/>
        <w:jc w:val="left"/>
        <w:rPr>
          <w:b w:val="0"/>
        </w:rPr>
      </w:pPr>
      <w:bookmarkStart w:id="45" w:name="_Toc256000045"/>
      <w:r>
        <w:rPr>
          <w:b w:val="0"/>
        </w:rPr>
        <w:t>Общи показатели за контекста</w:t>
      </w:r>
      <w:bookmarkEnd w:id="4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76"/>
        <w:gridCol w:w="1776"/>
        <w:gridCol w:w="1776"/>
        <w:gridCol w:w="1776"/>
        <w:gridCol w:w="1776"/>
        <w:gridCol w:w="177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2000" w:type="dxa"/>
            <w:gridSpan w:val="6"/>
            <w:shd w:val="clear" w:color="auto" w:fill="808080"/>
            <w:noWrap w:val="0"/>
            <w:tcMar>
              <w:top w:w="20" w:type="dxa"/>
              <w:bottom w:w="20" w:type="dxa"/>
            </w:tcMar>
            <w:vAlign w:val="center"/>
          </w:tcPr>
          <w:p>
            <w:pPr>
              <w:jc w:val="left"/>
              <w:rPr>
                <w:b/>
                <w:i w:val="0"/>
                <w:sz w:val="20"/>
              </w:rPr>
            </w:pPr>
            <w:r>
              <w:rPr>
                <w:b/>
                <w:i w:val="0"/>
                <w:sz w:val="20"/>
              </w:rPr>
              <w:t>I Социално-икономическо състояние на селските райони</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jc w:val="left"/>
              <w:rPr>
                <w:b w:val="0"/>
                <w:i w:val="0"/>
                <w:sz w:val="16"/>
              </w:rPr>
            </w:pPr>
            <w:r>
              <w:rPr>
                <w:b w:val="0"/>
                <w:i w:val="0"/>
                <w:sz w:val="16"/>
              </w:rPr>
              <w:t>1 Население</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7 284 552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37,3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44,8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17,9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специфично определение за селските райони, използвано за целевите стойности T21; T22 и T24 (ако е уместно)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 Възрастова структура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&lt; 15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13,4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общо 15  - 64 години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67,8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&gt; 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18,8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&lt; 15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13,3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15  - 64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66,7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&gt; 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 Територия</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km²</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110 900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53,6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45,2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 Гъстота на населението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жители/km²</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67,1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жители/km²</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46,7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5 Равнище на заетост</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(15-64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58,8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мъже (15-64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61,3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жени (15-64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56,3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селски райони (слабонаселени) (15-64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50,7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(20-64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мъже (20-64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65,8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жени (20-64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60,2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6 Равнище на самостоятелната заетост</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(15-64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10,5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7 Равнище на безработица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(15-74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12,3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младежи (15-24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28,1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(слабонаселени) (15-74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17,1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младежи (15-24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34,5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8 БВП на глава от населението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стандарт на покупателната способност (ЕС-27 = 100)</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селски райони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стандарт на покупателната способност (ЕС-27 = 100)</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27,8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9 Равнище на бедността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49,3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селски райони (слабонаселени)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61,4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10 Структура на икономиката (брутна добавена стойност)</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млн. евро</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34 074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първичен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вторичен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30,4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третичен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63,2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24,5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35,4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40,2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11 Структура на заетостта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3 281,9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първичен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19,4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вторичен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25,7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третичен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54,8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42,2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24,8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12 Производителност на труда по икономически сектори</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10 382,4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първичен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3 417,6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вторичен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12 253,6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третичен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11 973,1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6 135,2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6 828,3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12 707,4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bl>
    <w:p>
      <w:pPr>
        <w:rPr>
          <w:b w:val="0"/>
          <w:i w:val="0"/>
        </w:rPr>
      </w:pPr>
      <w:r>
        <w:rPr>
          <w:b w:val="0"/>
          <w:i w:val="0"/>
        </w:rPr>
        <w:br w:type="page"/>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76"/>
        <w:gridCol w:w="1776"/>
        <w:gridCol w:w="1776"/>
        <w:gridCol w:w="1776"/>
        <w:gridCol w:w="1776"/>
        <w:gridCol w:w="177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2000" w:type="dxa"/>
            <w:gridSpan w:val="6"/>
            <w:shd w:val="clear" w:color="auto" w:fill="808080"/>
            <w:noWrap w:val="0"/>
            <w:tcMar>
              <w:top w:w="20" w:type="dxa"/>
              <w:bottom w:w="20" w:type="dxa"/>
            </w:tcMar>
            <w:vAlign w:val="center"/>
          </w:tcPr>
          <w:p>
            <w:pPr>
              <w:jc w:val="left"/>
              <w:rPr>
                <w:b/>
                <w:i w:val="0"/>
                <w:sz w:val="20"/>
              </w:rPr>
            </w:pPr>
            <w:r>
              <w:rPr>
                <w:b/>
                <w:i w:val="0"/>
                <w:sz w:val="20"/>
              </w:rPr>
              <w:t>II Земеделие/Секторен анализ</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jc w:val="left"/>
              <w:rPr>
                <w:b w:val="0"/>
                <w:i w:val="0"/>
                <w:sz w:val="16"/>
              </w:rPr>
            </w:pPr>
            <w:r>
              <w:rPr>
                <w:b w:val="0"/>
                <w:i w:val="0"/>
                <w:sz w:val="16"/>
              </w:rPr>
              <w:t>13 Заетост в зависимост от икономическата дейност</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2 934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168,1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горско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19,4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горско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0,7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хранително-вкусова промишленост</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96,1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хранително-вкусова промишленост</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туризъм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152,7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туризъм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14 Производителност на труда в селското стопанство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3 825,9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2010 - 2012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15 Производителност на труда в горското стопанство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10 086,7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2008 - 2010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16 Производителност на труда в хранително-вкусовата промишленост</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7 119,6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17 Земеделски стопанства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370 490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&lt; 2 хектара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308 110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2-4,9 хектара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30 390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5-9,9 хектара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10 730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10-19,9 хектара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6 820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20—29,9 Ha</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2 950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30-49,9 хектара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3 060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50-99,9 хектара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2 930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&gt;100 хектара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5 490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икономически размер на стопанството &lt; 2000 стандартен производствен обем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255 110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2000 - 3999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59 480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4000 - 7999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26 290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8000 - 14 999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12 510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15 000 - 24 999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6 060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25 000 - 49 999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4 750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50 000 - 99 999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2 570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100 000 - 249 999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1 990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250 000 - 499 999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1 010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&gt; 500 000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730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физически размер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хектара използвана земеделска земя/стопанство</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12,1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икономически размер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стандартен производствен обем в евро/стопанство</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6 846,79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размер, изразен в единици работна ръка (лица)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Лица/стопанство</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размер, изразен в единици работна ръка (годишни работни единици)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Годишни работни единици/стопанство</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18 Земеделски площи</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обща използвана земеделска площ</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4 475 530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обработваема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69,8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трайни тревни насаждения и ливади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27,7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трайни насаждения</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19 Земеделска площ за биологично земеделие</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сертифицирана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хектара използвана земеделска земя</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11 974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в процес на превръщане</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хектара използвана земеделска земя</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27 164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използваната земеделска площ (сертифицирана и в процес на превръщане)</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0,8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20 Поливни площи</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90 400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използваната земеделска площ</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21 Животински единици</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животински единици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1 149 470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22 Заети лица в стопанствата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постоянно наети лица в стопанствата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Лица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738 900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постоянно наети лица в стопанствата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Годишни работни единици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389 110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23 Възрастова структура на ръководителите на стопанствата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 брой на ръководителите на стопанствата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370 490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лицата на възраст &lt; 35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ръководители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съотношение на лицата на възраст &lt;35 / &gt;= 55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 млади ръководители на 100 възрастни ръководители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24 Квалификация на ръководителите на стопанствата в областта на селското стопанство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общия брой на ръководителите с основна квалификация в областта на селското стопанство и пълен курс на професионално селскостопанско обучение</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ръководителите &lt; 35 години с основна квалификация в областта на селското стопанство и пълен курс на професионално селскостопанско обучение</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25 Земеделски факторен доход</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3 522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(индекс)</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2005 г. = 100</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147,3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26 Земеделски предприемачески доход</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Жизнен стандарт на земеделските производители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3 090,6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Жизнен стандарт на земеделските производители като отношение спрямо жизнения стандарт на заетите лица в други сектори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78,6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27 Обща факторна производителност в селското стопанство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(индекс)</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2005 г. = 100</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106,6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2009 - 2011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28 Бруто образуване на основен капитал в селското стопанство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бруто образуване на основен капитал</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млн. евро</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178,28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брутната добавена стойност в селското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брутната добавена стойност в селското стопанство</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9,9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29 Гори и други залесени площи (000)</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хектара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3 927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дял от общата сухоземна площ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сухоземна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36,1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30 Туристическа инфраструктура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леглова база в обекти за колективно туристическо настаняване</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Леглова база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274 733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19,3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76,1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bl>
    <w:p>
      <w:pPr>
        <w:rPr>
          <w:b w:val="0"/>
          <w:i w:val="0"/>
        </w:rPr>
      </w:pPr>
      <w:r>
        <w:rPr>
          <w:b w:val="0"/>
          <w:i w:val="0"/>
        </w:rPr>
        <w:br w:type="page"/>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76"/>
        <w:gridCol w:w="1776"/>
        <w:gridCol w:w="1776"/>
        <w:gridCol w:w="1776"/>
        <w:gridCol w:w="1776"/>
        <w:gridCol w:w="177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2000" w:type="dxa"/>
            <w:gridSpan w:val="6"/>
            <w:shd w:val="clear" w:color="auto" w:fill="808080"/>
            <w:noWrap w:val="0"/>
            <w:tcMar>
              <w:top w:w="20" w:type="dxa"/>
              <w:bottom w:w="20" w:type="dxa"/>
            </w:tcMar>
            <w:vAlign w:val="center"/>
          </w:tcPr>
          <w:p>
            <w:pPr>
              <w:jc w:val="left"/>
              <w:rPr>
                <w:b/>
                <w:i w:val="0"/>
                <w:sz w:val="20"/>
              </w:rPr>
            </w:pPr>
            <w:r>
              <w:rPr>
                <w:b/>
                <w:i w:val="0"/>
                <w:sz w:val="20"/>
              </w:rPr>
              <w:t>III Околна среда/климат</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jc w:val="left"/>
              <w:rPr>
                <w:b w:val="0"/>
                <w:i w:val="0"/>
                <w:sz w:val="16"/>
              </w:rPr>
            </w:pPr>
            <w:r>
              <w:rPr>
                <w:b w:val="0"/>
                <w:i w:val="0"/>
                <w:sz w:val="16"/>
              </w:rPr>
              <w:t>31 Земна покривка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земеделската земя</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51,7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естествените пасища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дял на горската земя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31,4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земите в преход, заети с горски и храстови насаждения</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естествените земи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0,9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изкуствените земи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другите площи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0,9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32 Райони с природни ограничения</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27,6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планински региони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19,2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други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8,4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специфични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33 Интензивност на селското стопанство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ниска интензивност</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87,6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средна интензивност</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висока интензивност</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паша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30,1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34 Райони по „Натура 2000“</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територията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територията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34,3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използваната земеделска земя (в т.ч. естествени пасища)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използваната земеделска земя</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22,2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общата горска земя</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горската земя</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53,1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35 Индекс за птици, обитаващи обработваема земя</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(индекс)</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2000 г. = 100</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89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36 Природозащитен статус на земеделските местообитания (пасища)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благоприятен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48000" w:type="dxa"/>
            <w:gridSpan w:val="6"/>
            <w:shd w:val="clear" w:color="auto" w:fill="FFFFFF"/>
            <w:noWrap w:val="0"/>
            <w:tcMar>
              <w:top w:w="20" w:type="dxa"/>
              <w:bottom w:w="20" w:type="dxa"/>
            </w:tcMar>
            <w:vAlign w:val="center"/>
          </w:tcPr>
          <w:p>
            <w:pPr>
              <w:rPr>
                <w:b w:val="0"/>
                <w:i w:val="0"/>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неблагоприятен - незадоволителен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48000" w:type="dxa"/>
            <w:gridSpan w:val="6"/>
            <w:shd w:val="clear" w:color="auto" w:fill="FFFFFF"/>
            <w:noWrap w:val="0"/>
            <w:tcMar>
              <w:top w:w="20" w:type="dxa"/>
              <w:bottom w:w="20" w:type="dxa"/>
            </w:tcMar>
            <w:vAlign w:val="center"/>
          </w:tcPr>
          <w:p>
            <w:pPr>
              <w:rPr>
                <w:b w:val="0"/>
                <w:i w:val="0"/>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неблагоприятен - лош</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48000" w:type="dxa"/>
            <w:gridSpan w:val="6"/>
            <w:shd w:val="clear" w:color="auto" w:fill="FFFFFF"/>
            <w:noWrap w:val="0"/>
            <w:tcMar>
              <w:top w:w="20" w:type="dxa"/>
              <w:bottom w:w="20" w:type="dxa"/>
            </w:tcMar>
            <w:vAlign w:val="center"/>
          </w:tcPr>
          <w:p>
            <w:pPr>
              <w:rPr>
                <w:b w:val="0"/>
                <w:i w:val="0"/>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неизвестен</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48000" w:type="dxa"/>
            <w:gridSpan w:val="6"/>
            <w:shd w:val="clear" w:color="auto" w:fill="FFFFFF"/>
            <w:noWrap w:val="0"/>
            <w:tcMar>
              <w:top w:w="20" w:type="dxa"/>
              <w:bottom w:w="20" w:type="dxa"/>
            </w:tcMar>
            <w:vAlign w:val="center"/>
          </w:tcPr>
          <w:p>
            <w:pPr>
              <w:rPr>
                <w:b w:val="0"/>
                <w:i w:val="0"/>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jc w:val="left"/>
              <w:rPr>
                <w:b w:val="0"/>
                <w:i w:val="0"/>
                <w:sz w:val="16"/>
              </w:rPr>
            </w:pPr>
            <w:r>
              <w:rPr>
                <w:b w:val="0"/>
                <w:i w:val="0"/>
                <w:sz w:val="16"/>
              </w:rPr>
              <w:t>37 Селско стопанство с висока природна стойност</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32,4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38 Защитени гори</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клас 1.1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клас 1.2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клас 1.3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0,1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клас 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13,2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39 Водочерпене за земеделски цели</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m³</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355 609,8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40 Качество на водите</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Потенциален излишък на азот в земеделската земя</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kg азот/хектар/година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28,3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2005 - 2008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Потенциален излишък на фосфор в земеделската земя</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kg фосфор/хектар/година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2005 - 2008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Повърхностни води: Добро качество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78,3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Повърхностни води: Средно качество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18,5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Повърхностни води: Лошо качество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Подпочвени води: Добро качество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67,3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Подпочвени води: Средно качество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22,4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Подпочвени води: Лошо качество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10,3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41 Органични вещества в почвите на обработваемата земя</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Оценка на общото съдържание на органичен въглерод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мегатона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NA</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Средно съдържание на органичен въглерод</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g на kg</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NA</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42 Причинена от вода ерозия на почвата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степен на загуба на почва поради причинена от вода ерозия на почвата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тона/хектар/година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засегната земеделска площ</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хектара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2006 - 2007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засегната земеделска площ</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земеделската земя</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2006 - 2007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43 Производство на енергия от възобновяеми източници в селското и горското стопанство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от селско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26,5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от горско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942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44 Потребление на енергия в селското стопанство, горското стопанство и хранително-вкусовата промишленост</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селско и горско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207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използване на хектар (селско и горско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kg нефтен еквивалент за хектар използвана земеделска земя</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хранително-вкусова промишленост</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235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45 Емисии на парникови газове от селското стопанство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селско стопанство (CH4 и N2O и емисии/поглъщания в почвата)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тона CO2 еквивалент</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7 909,4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общите емисии на парникови газове</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общите нетни емисии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bl>
    <w:p>
      <w:pPr>
        <w:rPr>
          <w:b w:val="0"/>
          <w:i w:val="0"/>
        </w:rPr>
        <w:sectPr>
          <w:pgMar w:top="900" w:right="900" w:bottom="900" w:left="900" w:header="720" w:footer="720"/>
          <w:cols w:space="720"/>
        </w:sectPr>
      </w:pPr>
    </w:p>
    <w:p>
      <w:pPr>
        <w:pStyle w:val="Heading3"/>
        <w:jc w:val="left"/>
        <w:rPr>
          <w:b w:val="0"/>
          <w:i w:val="0"/>
        </w:rPr>
      </w:pPr>
      <w:bookmarkStart w:id="46" w:name="_Toc256000046"/>
      <w:r>
        <w:rPr>
          <w:b w:val="0"/>
          <w:i w:val="0"/>
        </w:rPr>
        <w:t>Специфични за програмата показатели за контекста</w:t>
      </w:r>
      <w:bookmarkEnd w:id="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776"/>
        <w:gridCol w:w="1776"/>
        <w:gridCol w:w="1776"/>
        <w:gridCol w:w="1776"/>
        <w:gridCol w:w="1776"/>
        <w:gridCol w:w="177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000" w:type="dxa"/>
            <w:shd w:val="clear" w:color="auto" w:fill="C0C0C0"/>
            <w:noWrap w:val="0"/>
            <w:tcMar>
              <w:top w:w="20" w:type="dxa"/>
              <w:bottom w:w="20" w:type="dxa"/>
            </w:tcMar>
            <w:vAlign w:val="center"/>
          </w:tcPr>
          <w:p>
            <w:pPr>
              <w:jc w:val="center"/>
              <w:rPr>
                <w:b w:val="0"/>
                <w:i w:val="0"/>
                <w:sz w:val="16"/>
              </w:rPr>
            </w:pPr>
            <w:r>
              <w:rPr>
                <w:b w:val="0"/>
                <w:i w:val="0"/>
                <w:sz w:val="16"/>
              </w:rPr>
              <w:t>Сектор</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Код</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rPr>
                <w:b w:val="0"/>
                <w:i w:val="0"/>
                <w:sz w:val="16"/>
              </w:rPr>
            </w:pPr>
            <w:r>
              <w:rPr>
                <w:b w:val="0"/>
                <w:i w:val="0"/>
                <w:sz w:val="16"/>
              </w:rPr>
              <w:t>Година</w:t>
            </w:r>
          </w:p>
        </w:tc>
      </w:tr>
    </w:tbl>
    <w:p>
      <w:pPr>
        <w:jc w:val="center"/>
        <w:rPr>
          <w:b w:val="0"/>
          <w:i w:val="0"/>
          <w:sz w:val="16"/>
        </w:rPr>
        <w:sectPr>
          <w:pgMar w:top="900" w:right="900" w:bottom="900" w:left="900" w:header="720" w:footer="720"/>
          <w:cols w:space="720"/>
        </w:sectPr>
      </w:pPr>
    </w:p>
    <w:p>
      <w:pPr>
        <w:pStyle w:val="Heading2"/>
      </w:pPr>
      <w:bookmarkStart w:id="47" w:name="_Toc256000047"/>
      <w:r>
        <w:t>Оценка на потребностите</w:t>
      </w:r>
      <w:bookmarkEnd w:id="4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620"/>
        <w:gridCol w:w="620"/>
        <w:gridCol w:w="620"/>
        <w:gridCol w:w="619"/>
        <w:gridCol w:w="621"/>
        <w:gridCol w:w="620"/>
        <w:gridCol w:w="618"/>
        <w:gridCol w:w="2"/>
        <w:gridCol w:w="620"/>
        <w:gridCol w:w="618"/>
        <w:gridCol w:w="2"/>
        <w:gridCol w:w="620"/>
        <w:gridCol w:w="620"/>
        <w:gridCol w:w="617"/>
        <w:gridCol w:w="3"/>
        <w:gridCol w:w="620"/>
        <w:gridCol w:w="620"/>
        <w:gridCol w:w="620"/>
        <w:gridCol w:w="620"/>
        <w:gridCol w:w="616"/>
        <w:gridCol w:w="4"/>
        <w:gridCol w:w="620"/>
        <w:gridCol w:w="620"/>
        <w:gridCol w:w="615"/>
        <w:gridCol w:w="5"/>
        <w:gridCol w:w="620"/>
        <w:gridCol w:w="620"/>
        <w:gridCol w:w="61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000" w:type="dxa"/>
            <w:vMerge w:val="restart"/>
            <w:shd w:val="clear" w:color="auto" w:fill="808080"/>
            <w:noWrap w:val="0"/>
            <w:tcMar>
              <w:top w:w="20" w:type="dxa"/>
              <w:bottom w:w="20" w:type="dxa"/>
            </w:tcMar>
            <w:vAlign w:val="center"/>
          </w:tcPr>
          <w:p>
            <w:pPr>
              <w:jc w:val="left"/>
              <w:rPr>
                <w:b/>
                <w:sz w:val="20"/>
              </w:rPr>
            </w:pPr>
            <w:r>
              <w:rPr>
                <w:b/>
                <w:sz w:val="20"/>
              </w:rPr>
              <w:t>Наименование (или референтен номер) на потребността</w:t>
            </w:r>
          </w:p>
        </w:tc>
        <w:tc>
          <w:tcPr>
            <w:tcW w:w="36000" w:type="dxa"/>
            <w:gridSpan w:val="3"/>
            <w:shd w:val="clear" w:color="auto" w:fill="808080"/>
            <w:noWrap w:val="0"/>
            <w:tcMar>
              <w:top w:w="20" w:type="dxa"/>
              <w:bottom w:w="20" w:type="dxa"/>
            </w:tcMar>
            <w:vAlign w:val="center"/>
          </w:tcPr>
          <w:p>
            <w:pPr>
              <w:jc w:val="center"/>
              <w:rPr>
                <w:b/>
                <w:sz w:val="20"/>
              </w:rPr>
            </w:pPr>
            <w:r>
              <w:rPr>
                <w:b/>
                <w:sz w:val="20"/>
              </w:rPr>
              <w:t>P1</w:t>
            </w:r>
          </w:p>
        </w:tc>
        <w:tc>
          <w:tcPr>
            <w:tcW w:w="36000" w:type="dxa"/>
            <w:gridSpan w:val="3"/>
            <w:shd w:val="clear" w:color="auto" w:fill="808080"/>
            <w:noWrap w:val="0"/>
            <w:tcMar>
              <w:top w:w="20" w:type="dxa"/>
              <w:bottom w:w="20" w:type="dxa"/>
            </w:tcMar>
            <w:vAlign w:val="center"/>
          </w:tcPr>
          <w:p>
            <w:pPr>
              <w:jc w:val="center"/>
              <w:rPr>
                <w:b/>
                <w:sz w:val="20"/>
              </w:rPr>
            </w:pPr>
            <w:r>
              <w:rPr>
                <w:b/>
                <w:sz w:val="20"/>
              </w:rPr>
              <w:t>P2</w:t>
            </w:r>
          </w:p>
        </w:tc>
        <w:tc>
          <w:tcPr>
            <w:tcW w:w="24000" w:type="dxa"/>
            <w:gridSpan w:val="3"/>
            <w:shd w:val="clear" w:color="auto" w:fill="808080"/>
            <w:noWrap w:val="0"/>
            <w:tcMar>
              <w:top w:w="20" w:type="dxa"/>
              <w:bottom w:w="20" w:type="dxa"/>
            </w:tcMar>
            <w:vAlign w:val="center"/>
          </w:tcPr>
          <w:p>
            <w:pPr>
              <w:jc w:val="center"/>
              <w:rPr>
                <w:b/>
                <w:sz w:val="20"/>
              </w:rPr>
            </w:pPr>
            <w:r>
              <w:rPr>
                <w:b/>
                <w:sz w:val="20"/>
              </w:rPr>
              <w:t>P3</w:t>
            </w:r>
          </w:p>
        </w:tc>
        <w:tc>
          <w:tcPr>
            <w:tcW w:w="36000" w:type="dxa"/>
            <w:gridSpan w:val="4"/>
            <w:shd w:val="clear" w:color="auto" w:fill="808080"/>
            <w:noWrap w:val="0"/>
            <w:tcMar>
              <w:top w:w="20" w:type="dxa"/>
              <w:bottom w:w="20" w:type="dxa"/>
            </w:tcMar>
            <w:vAlign w:val="center"/>
          </w:tcPr>
          <w:p>
            <w:pPr>
              <w:jc w:val="center"/>
              <w:rPr>
                <w:b/>
                <w:sz w:val="20"/>
              </w:rPr>
            </w:pPr>
            <w:r>
              <w:rPr>
                <w:b/>
                <w:sz w:val="20"/>
              </w:rPr>
              <w:t>P4</w:t>
            </w:r>
          </w:p>
        </w:tc>
        <w:tc>
          <w:tcPr>
            <w:tcW w:w="60000" w:type="dxa"/>
            <w:gridSpan w:val="6"/>
            <w:shd w:val="clear" w:color="auto" w:fill="808080"/>
            <w:noWrap w:val="0"/>
            <w:tcMar>
              <w:top w:w="20" w:type="dxa"/>
              <w:bottom w:w="20" w:type="dxa"/>
            </w:tcMar>
            <w:vAlign w:val="center"/>
          </w:tcPr>
          <w:p>
            <w:pPr>
              <w:jc w:val="center"/>
              <w:rPr>
                <w:b/>
                <w:sz w:val="20"/>
              </w:rPr>
            </w:pPr>
            <w:r>
              <w:rPr>
                <w:b/>
                <w:sz w:val="20"/>
              </w:rPr>
              <w:t>P5</w:t>
            </w:r>
          </w:p>
        </w:tc>
        <w:tc>
          <w:tcPr>
            <w:tcW w:w="36000" w:type="dxa"/>
            <w:gridSpan w:val="4"/>
            <w:shd w:val="clear" w:color="auto" w:fill="808080"/>
            <w:noWrap w:val="0"/>
            <w:tcMar>
              <w:top w:w="20" w:type="dxa"/>
              <w:bottom w:w="20" w:type="dxa"/>
            </w:tcMar>
            <w:vAlign w:val="center"/>
          </w:tcPr>
          <w:p>
            <w:pPr>
              <w:jc w:val="center"/>
              <w:rPr>
                <w:b/>
                <w:sz w:val="20"/>
              </w:rPr>
            </w:pPr>
            <w:r>
              <w:rPr>
                <w:b/>
                <w:sz w:val="20"/>
              </w:rPr>
              <w:t>P6</w:t>
            </w:r>
          </w:p>
        </w:tc>
        <w:tc>
          <w:tcPr>
            <w:tcW w:w="36000" w:type="dxa"/>
            <w:gridSpan w:val="4"/>
            <w:shd w:val="clear" w:color="auto" w:fill="808080"/>
            <w:noWrap w:val="0"/>
            <w:tcMar>
              <w:top w:w="20" w:type="dxa"/>
              <w:bottom w:w="20" w:type="dxa"/>
            </w:tcMar>
            <w:vAlign w:val="center"/>
          </w:tcPr>
          <w:p>
            <w:pPr>
              <w:jc w:val="center"/>
              <w:rPr>
                <w:b/>
                <w:sz w:val="20"/>
              </w:rPr>
            </w:pPr>
            <w:r>
              <w:rPr>
                <w:b/>
                <w:sz w:val="20"/>
              </w:rPr>
              <w:t>Междусекторни цели</w:t>
            </w:r>
          </w:p>
        </w:tc>
      </w:tr>
      <w:tr>
        <w:tblPrEx>
          <w:tblW w:w="5000" w:type="pct"/>
          <w:tblCellMar>
            <w:left w:w="108" w:type="dxa"/>
            <w:right w:w="108" w:type="dxa"/>
          </w:tblCellMar>
        </w:tblPrEx>
        <w:tc>
          <w:tcPr>
            <w:tcW w:w="12000" w:type="dxa"/>
            <w:vMerge/>
            <w:shd w:val="clear" w:color="auto" w:fill="808080"/>
            <w:noWrap w:val="0"/>
            <w:tcMar>
              <w:top w:w="20" w:type="dxa"/>
              <w:bottom w:w="20" w:type="dxa"/>
            </w:tcMar>
            <w:vAlign w:val="center"/>
          </w:tcPr>
          <w:p>
            <w:pPr>
              <w:jc w:val="center"/>
              <w:rPr>
                <w:b/>
                <w:sz w:val="20"/>
              </w:rPr>
            </w:pPr>
          </w:p>
        </w:tc>
        <w:tc>
          <w:tcPr>
            <w:tcW w:w="12000" w:type="dxa"/>
            <w:shd w:val="clear" w:color="auto" w:fill="C0C0C0"/>
            <w:noWrap w:val="0"/>
            <w:tcMar>
              <w:top w:w="20" w:type="dxa"/>
              <w:bottom w:w="20" w:type="dxa"/>
            </w:tcMar>
            <w:vAlign w:val="center"/>
          </w:tcPr>
          <w:p>
            <w:pPr>
              <w:jc w:val="center"/>
              <w:rPr>
                <w:b w:val="0"/>
                <w:sz w:val="16"/>
              </w:rPr>
            </w:pPr>
            <w:r>
              <w:rPr>
                <w:b w:val="0"/>
                <w:sz w:val="16"/>
              </w:rPr>
              <w:t>1A</w:t>
            </w:r>
          </w:p>
        </w:tc>
        <w:tc>
          <w:tcPr>
            <w:tcW w:w="12000" w:type="dxa"/>
            <w:shd w:val="clear" w:color="auto" w:fill="C0C0C0"/>
            <w:noWrap w:val="0"/>
            <w:tcMar>
              <w:top w:w="20" w:type="dxa"/>
              <w:bottom w:w="20" w:type="dxa"/>
            </w:tcMar>
            <w:vAlign w:val="center"/>
          </w:tcPr>
          <w:p>
            <w:pPr>
              <w:jc w:val="center"/>
              <w:rPr>
                <w:b w:val="0"/>
                <w:sz w:val="16"/>
              </w:rPr>
            </w:pPr>
            <w:r>
              <w:rPr>
                <w:b w:val="0"/>
                <w:sz w:val="16"/>
              </w:rPr>
              <w:t>1B</w:t>
            </w:r>
          </w:p>
        </w:tc>
        <w:tc>
          <w:tcPr>
            <w:tcW w:w="12000" w:type="dxa"/>
            <w:shd w:val="clear" w:color="auto" w:fill="C0C0C0"/>
            <w:noWrap w:val="0"/>
            <w:tcMar>
              <w:top w:w="20" w:type="dxa"/>
              <w:bottom w:w="20" w:type="dxa"/>
            </w:tcMar>
            <w:vAlign w:val="center"/>
          </w:tcPr>
          <w:p>
            <w:pPr>
              <w:jc w:val="center"/>
              <w:rPr>
                <w:b w:val="0"/>
                <w:sz w:val="16"/>
              </w:rPr>
            </w:pPr>
            <w:r>
              <w:rPr>
                <w:b w:val="0"/>
                <w:sz w:val="16"/>
              </w:rPr>
              <w:t>1C</w:t>
            </w:r>
          </w:p>
        </w:tc>
        <w:tc>
          <w:tcPr>
            <w:tcW w:w="12000" w:type="dxa"/>
            <w:shd w:val="clear" w:color="auto" w:fill="C0C0C0"/>
            <w:noWrap w:val="0"/>
            <w:tcMar>
              <w:top w:w="20" w:type="dxa"/>
              <w:bottom w:w="20" w:type="dxa"/>
            </w:tcMar>
            <w:vAlign w:val="center"/>
          </w:tcPr>
          <w:p>
            <w:pPr>
              <w:jc w:val="center"/>
              <w:rPr>
                <w:b w:val="0"/>
                <w:sz w:val="16"/>
              </w:rPr>
            </w:pPr>
            <w:r>
              <w:rPr>
                <w:b w:val="0"/>
                <w:sz w:val="16"/>
              </w:rPr>
              <w:t>2A</w:t>
            </w:r>
          </w:p>
        </w:tc>
        <w:tc>
          <w:tcPr>
            <w:tcW w:w="12000" w:type="dxa"/>
            <w:shd w:val="clear" w:color="auto" w:fill="C0C0C0"/>
            <w:noWrap w:val="0"/>
            <w:tcMar>
              <w:top w:w="20" w:type="dxa"/>
              <w:bottom w:w="20" w:type="dxa"/>
            </w:tcMar>
            <w:vAlign w:val="center"/>
          </w:tcPr>
          <w:p>
            <w:pPr>
              <w:jc w:val="center"/>
              <w:rPr>
                <w:b w:val="0"/>
                <w:sz w:val="16"/>
              </w:rPr>
            </w:pPr>
            <w:r>
              <w:rPr>
                <w:b w:val="0"/>
                <w:sz w:val="16"/>
              </w:rPr>
              <w:t>2B</w:t>
            </w:r>
          </w:p>
        </w:tc>
        <w:tc>
          <w:tcPr>
            <w:tcW w:w="12000" w:type="dxa"/>
            <w:gridSpan w:val="2"/>
            <w:shd w:val="clear" w:color="auto" w:fill="C0C0C0"/>
            <w:noWrap w:val="0"/>
            <w:tcMar>
              <w:top w:w="20" w:type="dxa"/>
              <w:bottom w:w="20" w:type="dxa"/>
            </w:tcMar>
            <w:vAlign w:val="center"/>
          </w:tcPr>
          <w:p>
            <w:pPr>
              <w:jc w:val="center"/>
              <w:rPr>
                <w:b w:val="0"/>
                <w:sz w:val="16"/>
              </w:rPr>
            </w:pPr>
            <w:r>
              <w:rPr>
                <w:b w:val="0"/>
                <w:sz w:val="16"/>
              </w:rPr>
              <w:t>2C+</w:t>
            </w:r>
          </w:p>
        </w:tc>
        <w:tc>
          <w:tcPr>
            <w:tcW w:w="12000" w:type="dxa"/>
            <w:shd w:val="clear" w:color="auto" w:fill="C0C0C0"/>
            <w:noWrap w:val="0"/>
            <w:tcMar>
              <w:top w:w="20" w:type="dxa"/>
              <w:bottom w:w="20" w:type="dxa"/>
            </w:tcMar>
            <w:vAlign w:val="center"/>
          </w:tcPr>
          <w:p>
            <w:pPr>
              <w:jc w:val="center"/>
              <w:rPr>
                <w:b w:val="0"/>
                <w:sz w:val="16"/>
              </w:rPr>
            </w:pPr>
            <w:r>
              <w:rPr>
                <w:b w:val="0"/>
                <w:sz w:val="16"/>
              </w:rPr>
              <w:t>3A</w:t>
            </w:r>
          </w:p>
        </w:tc>
        <w:tc>
          <w:tcPr>
            <w:tcW w:w="12000" w:type="dxa"/>
            <w:gridSpan w:val="2"/>
            <w:shd w:val="clear" w:color="auto" w:fill="C0C0C0"/>
            <w:noWrap w:val="0"/>
            <w:tcMar>
              <w:top w:w="20" w:type="dxa"/>
              <w:bottom w:w="20" w:type="dxa"/>
            </w:tcMar>
            <w:vAlign w:val="center"/>
          </w:tcPr>
          <w:p>
            <w:pPr>
              <w:jc w:val="center"/>
              <w:rPr>
                <w:b w:val="0"/>
                <w:sz w:val="16"/>
              </w:rPr>
            </w:pPr>
            <w:r>
              <w:rPr>
                <w:b w:val="0"/>
                <w:sz w:val="16"/>
              </w:rPr>
              <w:t>3B</w:t>
            </w:r>
          </w:p>
        </w:tc>
        <w:tc>
          <w:tcPr>
            <w:tcW w:w="12000" w:type="dxa"/>
            <w:shd w:val="clear" w:color="auto" w:fill="C0C0C0"/>
            <w:noWrap w:val="0"/>
            <w:tcMar>
              <w:top w:w="20" w:type="dxa"/>
              <w:bottom w:w="20" w:type="dxa"/>
            </w:tcMar>
            <w:vAlign w:val="center"/>
          </w:tcPr>
          <w:p>
            <w:pPr>
              <w:jc w:val="center"/>
              <w:rPr>
                <w:b w:val="0"/>
                <w:sz w:val="16"/>
              </w:rPr>
            </w:pPr>
            <w:r>
              <w:rPr>
                <w:b w:val="0"/>
                <w:sz w:val="16"/>
              </w:rPr>
              <w:t>4A</w:t>
            </w:r>
          </w:p>
        </w:tc>
        <w:tc>
          <w:tcPr>
            <w:tcW w:w="12000" w:type="dxa"/>
            <w:shd w:val="clear" w:color="auto" w:fill="C0C0C0"/>
            <w:noWrap w:val="0"/>
            <w:tcMar>
              <w:top w:w="20" w:type="dxa"/>
              <w:bottom w:w="20" w:type="dxa"/>
            </w:tcMar>
            <w:vAlign w:val="center"/>
          </w:tcPr>
          <w:p>
            <w:pPr>
              <w:jc w:val="center"/>
              <w:rPr>
                <w:b w:val="0"/>
                <w:sz w:val="16"/>
              </w:rPr>
            </w:pPr>
            <w:r>
              <w:rPr>
                <w:b w:val="0"/>
                <w:sz w:val="16"/>
              </w:rPr>
              <w:t>4B</w:t>
            </w:r>
          </w:p>
        </w:tc>
        <w:tc>
          <w:tcPr>
            <w:tcW w:w="12000" w:type="dxa"/>
            <w:gridSpan w:val="2"/>
            <w:shd w:val="clear" w:color="auto" w:fill="C0C0C0"/>
            <w:noWrap w:val="0"/>
            <w:tcMar>
              <w:top w:w="20" w:type="dxa"/>
              <w:bottom w:w="20" w:type="dxa"/>
            </w:tcMar>
            <w:vAlign w:val="center"/>
          </w:tcPr>
          <w:p>
            <w:pPr>
              <w:jc w:val="center"/>
              <w:rPr>
                <w:b w:val="0"/>
                <w:sz w:val="16"/>
              </w:rPr>
            </w:pPr>
            <w:r>
              <w:rPr>
                <w:b w:val="0"/>
                <w:sz w:val="16"/>
              </w:rPr>
              <w:t>4C</w:t>
            </w:r>
          </w:p>
        </w:tc>
        <w:tc>
          <w:tcPr>
            <w:tcW w:w="12000" w:type="dxa"/>
            <w:shd w:val="clear" w:color="auto" w:fill="C0C0C0"/>
            <w:noWrap w:val="0"/>
            <w:tcMar>
              <w:top w:w="20" w:type="dxa"/>
              <w:bottom w:w="20" w:type="dxa"/>
            </w:tcMar>
            <w:vAlign w:val="center"/>
          </w:tcPr>
          <w:p>
            <w:pPr>
              <w:jc w:val="center"/>
              <w:rPr>
                <w:b w:val="0"/>
                <w:sz w:val="16"/>
              </w:rPr>
            </w:pPr>
            <w:r>
              <w:rPr>
                <w:b w:val="0"/>
                <w:sz w:val="16"/>
              </w:rPr>
              <w:t>5A</w:t>
            </w:r>
          </w:p>
        </w:tc>
        <w:tc>
          <w:tcPr>
            <w:tcW w:w="12000" w:type="dxa"/>
            <w:shd w:val="clear" w:color="auto" w:fill="C0C0C0"/>
            <w:noWrap w:val="0"/>
            <w:tcMar>
              <w:top w:w="20" w:type="dxa"/>
              <w:bottom w:w="20" w:type="dxa"/>
            </w:tcMar>
            <w:vAlign w:val="center"/>
          </w:tcPr>
          <w:p>
            <w:pPr>
              <w:jc w:val="center"/>
              <w:rPr>
                <w:b w:val="0"/>
                <w:sz w:val="16"/>
              </w:rPr>
            </w:pPr>
            <w:r>
              <w:rPr>
                <w:b w:val="0"/>
                <w:sz w:val="16"/>
              </w:rPr>
              <w:t>5B</w:t>
            </w:r>
          </w:p>
        </w:tc>
        <w:tc>
          <w:tcPr>
            <w:tcW w:w="12000" w:type="dxa"/>
            <w:shd w:val="clear" w:color="auto" w:fill="C0C0C0"/>
            <w:noWrap w:val="0"/>
            <w:tcMar>
              <w:top w:w="20" w:type="dxa"/>
              <w:bottom w:w="20" w:type="dxa"/>
            </w:tcMar>
            <w:vAlign w:val="center"/>
          </w:tcPr>
          <w:p>
            <w:pPr>
              <w:jc w:val="center"/>
              <w:rPr>
                <w:b w:val="0"/>
                <w:sz w:val="16"/>
              </w:rPr>
            </w:pPr>
            <w:r>
              <w:rPr>
                <w:b w:val="0"/>
                <w:sz w:val="16"/>
              </w:rPr>
              <w:t>5C</w:t>
            </w:r>
          </w:p>
        </w:tc>
        <w:tc>
          <w:tcPr>
            <w:tcW w:w="12000" w:type="dxa"/>
            <w:shd w:val="clear" w:color="auto" w:fill="C0C0C0"/>
            <w:noWrap w:val="0"/>
            <w:tcMar>
              <w:top w:w="20" w:type="dxa"/>
              <w:bottom w:w="20" w:type="dxa"/>
            </w:tcMar>
            <w:vAlign w:val="center"/>
          </w:tcPr>
          <w:p>
            <w:pPr>
              <w:jc w:val="center"/>
              <w:rPr>
                <w:b w:val="0"/>
                <w:sz w:val="16"/>
              </w:rPr>
            </w:pPr>
            <w:r>
              <w:rPr>
                <w:b w:val="0"/>
                <w:sz w:val="16"/>
              </w:rPr>
              <w:t>5D</w:t>
            </w:r>
          </w:p>
        </w:tc>
        <w:tc>
          <w:tcPr>
            <w:tcW w:w="12000" w:type="dxa"/>
            <w:gridSpan w:val="2"/>
            <w:shd w:val="clear" w:color="auto" w:fill="C0C0C0"/>
            <w:noWrap w:val="0"/>
            <w:tcMar>
              <w:top w:w="20" w:type="dxa"/>
              <w:bottom w:w="20" w:type="dxa"/>
            </w:tcMar>
            <w:vAlign w:val="center"/>
          </w:tcPr>
          <w:p>
            <w:pPr>
              <w:jc w:val="center"/>
              <w:rPr>
                <w:b w:val="0"/>
                <w:sz w:val="16"/>
              </w:rPr>
            </w:pPr>
            <w:r>
              <w:rPr>
                <w:b w:val="0"/>
                <w:sz w:val="16"/>
              </w:rPr>
              <w:t>5E</w:t>
            </w:r>
          </w:p>
        </w:tc>
        <w:tc>
          <w:tcPr>
            <w:tcW w:w="12000" w:type="dxa"/>
            <w:shd w:val="clear" w:color="auto" w:fill="C0C0C0"/>
            <w:noWrap w:val="0"/>
            <w:tcMar>
              <w:top w:w="20" w:type="dxa"/>
              <w:bottom w:w="20" w:type="dxa"/>
            </w:tcMar>
            <w:vAlign w:val="center"/>
          </w:tcPr>
          <w:p>
            <w:pPr>
              <w:jc w:val="center"/>
              <w:rPr>
                <w:b w:val="0"/>
                <w:sz w:val="16"/>
              </w:rPr>
            </w:pPr>
            <w:r>
              <w:rPr>
                <w:b w:val="0"/>
                <w:sz w:val="16"/>
              </w:rPr>
              <w:t>6A</w:t>
            </w:r>
          </w:p>
        </w:tc>
        <w:tc>
          <w:tcPr>
            <w:tcW w:w="12000" w:type="dxa"/>
            <w:shd w:val="clear" w:color="auto" w:fill="C0C0C0"/>
            <w:noWrap w:val="0"/>
            <w:tcMar>
              <w:top w:w="20" w:type="dxa"/>
              <w:bottom w:w="20" w:type="dxa"/>
            </w:tcMar>
            <w:vAlign w:val="center"/>
          </w:tcPr>
          <w:p>
            <w:pPr>
              <w:jc w:val="center"/>
              <w:rPr>
                <w:b w:val="0"/>
                <w:sz w:val="16"/>
              </w:rPr>
            </w:pPr>
            <w:r>
              <w:rPr>
                <w:b w:val="0"/>
                <w:sz w:val="16"/>
              </w:rPr>
              <w:t>6B</w:t>
            </w:r>
          </w:p>
        </w:tc>
        <w:tc>
          <w:tcPr>
            <w:tcW w:w="12000" w:type="dxa"/>
            <w:gridSpan w:val="2"/>
            <w:shd w:val="clear" w:color="auto" w:fill="C0C0C0"/>
            <w:noWrap w:val="0"/>
            <w:tcMar>
              <w:top w:w="20" w:type="dxa"/>
              <w:bottom w:w="20" w:type="dxa"/>
            </w:tcMar>
            <w:vAlign w:val="center"/>
          </w:tcPr>
          <w:p>
            <w:pPr>
              <w:jc w:val="center"/>
              <w:rPr>
                <w:b w:val="0"/>
                <w:sz w:val="16"/>
              </w:rPr>
            </w:pPr>
            <w:r>
              <w:rPr>
                <w:b w:val="0"/>
                <w:sz w:val="16"/>
              </w:rPr>
              <w:t>6C</w:t>
            </w:r>
          </w:p>
        </w:tc>
        <w:tc>
          <w:tcPr>
            <w:tcW w:w="12000" w:type="dxa"/>
            <w:shd w:val="clear" w:color="auto" w:fill="C0C0C0"/>
            <w:noWrap w:val="0"/>
            <w:tcMar>
              <w:top w:w="20" w:type="dxa"/>
              <w:bottom w:w="20" w:type="dxa"/>
            </w:tcMar>
            <w:vAlign w:val="center"/>
          </w:tcPr>
          <w:p>
            <w:pPr>
              <w:jc w:val="center"/>
              <w:rPr>
                <w:b w:val="0"/>
                <w:sz w:val="16"/>
              </w:rPr>
            </w:pPr>
            <w:r>
              <w:rPr>
                <w:b w:val="0"/>
                <w:sz w:val="16"/>
              </w:rPr>
              <w:t>Околна среда</w:t>
            </w:r>
          </w:p>
        </w:tc>
        <w:tc>
          <w:tcPr>
            <w:tcW w:w="12000" w:type="dxa"/>
            <w:shd w:val="clear" w:color="auto" w:fill="C0C0C0"/>
            <w:noWrap w:val="0"/>
            <w:tcMar>
              <w:top w:w="20" w:type="dxa"/>
              <w:bottom w:w="20" w:type="dxa"/>
            </w:tcMar>
            <w:vAlign w:val="center"/>
          </w:tcPr>
          <w:p>
            <w:pPr>
              <w:jc w:val="center"/>
              <w:rPr>
                <w:b w:val="0"/>
                <w:sz w:val="16"/>
              </w:rPr>
            </w:pPr>
            <w:r>
              <w:rPr>
                <w:b w:val="0"/>
                <w:sz w:val="16"/>
              </w:rPr>
              <w:t>Смекчаване на последиците от изменението на климата и приспособяване към тях</w:t>
            </w:r>
          </w:p>
        </w:tc>
        <w:tc>
          <w:tcPr>
            <w:tcW w:w="12000" w:type="dxa"/>
            <w:shd w:val="clear" w:color="auto" w:fill="C0C0C0"/>
            <w:noWrap w:val="0"/>
            <w:tcMar>
              <w:top w:w="20" w:type="dxa"/>
              <w:bottom w:w="20" w:type="dxa"/>
            </w:tcMar>
            <w:vAlign w:val="center"/>
          </w:tcPr>
          <w:p>
            <w:pPr>
              <w:jc w:val="center"/>
              <w:rPr>
                <w:b w:val="0"/>
                <w:sz w:val="16"/>
              </w:rPr>
            </w:pPr>
            <w:r>
              <w:rPr>
                <w:b w:val="0"/>
                <w:sz w:val="16"/>
              </w:rPr>
              <w:t>Иновации</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1A-1: Повишаване на осведомеността</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1A-2: Повишаване на капацитета за предоставяне на съветнически услуги</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1Б-1: Подобряване на организацията за трансфер на знания и иновации</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1Б-2: Подобряване на капацитета на участниците в организацията за трансфер на знания и иновации</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1В-1: Повишаване квалификацията и управленските умения</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2А-1: Повишаване на конкурентоспособността на стопанства в секторите мляко, месо, плодове и зеленчуци и етерично-маслени и лекар</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2А-2: Повишаване на жизнеспособността и устойчивостта на малките земеделски стопанства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2А-3: Подобряване на достъпа до външни финансови средства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2А-4: Ускоряване на модернизацията и технологичното обновление на земеделските стопанства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2А-5 Ускоряване на процеса на комасация на земята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2Б-1 Увеличаване на броя и развитие на стопанствата на млади земеделски стопани с подходяща квалификация</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2В-1 Подобряване на икономическите резултати на фирмите в горското стопанство, дърводобива и първичната преработка на дървесина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3А-1 Подобряване на вертикалното и хоризонталното сътрудничество между земеделските производители, преработватели и търговци</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3А-2 Ускоряване на иновациите, подобряване на енергийната ефективност и технологичното обновление в хранителната промишленост</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3А-3: Подобряване условията на отглеждане на животните и повишаване качеството на произвежданите животински продукти</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3А-4 Скъсяване веригите на доставки, насърчаване на местните пазари и подобряване на маркетинга на земеделски продукти</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3Б-1: Подобряване на управлението на риска в земеделските стопанства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4A-1: Съхранение на дела на полу-естествените тревни местообитания с висока природна стойност</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4A-2: Съхранение и възстановяване на ценните местообитания и видове в местата по Натура 2000</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4А-3: Съхранение на дела на горите с висока консервационна стойност</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4А-4: Опазване на застрашените от изчезване редки породи животни  и традиционни, застрашени от изчезване сортове растения</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4А-5: Подпомагане на земеделието в райони с природни ограничения</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4А-6: Въвеждане на системи за превенция на пожарите в горите</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4Б-1: Предотвратяване и намаляване на замърсяването от селското стопанство</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4Б-2:Увеличаване на дела на биологичното производство</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4В-1: Съхранение и увеличаване на почвеното плодородие</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5А-1: Възстановяване и реконструкция на хидромелиоративната инфраструктура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5Б-1: Повишаване на енергийната ефективност</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5В-1: Изграждане на нови и реконструкция на съществуващи мощности за преработка на отпадъци остатъци и други суровини в био енер</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5В-2: Увеличаване на площите с бързорастящи храсти и дървесни видове за производство на биоенергия</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5В-3: Възползване от принципите на биоикономиката за повишаване на ресурсната ефективност и добавената стойност</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5Г-1: Принос към Третия национален план за действие по изменение на климата за намаляване на емисиите от земеделски източници</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5Д-1: Увеличаване лесистостта и възстановяване на горския потенциал</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6А-1: Повишаване на инвестициите в неземеделските сектори на селските райони</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6А-2: Развитие на предприемачеството в селските райони</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6Б-1: Подобряване на социалната инфраструктура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6Б-2: Подобряване на техническата инфраструктура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6Б-3: Подобряване на туристическата инфраструктурата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6Б-4: Развитие на местния капацитет за устойчиво развитие</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6В-1 Осигуряване на достъп до фиксирана широколентова мрежа в селските територии без покритие</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r>
    </w:tbl>
    <w:p>
      <w:pPr>
        <w:sectPr>
          <w:pgSz w:w="15840" w:h="12240" w:orient="landscape"/>
          <w:pgMar w:top="900" w:right="900" w:bottom="900" w:left="900" w:header="720" w:footer="720"/>
          <w:cols w:space="720"/>
        </w:sectPr>
      </w:pPr>
    </w:p>
    <w:p>
      <w:pPr>
        <w:pStyle w:val="Heading3"/>
        <w:jc w:val="left"/>
        <w:rPr>
          <w:b w:val="0"/>
        </w:rPr>
      </w:pPr>
      <w:bookmarkStart w:id="48" w:name="_Toc256000048"/>
      <w:r>
        <w:rPr>
          <w:b w:val="0"/>
        </w:rPr>
        <w:t>1A-1: Повишаване на осведомеността</w:t>
      </w:r>
      <w:bookmarkEnd w:id="4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FFFFFF"/>
            <w:noWrap w:val="0"/>
            <w:tcMar>
              <w:top w:w="20" w:type="dxa"/>
              <w:bottom w:w="20" w:type="dxa"/>
            </w:tcMar>
            <w:vAlign w:val="bottom"/>
          </w:tcPr>
          <w:p>
            <w:pPr>
              <w:numPr>
                <w:numId w:val="25"/>
              </w:numPr>
              <w:rPr>
                <w:b w:val="0"/>
              </w:rPr>
            </w:pPr>
            <w:r>
              <w:rPr>
                <w:b w:val="0"/>
              </w:rPr>
              <w:t>1А) Стимулиране на иновациите, сътрудничеството и развитието на базата от знания в селските райони</w:t>
            </w:r>
          </w:p>
          <w:p>
            <w:pPr>
              <w:numPr>
                <w:numId w:val="25"/>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numPr>
                <w:numId w:val="25"/>
              </w:numPr>
              <w:rPr>
                <w:b w:val="0"/>
              </w:rPr>
            </w:pPr>
            <w:r>
              <w:rPr>
                <w:b w:val="0"/>
              </w:rPr>
              <w:t>1В) поощряване на ученето през целия живот и професионалното обучение в секторите на селското и горското стопанство</w:t>
            </w:r>
          </w:p>
          <w:p>
            <w:pPr>
              <w:numPr>
                <w:numId w:val="25"/>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25"/>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25"/>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25"/>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25"/>
              </w:numPr>
              <w:rPr>
                <w:b w:val="0"/>
              </w:rPr>
            </w:pPr>
            <w:r>
              <w:rPr>
                <w:b w:val="0"/>
              </w:rPr>
              <w:t>4В) Предотвратяване на ерозията на почвите и подобряване на управлението им</w:t>
            </w:r>
          </w:p>
          <w:p>
            <w:pPr>
              <w:numPr>
                <w:numId w:val="25"/>
              </w:numPr>
              <w:rPr>
                <w:b w:val="0"/>
              </w:rPr>
            </w:pPr>
            <w:r>
              <w:rPr>
                <w:b w:val="0"/>
              </w:rPr>
              <w:t xml:space="preserve">5А) Повишаване на ефективността при потреблението на вода в селското стопанство </w:t>
            </w:r>
          </w:p>
          <w:p>
            <w:pPr>
              <w:numPr>
                <w:numId w:val="25"/>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25"/>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25"/>
              </w:numPr>
              <w:rPr>
                <w:b w:val="0"/>
              </w:rPr>
            </w:pPr>
            <w:r>
              <w:rPr>
                <w:b w:val="0"/>
              </w:rPr>
              <w:t>5Г) Намаляване на емисиите на парникови газове и амоняк от селското стопанство</w:t>
            </w:r>
          </w:p>
          <w:p>
            <w:pPr>
              <w:numPr>
                <w:numId w:val="25"/>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25"/>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FFFFFF"/>
            <w:noWrap w:val="0"/>
            <w:tcMar>
              <w:top w:w="20" w:type="dxa"/>
              <w:bottom w:w="20" w:type="dxa"/>
            </w:tcMar>
            <w:vAlign w:val="bottom"/>
          </w:tcPr>
          <w:p>
            <w:pPr>
              <w:numPr>
                <w:numId w:val="26"/>
              </w:numPr>
              <w:rPr>
                <w:b w:val="0"/>
              </w:rPr>
            </w:pPr>
            <w:r>
              <w:rPr>
                <w:b w:val="0"/>
              </w:rPr>
              <w:t>Околна среда</w:t>
            </w:r>
          </w:p>
          <w:p>
            <w:pPr>
              <w:numPr>
                <w:numId w:val="26"/>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насърчаване на иновациите е необходимо производителите и другите заинтересовани лица да са информирани за иновациите в продуктите, процесите и технологиите и техните предимства.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групи заинтересовани лица трябва да познават структурата за НИРД в България, и да са наясно със сферите на иновационна дейност на конкретните научно-развойни звена, с механизмите и процедурите за възлагане на конкретни поръчки за организационни и технически решения на конкретни проблеми и предизвикателства.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Специално в областта на земеделието е необходимо да се повиши информираността на стопаните относно всички приоритетни области на Приоритет 4 и Приоритет 5, включително, относно ценностите на биоразнообразието и стъпките, които могат да предприемат за неговото опазване и устойчиво използване (ПО 4А), за устойчивото управление на земите в речните басейни (ПО 4Б), за икономическите и екологични възможности и ползи от техники за ефективно използване на ресурсите (ПО 5Б), както и относно конкретните иновации допринасящи за намаляване приноса и адаптиране на стопанствата към промените в климата (ПО 5Г).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оживяването на икономиката на селските райони е необходимо стимулиране на предприемачеството, а това изисква добрата информираност относно възможностите на зелената икономика и ИКТ-базираните бизнес решения (Тази потребност се адресира от ОПРЧР).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9" w:name="_Toc256000049"/>
      <w:r>
        <w:rPr>
          <w:b w:val="0"/>
        </w:rPr>
        <w:t>1A-2: Повишаване на капацитета за предоставяне на съветнически услуги</w:t>
      </w:r>
      <w:bookmarkEnd w:id="4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27"/>
              </w:numPr>
              <w:rPr>
                <w:b w:val="0"/>
              </w:rPr>
            </w:pPr>
            <w:r>
              <w:rPr>
                <w:b w:val="0"/>
              </w:rPr>
              <w:t>1А) Стимулиране на иновациите, сътрудничеството и развитието на базата от знания в селските райони</w:t>
            </w:r>
          </w:p>
          <w:p>
            <w:pPr>
              <w:numPr>
                <w:numId w:val="27"/>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27"/>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27"/>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27"/>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27"/>
              </w:numPr>
              <w:rPr>
                <w:b w:val="0"/>
              </w:rPr>
            </w:pPr>
            <w:r>
              <w:rPr>
                <w:b w:val="0"/>
              </w:rPr>
              <w:t xml:space="preserve">4Б) Подобряване управлението на водите, включително управлението на торовете и пестицидите </w:t>
            </w:r>
          </w:p>
          <w:p>
            <w:pPr>
              <w:numPr>
                <w:numId w:val="27"/>
              </w:numPr>
              <w:rPr>
                <w:b w:val="0"/>
              </w:rPr>
            </w:pPr>
            <w:r>
              <w:rPr>
                <w:b w:val="0"/>
              </w:rPr>
              <w:t>4В) Предотвратяване на ерозията на почвите и подобряване на управлението им</w:t>
            </w:r>
          </w:p>
          <w:p>
            <w:pPr>
              <w:numPr>
                <w:numId w:val="27"/>
              </w:numPr>
              <w:rPr>
                <w:b w:val="0"/>
              </w:rPr>
            </w:pPr>
            <w:r>
              <w:rPr>
                <w:b w:val="0"/>
              </w:rPr>
              <w:t xml:space="preserve">5А) Повишаване на ефективността при потреблението на вода в селското стопанство </w:t>
            </w:r>
          </w:p>
          <w:p>
            <w:pPr>
              <w:numPr>
                <w:numId w:val="27"/>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27"/>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27"/>
              </w:numPr>
              <w:rPr>
                <w:b w:val="0"/>
              </w:rPr>
            </w:pPr>
            <w:r>
              <w:rPr>
                <w:b w:val="0"/>
              </w:rPr>
              <w:t>5Г) Намаляване на емисиите на парникови газове и амоняк от селското стопанство</w:t>
            </w:r>
          </w:p>
          <w:p>
            <w:pPr>
              <w:numPr>
                <w:numId w:val="27"/>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27"/>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28"/>
              </w:numPr>
              <w:rPr>
                <w:b w:val="0"/>
              </w:rPr>
            </w:pPr>
            <w:r>
              <w:rPr>
                <w:b w:val="0"/>
              </w:rPr>
              <w:t>Околна среда</w:t>
            </w:r>
          </w:p>
          <w:p>
            <w:pPr>
              <w:numPr>
                <w:numId w:val="28"/>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 служба за съвети в земеделието покрива територията на цялата страна, но наличния капацитет на службата не позволява да бъдат обхванати всички земеделски стопани (към момента НССЗ покрива около 20 000 земеделски производители) особено тези разположени в райони, които са по-отдалечените от областния град или са планински и полупланински райони. Голяма част от тях са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това, тъй като въпросите с околната среда и климатичните промени постоянно се актуализират и възникват новости, това налага и постоянно повишаване на капацитета на всички консултантски организации по този въпрос.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Всичко това изисква разширяване на капацитета, както на НССЗ чрез създаване на мобилни общински офиси, така и на останалите съветнически организации участващи в Системата за съвети в земеделието. Необходимо е и провеждане на обучения в областта на околната среда и климата на лицата предоставящи съветнически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0" w:name="_Toc256000050"/>
      <w:r>
        <w:rPr>
          <w:b w:val="0"/>
        </w:rPr>
        <w:t>1Б-1: Подобряване на организацията за трансфер на знания и иновации</w:t>
      </w:r>
      <w:bookmarkEnd w:id="5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29"/>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numPr>
                <w:numId w:val="29"/>
              </w:numPr>
              <w:rPr>
                <w:b w:val="0"/>
              </w:rPr>
            </w:pPr>
            <w:r>
              <w:rPr>
                <w:b w:val="0"/>
              </w:rPr>
              <w:t>1В) поощряване на ученето през целия живот и професионалното обучение в секторите на селското и горското стопанство</w:t>
            </w:r>
          </w:p>
          <w:p>
            <w:pPr>
              <w:numPr>
                <w:numId w:val="29"/>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29"/>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29"/>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29"/>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29"/>
              </w:numPr>
              <w:rPr>
                <w:b w:val="0"/>
              </w:rPr>
            </w:pPr>
            <w:r>
              <w:rPr>
                <w:b w:val="0"/>
              </w:rPr>
              <w:t xml:space="preserve">4Б) Подобряване управлението на водите, включително управлението на торовете и пестицидите </w:t>
            </w:r>
          </w:p>
          <w:p>
            <w:pPr>
              <w:numPr>
                <w:numId w:val="29"/>
              </w:numPr>
              <w:rPr>
                <w:b w:val="0"/>
              </w:rPr>
            </w:pPr>
            <w:r>
              <w:rPr>
                <w:b w:val="0"/>
              </w:rPr>
              <w:t>4В) Предотвратяване на ерозията на почвите и подобряване на управлението им</w:t>
            </w:r>
          </w:p>
          <w:p>
            <w:pPr>
              <w:numPr>
                <w:numId w:val="29"/>
              </w:numPr>
              <w:rPr>
                <w:b w:val="0"/>
              </w:rPr>
            </w:pPr>
            <w:r>
              <w:rPr>
                <w:b w:val="0"/>
              </w:rPr>
              <w:t xml:space="preserve">5А) Повишаване на ефективността при потреблението на вода в селското стопанство </w:t>
            </w:r>
          </w:p>
          <w:p>
            <w:pPr>
              <w:numPr>
                <w:numId w:val="29"/>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29"/>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29"/>
              </w:numPr>
              <w:rPr>
                <w:b w:val="0"/>
              </w:rPr>
            </w:pPr>
            <w:r>
              <w:rPr>
                <w:b w:val="0"/>
              </w:rPr>
              <w:t>5Г) Намаляване на емисиите на парникови газове и амоняк от селското стопанство</w:t>
            </w:r>
          </w:p>
          <w:p>
            <w:pPr>
              <w:numPr>
                <w:numId w:val="29"/>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29"/>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0"/>
              </w:numPr>
              <w:rPr>
                <w:b w:val="0"/>
              </w:rPr>
            </w:pPr>
            <w:r>
              <w:rPr>
                <w:b w:val="0"/>
              </w:rPr>
              <w:t>Околна среда</w:t>
            </w:r>
          </w:p>
          <w:p>
            <w:pPr>
              <w:numPr>
                <w:numId w:val="30"/>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насърчаване на иновациите е необходимо е да се осигури взаимодействие между организациите работещи в създаването или трансфера на иновации, и крайните потребители на информацията – земеделски и горски стопани, преработватели, МИГ, браншови организации, местни власти и др. Необходимо е да се подсигури механизъм за поръчване на конкретни решения на местни проблеми, включително такива свързани с постигане целите на ОСР и ОСП на ниво стопанство. За целите на международния обмен на информация, знания и конкретни технически решения е необходимо създаване на организация за участие в ЕПИ, включително чрез създаването и регламентиране дейността на оперативни групи, включващи земеделски и горски стопани, преработватели, МИГ, браншови организации, организации осъществяващи научно-развойна дейност в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1" w:name="_Toc256000051"/>
      <w:r>
        <w:rPr>
          <w:b w:val="0"/>
        </w:rPr>
        <w:t>1Б-2: Подобряване на капацитета на участниците в организацията за трансфер на знания и иновации</w:t>
      </w:r>
      <w:bookmarkEnd w:id="5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1"/>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Необходимо е подобряване на техническото обезпечаване дейността на научно-развойните звена участващи в оперативните групи (Тази потребност се адресира от ОПНОИР).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2" w:name="_Toc256000052"/>
      <w:r>
        <w:rPr>
          <w:b w:val="0"/>
        </w:rPr>
        <w:t>1В-1: Повишаване квалификацията и управленските умения</w:t>
      </w:r>
      <w:bookmarkEnd w:id="5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2"/>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numPr>
                <w:numId w:val="32"/>
              </w:numPr>
              <w:rPr>
                <w:b w:val="0"/>
              </w:rPr>
            </w:pPr>
            <w:r>
              <w:rPr>
                <w:b w:val="0"/>
              </w:rPr>
              <w:t>1В) поощряване на ученето през целия живот и професионалното обучение в секторите на селското и горското стопанство</w:t>
            </w:r>
          </w:p>
          <w:p>
            <w:pPr>
              <w:numPr>
                <w:numId w:val="32"/>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2"/>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2"/>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2"/>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32"/>
              </w:numPr>
              <w:rPr>
                <w:b w:val="0"/>
              </w:rPr>
            </w:pPr>
            <w:r>
              <w:rPr>
                <w:b w:val="0"/>
              </w:rPr>
              <w:t xml:space="preserve">4Б) Подобряване управлението на водите, включително управлението на торовете и пестицидите </w:t>
            </w:r>
          </w:p>
          <w:p>
            <w:pPr>
              <w:numPr>
                <w:numId w:val="32"/>
              </w:numPr>
              <w:rPr>
                <w:b w:val="0"/>
              </w:rPr>
            </w:pPr>
            <w:r>
              <w:rPr>
                <w:b w:val="0"/>
              </w:rPr>
              <w:t>4В) Предотвратяване на ерозията на почвите и подобряване на управлението им</w:t>
            </w:r>
          </w:p>
          <w:p>
            <w:pPr>
              <w:numPr>
                <w:numId w:val="32"/>
              </w:numPr>
              <w:rPr>
                <w:b w:val="0"/>
              </w:rPr>
            </w:pPr>
            <w:r>
              <w:rPr>
                <w:b w:val="0"/>
              </w:rPr>
              <w:t xml:space="preserve">5А) Повишаване на ефективността при потреблението на вода в селското стопанство </w:t>
            </w:r>
          </w:p>
          <w:p>
            <w:pPr>
              <w:numPr>
                <w:numId w:val="32"/>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32"/>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32"/>
              </w:numPr>
              <w:rPr>
                <w:b w:val="0"/>
              </w:rPr>
            </w:pPr>
            <w:r>
              <w:rPr>
                <w:b w:val="0"/>
              </w:rPr>
              <w:t>5Г) Намаляване на емисиите на парникови газове и амоняк от селското стопанство</w:t>
            </w:r>
          </w:p>
          <w:p>
            <w:pPr>
              <w:numPr>
                <w:numId w:val="32"/>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3"/>
              </w:numPr>
              <w:rPr>
                <w:b w:val="0"/>
              </w:rPr>
            </w:pPr>
            <w:r>
              <w:rPr>
                <w:b w:val="0"/>
              </w:rPr>
              <w:t>Околна среда</w:t>
            </w:r>
          </w:p>
          <w:p>
            <w:pPr>
              <w:numPr>
                <w:numId w:val="33"/>
              </w:numPr>
              <w:rPr>
                <w:b w:val="0"/>
              </w:rPr>
            </w:pPr>
            <w:r>
              <w:rPr>
                <w:b w:val="0"/>
              </w:rPr>
              <w:t>Смекчаване на последиците от изменението на климата и приспособяване към тях</w:t>
            </w:r>
          </w:p>
          <w:p>
            <w:pPr>
              <w:numPr>
                <w:numId w:val="33"/>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успешното икономическо представяне на земеделските и горските стопанства е необходимо управителите им да са наясно с модерните технологии в съответните производства, както и с изисквания на европейското и национално законодателство в стопанската им дейност. Тези знания са ключова предпоставка за успешните интервенции в рамките на ПО 2А, ПО 2Б.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Необходими са и по-добри знания и умения за скъсяване на веригата на доставки до крайните им клиенти (ПО 3А), включително чрез участието им в групи и организации на производителите, както и за по-умело управление на финансовите потоци на стопанствата, включително чрез участието им в схеми за управлението на риска (ПО 3Б).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земеделските стопани са необходими и практически умения относно устойчивото стопанисване на земеделски земи в съответствие с потребностите на всички приоритетни области на Приоритет 4 и Приоритет 5, включително за устойчивото управление на земите в речните басейни (ПО 4Б), за икономическите и екологични възможности и ползи от техники за ефективно използване на ресурсите (ПО 5Б), както и относно конкретните иновации допринасящи за намаляване приноса и адаптиране на стопанствата към промените в климата (ПО 5Г).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Стопаните на гори също трябва да притежават необходимия минимум от знания и умения за адресиране на потребностите по Приоритет 5 на ПРСР, особено на потребностите на ПО 5В (принос на ВЕИ за биоикономиката) и ПО 5Д (поглъщането на СО2).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Потребности има и за повишаване на знанията и управленските умения в хранителната промишленост, а също и на предприемачите и заетите в неземеделски дейности в селската икономика (Тези потребности се адресират от ОПРЧР).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3" w:name="_Toc256000053"/>
      <w:r>
        <w:rPr>
          <w:b w:val="0"/>
        </w:rPr>
        <w:t>2А-1: Повишаване на конкурентоспособността на стопанства в секторите мляко, месо, плодове и зеленчуци и етерично-маслени и лекар</w:t>
      </w:r>
      <w:bookmarkEnd w:id="5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4"/>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4"/>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4"/>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4"/>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5"/>
              </w:numPr>
              <w:rPr>
                <w:b w:val="0"/>
              </w:rPr>
            </w:pPr>
            <w:r>
              <w:rPr>
                <w:b w:val="0"/>
              </w:rPr>
              <w:t>Околна среда</w:t>
            </w:r>
          </w:p>
          <w:p>
            <w:pPr>
              <w:numPr>
                <w:numId w:val="35"/>
              </w:numPr>
              <w:rPr>
                <w:b w:val="0"/>
              </w:rPr>
            </w:pPr>
            <w:r>
              <w:rPr>
                <w:b w:val="0"/>
              </w:rPr>
              <w:t>Смекчаване на последиците от изменението на климата и приспособяване към тях</w:t>
            </w:r>
          </w:p>
          <w:p>
            <w:pPr>
              <w:numPr>
                <w:numId w:val="35"/>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секторите месо, мляко, плодове и зеленчуци, въпреки благоприятния агроекологичен потенциал и традиции, производството расте бавно или спада поради проблеми в производствените структури, забавена модернизация и ниска хоризонтална и вертикална интеграция и влошено състояние или неразвита на публична инфраструктурата – включително хидромелиоративна инфраструктура, която ги обслужва. Секторите са изправени пред различни предизвикателства, свързани с климатичните промени /напр. недостиг на подпочвени води, наводнения/, промени на европейската политика (мляко) и увеличена конкуренция на вътрешния и международните пазари. Развитието на тези първични сектори е важно и за конкурентоспособността на вертикално свързаните сектори, а и за запазването на работните места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4" w:name="_Toc256000054"/>
      <w:r>
        <w:rPr>
          <w:b w:val="0"/>
        </w:rPr>
        <w:t>2А-2: Повишаване на жизнеспособността и устойчивостта на малките земеделски стопанства</w:t>
      </w:r>
      <w:bookmarkEnd w:id="5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6"/>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6"/>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6"/>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36"/>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36"/>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7"/>
              </w:numPr>
              <w:rPr>
                <w:b w:val="0"/>
              </w:rPr>
            </w:pPr>
            <w:r>
              <w:rPr>
                <w:b w:val="0"/>
              </w:rPr>
              <w:t>Околна среда</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Малките земеделски стопанства имат ниска производителност и високи разходи поради неефективен размер, неподходяща специализация и/или недостиг или остарял физически капитал и технологии, а също и знания и умения. Те имат също неразвити пазари и слаби пазарни позиции. Това води до на значително намаляване на броя на малките стопанства, заетостта и използваната от тях земеделска площ. Преструктурирането и развитието на малките стопанства е забавено, поради техните ограничени ресурси. Те имат потенциал за развитие, ако се адресират проблемите, които ограничават тяхното развитие и се възползват от благоприятните възможности, идентифицирани в  SWOT анализа за развитието на пазарите за качествени и местни храни, туристически услуги и отдих. Развитието на устойчиви и жизнеспособни малки земеделски стопанства е важен фактор за намаляване на риска за обезлюдяване на селските райони, доколкото създават доходи и заетост за местните жители. Те имат важен принос за опазване на природната среда и ландшафта и предотвратяване на изоставянето на земята в необлагодетелствани райони. ПРСР ще адресира потребността за повишаване на жизнеспособността и устойчиво развитие на малките земеделски стопанства чрез тематична подпрограма с цел подобряване на насочването и допълването на интервенциите и гарантиране на адекватен достъп на малките стопанства до ресурси за развитие, стимулиране на търсенето на подкрепа чрез осигуряване на по-висок интензитет на подпомагане и намаляване на административната тежест и развитие на специализирани услуги за малки стопанства.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5" w:name="_Toc256000055"/>
      <w:r>
        <w:rPr>
          <w:b w:val="0"/>
        </w:rPr>
        <w:t>2А-3: Подобряване на достъпа до външни финансови средства</w:t>
      </w:r>
      <w:bookmarkEnd w:id="5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8"/>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8"/>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8"/>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8"/>
              </w:numPr>
              <w:rPr>
                <w:b w:val="0"/>
              </w:rPr>
            </w:pPr>
            <w:r>
              <w:rPr>
                <w:b w:val="0"/>
              </w:rPr>
              <w:t>3Б) Подпомагане на превенцията и управлението на риска на стопанствата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SWOT анализът идентифицира като проблем затрудненият достъп до външни финансови ресурси, поради липса на развити финансови инструменти, подходящи за спецификата на земеделските стопанства. Сериозни проблеми при осигуряване на финансиране от търговски банки срещат най-вече малките и средните стопанства, както и развиващите дейност в селските райони, които не разполагат с активи на голяма стойност и не могат да покрият високите изисквания на банките за обезпечение. Поради тези причини, част от бенефициентите с договори по ПРСР 2007-2013 не могат да си осигурят финансиране и да реализират проектите си. Този проблем води до намаляване на възможностите за инвестиции в модернизация и иновации в продуктите, процесите и технологиите. Това изисква развитието на специални финансови инструменти за облекчаване на достъпа на земеделските производители до външни финансови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6" w:name="_Toc256000056"/>
      <w:r>
        <w:rPr>
          <w:b w:val="0"/>
        </w:rPr>
        <w:t>2А-4: Ускоряване на модернизацията и технологичното обновление на земеделските стопанства</w:t>
      </w:r>
      <w:bookmarkEnd w:id="5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9"/>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9"/>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9"/>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0"/>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Въпреки модернизацията на земеделските стопанства, осъществена през последните години, SWOT анализът показва, че като цяло инвестиционната активност в сектора е много слаба. Бруто образуването на основен капитал е едва 11% от брутната добавена стойност през 2012 г. и спада през годините (ЕС-27 – 46% през 2010 г.). Наред с това нетното образуване на основен капитал е отрицателно през годините след 2009 г., което се дължи на изоставането на инвестиционната активност, съпоставено с амортизационните разход. Особено е ниска инвестиционната активност по отношение на иновациите и енергийната ефективност. В повечето земеделски стопанства технологиите и оборудването са остарели, което влияе негативно на производителността и ефективността на стопанствата и влошава тяхната конкурентоспособност.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модернизацията и технологичното обновление на стопанствата и осигуряването на  възможностите за инвестиции в развитие и иновации ще подобри тяхната текуща конкурентоспособност в т.ч. чрез подобряване на качеството на произвежданата продукция и на увеличаване на производството на продукти с по-висока добавена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7" w:name="_Toc256000057"/>
      <w:r>
        <w:rPr>
          <w:b w:val="0"/>
        </w:rPr>
        <w:t>2А-5 Ускоряване на процеса на комасация на земята</w:t>
      </w:r>
      <w:bookmarkEnd w:id="5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1"/>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Съществуващата </w:t>
            </w:r>
            <w:r>
              <w:rPr>
                <w:rFonts w:ascii="Times New Roman" w:eastAsia="Times New Roman" w:hAnsi="Times New Roman" w:cs="Times New Roman"/>
                <w:i/>
                <w:iCs/>
                <w:szCs w:val="24"/>
              </w:rPr>
              <w:t>значителна разпокъсаност на поземлената собственост</w:t>
            </w:r>
            <w:r>
              <w:rPr>
                <w:rFonts w:ascii="Times New Roman" w:eastAsia="Times New Roman" w:hAnsi="Times New Roman" w:cs="Times New Roman"/>
                <w:szCs w:val="24"/>
              </w:rPr>
              <w:t xml:space="preserve"> (среден размер на земеделски имот е 0,5 ха) в България създава големи трудности пред дългосрочните инвестиции в земеделието и подобряването на почвеното плодородие, което определя необходимостта от ускоряване на мерки за комасацията на земята. Предвижда се адресирането на тази нужда да се извършва посредством национални политики и средства, като се улесняват и насърчават както комасацията на собствеността, така и комасацията на ползването.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8" w:name="_Toc256000058"/>
      <w:r>
        <w:rPr>
          <w:b w:val="0"/>
        </w:rPr>
        <w:t>2Б-1 Увеличаване на броя и развитие на стопанствата на млади земеделски стопани с подходяща квалификация</w:t>
      </w:r>
      <w:bookmarkEnd w:id="5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2"/>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2"/>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42"/>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3"/>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2010 г. делът на младите  управители на земеделски стопанства (на възраст до 35 г.) е 6,9%. След присъединяването на България към ЕС през 2007 се наблюдава съществено нарастване на броя (с 10 200 души) и дела (с 3,8 пр.п.) на младите управители на стопанства. Независимо от наблюдаваната тенденция, броят им е все още недостатъчен за осигуряване на гладка смяна на поколенията в земеделието (младите управители на стопанства са само 11% от тези на възраст над 55 г.), а също и за намаляване на структурните проблеми, свързани с ниския дял на управителите на стопанства със земеделско образование и ниската инвестиционна активност. Навлизането на млади земеделски стопани в земеделието се спира главно от недостига на собствен капитал за започване на земеделска дейност и инвестиции за развитие на стопанството, както и липсата на образование със земеделска насоченост, което определя необходимостта от целенасочена публична подкрепа. Увеличаването на броя млади фермери ще допринесе за подобряване на възрастовата структура на населението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9" w:name="_Toc256000059"/>
      <w:r>
        <w:rPr>
          <w:b w:val="0"/>
        </w:rPr>
        <w:t>2В-1 Подобряване на икономическите резултати на фирмите в горското стопанство, дърводобива и първичната преработка на дървесина</w:t>
      </w:r>
      <w:bookmarkEnd w:id="5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4"/>
              </w:numPr>
              <w:rPr>
                <w:b w:val="0"/>
              </w:rPr>
            </w:pPr>
            <w:r>
              <w:rPr>
                <w:b w:val="0"/>
              </w:rPr>
              <w:t>2C+) Подобряване на икономическите резултати на фирмите в горското стопанство, дърводобива и първичната преработка на дървесина</w:t>
            </w:r>
          </w:p>
          <w:p>
            <w:pPr>
              <w:numPr>
                <w:numId w:val="44"/>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44"/>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Повишаването на конкурентоспособността на фирмите в горското стопанство и дърводобива изисква увеличаване на продуктивността на горите и модернизация на физическите активи на фирмите. Основните проблеми на сектора са ниската производителност на труда, поради използване на остарялото оборудване и влошена инфраструктура, ниски инвестиции и труден достъп до финансиране. За устойчивото управление на горите е необходимо да се стимулират инвестициите повишаващи конкурентоспособността на стопанствата, включително чрез инвестиции щадящи почвата и ресурсите, инвестиции в оборудване за  добив и първична преработка на дървесината.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Продуктивността на горите може да бъде повишена чрез провеждане на отгледни сечи за подобряване на бъдещия състав, структура, устойчивост и продуктивност на горите. Те подобряват механичната устойчивост на насажденията, подобряват защитните и специалните функции на горите, здравословното състояние и устойчивостта им, опазват на биологичното разнообразие и намаляват риска от възникване на пожари в горите. Като цяло провеждането на планирани отгледни сечи изостава, като причините за това са свързани предимно с липсата на средства за тяхното провеждане.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Повишаването на жизнеспособността и конкурентоспособността на предприятията от сектора ще окаже влияние и за повишаване на доходите и осигуряване на заетост в планинските и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0" w:name="_Toc256000060"/>
      <w:r>
        <w:rPr>
          <w:b w:val="0"/>
        </w:rPr>
        <w:t>3А-1 Подобряване на вертикалното и хоризонталното сътрудничество между земеделските производители, преработватели и търговци</w:t>
      </w:r>
      <w:bookmarkEnd w:id="6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5"/>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5"/>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45"/>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6"/>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Вертикалното сътрудничество между земеделски стопани, преработватели и търговци в България е слабо, поради липса на традиции, раздробеност на производството, липса на подходящи форми и стимули за изграждане на дългосрочни партньорства. Този проблем е пречка за дългосрочното планиране, увеличава риска и намалява стимулите за инвестиции. Той е пречка и за въвеждане на иновации по цялата верига на първично производство,  преработка и реализация на продукцията. Поради това е необходимо насърчаване на създаването и развитието на дългосрочни партньорства в селскостопанската и хранителната верига, насочени към осигуряване на качество и стабилност на доставките, подобряване на маркетинга, развитие на пазарите и иновации в продуктите, процесите и технологиите. Съществува несъответствие в структурата на производство и предлагане на земеделски продукти от една страна и от друга страна на структурата на търсенето им. В България преобладават малките земеделски стопанства, което води до предлагане на малки количества продукцията в разнородни партиди. В същото време, голяма част от търговците и преработвателните търсят големи количества продукция с еднородни характеристики, които да им бъдат доставяни регулярно. Това налага необходимостта от подобряване на кооперирането между земеделските стопанства, за да се подобрят техните пазарни позиции, да се повиши тяхната производителност чрез оптимално използване на ресурсите, а и за да могат по-добре да се възползват от възникващи пазарни възможности. Адресирането на тази потребност изисква насърчаване на създаването на групи и организации на производители, и други форми на сътрудничество за съвместно предлагане на пазара, съхранение и преработка на продукцията.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1" w:name="_Toc256000061"/>
      <w:r>
        <w:rPr>
          <w:b w:val="0"/>
        </w:rPr>
        <w:t>3А-2 Ускоряване на иновациите, подобряване на енергийната ефективност и технологичното обновление в хранителната промишленост</w:t>
      </w:r>
      <w:bookmarkEnd w:id="6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7"/>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7"/>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47"/>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8"/>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Хранителната промишленост е един от развитите отрасли в българската индустрия, като през 2012 г. формира 3.8% от общото БДС за страната и създава заетост за 112 000 души. Основните проблеми на сектора са ниската производителност на труда, остаряла техника и сграден фонд, и ниската енергийна ефективност. Инвестициите в иновации в материални и нематериални активи помагат за развитието на сектора, но високите инвестиционни разходи за въвеждане на иновации,  трудният достъп до финансиране и трансфер на знания и технологии са пречки пред развитие на този процес. SWOT анализът показва благоприятна тенденция за ориентация на фирмите от хранителната промишленост към иновации в продуктите и технологиите и експорт. В Националната Иновационната стратегия за интелигентна специализация 2014-2020 г. е направен извод, че съществува потенциал за развитие на иновациите в сектора, също така хранителната промишленост е определена като приоритетен сектор с потенциал да развие конкурентни предимства на база иновации. Тези фактори определят необходимостта от подпомагане на инвестициите в иновациите и технологичното обновление в хранителната промишленост. Развитието на преработвателните сектори е важно и за конкурентоспособността на земеделското производство и останалите вертикално свързани сектори.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2" w:name="_Toc256000062"/>
      <w:r>
        <w:rPr>
          <w:b w:val="0"/>
        </w:rPr>
        <w:t>3А-3: Подобряване условията на отглеждане на животните и повишаване качеството на произвежданите животински продукти</w:t>
      </w:r>
      <w:bookmarkEnd w:id="6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9"/>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9"/>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Хуманното отношение към животните е пряко свързано с производството на безопасни и качествени храни. В България практиката показва, че повечето фермери занимаващи се с отглеждане на животни се стремят единствено да спазват предвидените в законодателството норми без да полагат значителни усилия да ги надхвърлят за да създадат още по-добри условия за отглежданите животни. Същевременно се засилва тенденцията потребителите на животински продукти и обществото като цяло все по-често да се интересуват от начина на отглеждане на животните и дали той е хуманен. Завишават се очакванията за хигиената и здравето на животните. Също така и ЕК изготви и  Стратегия на Европейския съюз за защита и хуманно отношение към животните за периода 2012—2015 г.  Чрез стимулиране и компенсиране на фермери прилагащи стандарти за хуманно отношение към животните, надхвърлящи минималните изискуемите ще се създадат конкурентни предимства за тях на база на подобреното качество на продукцията. Предвижда се адресирането на тази нужда да се извършва посредством Програмата за развитие на селските райони за едрите и дребните преживни животни и чрез специални държавни помощи за свинете и птиците. .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3" w:name="_Toc256000063"/>
      <w:r>
        <w:rPr>
          <w:b w:val="0"/>
        </w:rPr>
        <w:t>3А-4 Скъсяване веригите на доставки, насърчаване на местните пазари и подобряване на маркетинга на земеделски продукти</w:t>
      </w:r>
      <w:bookmarkEnd w:id="6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0"/>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50"/>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50"/>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Пазарът на местни храни в България е неразвит, въпреки изразените предпочитания на потребителите към тях. Проучванията на Евробарометър, проведени през 2011 и 2012 г, показват значителен интерес на българските потребители към произхода на храните и здравословното хранене, което разкрива възможност за разширяване на пазара на местни продукти и продукти със сертифициран произход или качество. Липсата на организации на производители и малки брой пазари на производители ограничава достъпът на земеделските производители до пазара. В градските центрове в България няма специализирани пазари на местни производители. Функциониращите пазари на открито продават главно продукция, закупена от тържища, която е с различен произход и не осигуряват възможност за пряка връзка между производителя и потребителя. Местните храни се предлагат предимно по неформални канали, тъй като не са развити схеми за доброволно сертифициране на продукти и храни и подходяща пазарна инфраструктура. Развитието на пазарите на местни храни е благоприятна възможност, позволяваща да се адресират идентифицираните в SWOT анализа проблеми със слабата пазарна сила на земеделските стопанства, особено на малките, и да се осигури достатъчно предлагане на качествени храни на българските потребители.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4" w:name="_Toc256000064"/>
      <w:r>
        <w:rPr>
          <w:b w:val="0"/>
        </w:rPr>
        <w:t>3Б-1: Подобряване на управлението на риска в земеделските стопанства</w:t>
      </w:r>
      <w:bookmarkEnd w:id="6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1"/>
              </w:numPr>
              <w:rPr>
                <w:b w:val="0"/>
              </w:rPr>
            </w:pPr>
            <w:r>
              <w:rPr>
                <w:b w:val="0"/>
              </w:rPr>
              <w:t>3Б) Подпомагане на превенцията и управлението на риска на стопанствата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2"/>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производствени рискове в земеделието са свързани със засушаване, наводнение, измръзване на посевите и градушки, а в животновъдството – разпространение на заразни болести, които водят намаляване на селскостопанския производствен потенциал. Това води до намаляване количеството и качеството на производството, намаляване на доходите, увеличаване на разходите и съответно ниска ефективност и конкурентоспособност.  Покриването на щети за  унищожена селскостопанска продукция и загинали селскостопански животни в следствие на природни бедствия, за превантивни дейности за намаляване на риска от природни бедствия, за профилактика и за ликвидиране на болести по животните се планира да се извършва освен чрез национални средства и политики и чрез възможностите за подкрепа в рамките на мерките включени в обхвата на Регламент /ЕС/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Поради своя малък обем, пазарът на земеделски стоки в България е силно зависим от състоянието и тенденциите на международните пазари. Всяко влошаване на конюнктурата на световните пазари (например свръхпредлагане на определени земеделски продукти, политически кризи и други) може да доведе до значителен спад на цените на българската продукция и до невъзможност за реализирането ѝ.</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Ниската диверсификация на дейностите на земеделските стопанства (при преброяването през 2010 г. само 1.1 % от стопанствата получават приходи от неземеделски дейност, при 5,5% за ЕС-27) също увеличава риска и колебанията в доходите на стопанствата и тяхната жизнеспособност.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Едни от начините за смекчаване на последиците от описаните по-горе рискове са повишаване на умения и знания на земеделските стопани в областта на управлението на риска, както и разнообразяване на земеделските и неземеделски дейности в стопанствата.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5" w:name="_Toc256000065"/>
      <w:r>
        <w:rPr>
          <w:b w:val="0"/>
        </w:rPr>
        <w:t>4A-1: Съхранение на дела на полу-естествените тревни местообитания с висока природна стойност</w:t>
      </w:r>
      <w:bookmarkEnd w:id="6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3"/>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Полу-естествените затревени площи са една от най-ценните екосистеми в селскостопанския ландшафт в България, и са един от поглътителите на въглероден диоксид (CO2), но върху тях се оказва натиск, водещ до намаляване на биоразнообразието. Поради ниската икономическа ефективност на пашата на животните в полу-естествените тревни площи, много от земеделските стопани в равнинните части се насочват към тяхното разораване и превръщането им в обработваеми земи, овощни градини или лозя.  Необходими са целенасочени агроклиматични мерки, насърчаващи поддържането на пасища, гористи местности и ландшафтни характеристики в равнинните ландшафти /до 500 м. н.м височина/. В планинските райони ниската ефективност при животновъдството, води до прекратяване на земеделската дейност и изоставяне на планинските пасища.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Необходимо е да се осигури съхранението на традиционните екстензивни земеделски практики и екстензивното пасищно отглеждане на животните, което да предотврати изоставянето на затревените площи и тяхното захрастяване в планинските райони, и разораването на затревените площи и превръщането им в обработваеми земи в близост до населените места и равнинните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2 на Националната приоритетна рамка за действие за Натура 2000 отчита необходимостта до края на програмния период да бъдат приложени практики, водещи до устойчиво управление на земеделските земи в т.ч. на земите с висока природна стойност при използване на екосистемния и регионален подход  и да се увеличат площите, които са обхванати от мерки, свързани с биологичното разнообразие. Рамката предвижда възстановяване на минимум 15% от деградиралите екосистеми.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6" w:name="_Toc256000066"/>
      <w:r>
        <w:rPr>
          <w:b w:val="0"/>
        </w:rPr>
        <w:t>4A-2: Съхранение и възстановяване на ценните местообитания и видове в местата по Натура 2000</w:t>
      </w:r>
      <w:bookmarkEnd w:id="6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4"/>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България е на трето място в ЕС по процент от националната територия, която е включена в европейската екологична мрежа Натура 2000 (34, 4%). Към настоящия момент са издадени заповеди за обявяване само на защитените зони за опазване на птиците. Многобройните заплахи за видовете са свързани с опожаряването, интензификацията на земеделските практики, транспортната инфраструктура, използването на биоциди, хормони и др. в горското стопанство, както и със залесяването на открити пространства с неместни видове. При природните местообитания, най-многобройните заплахи са интензивната паша, опожаряването, промяната в начина на трайно ползване, залесяването с чужди дървесни видове и замърсяването.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предотвратяване на загубата на биоразнообразие и съхранение на екосистемите за постигане на целите на Европейската стратегия за опазване на биоразнообразие  е необходимо е да, да се повишат познанията на земеделските и горските стопани относно ценните  местообитания и видове  да се  спазват на изискванията и препоръките в заповедите за обявяване на защитените зони и плановете им за управление, да се разработят  и прилагат пилотни и демонстрационни проекти за въвеждане природосъобразни практики за опазване на биологичното разнообразие в земите с висока природна стойност и зоните от Натура 2000. Необходимо е да се насърчават земеделски дейности, които ще доведат до подобряване на консервационния статус на местообитанията и ще предотвратят тяхната бъдеща деградация. За спазване на някои от забраните в местата от Натура 2000 са необходими и специфични инвестиции, свързани с опазването на биоразнообразието в тях (заграждения за пасищни животни, нискооборотни косачки, изграждане на водоеми и т.н.), както и специфични съвети по отношение на прилагането на природосъобразни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Възстановяването и поддържането на влажните зони и заливните тераси от една страна ще допринесе за съхраняване на биоразнообразието в тях, а от друга тези влажни зони са и естествена мярка за намаляване на риска от наводнения.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7" w:name="_Toc256000067"/>
      <w:r>
        <w:rPr>
          <w:b w:val="0"/>
        </w:rPr>
        <w:t>4А-3: Съхранение на дела на горите с висока консервационна стойност</w:t>
      </w:r>
      <w:bookmarkEnd w:id="6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5"/>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55"/>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6"/>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приоритетна рамка за действие за Натура 2000  дефинира необходимостта за устойчивото управление на горите до края на програмния период  да бъдат приложени практики, водещи до съхраняване и възстановяване на приоритетните горски видове и местообитания като  темпото на загуба на естествените местообитания вкл. горите бъде намалено с 50% а където е възможно и сведено до нула. Това ясно предопределя необходимостта от съхранение на горите с висока природна стойност чрез специфични мерки и  екстензивен подход при тяхното използване, въвеждането на плащания за екосистемни услуги и увеличаването на дела на сертифицираните гори.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8" w:name="_Toc256000068"/>
      <w:r>
        <w:rPr>
          <w:b w:val="0"/>
        </w:rPr>
        <w:t>4А-4: Опазване на застрашените от изчезване редки породи животни  и традиционни, застрашени от изчезване сортове растения</w:t>
      </w:r>
      <w:bookmarkEnd w:id="6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7"/>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Българските породи селскостопански животни (местни и новосъздадени) са адаптирани към местните условия и са свързани с местните производствени и стопански системи, а така също и с културното наследство. С тяхното съхранение и усъвършенстване са ангажирани над 30 развъдни организации. Много от местните породи селскостопански животни, които формират част от агробиоразнообразието биха могли да бъдат използвани за производство на специфични нишови продукти, свързани с определена порода и определен географски район. SWOT анализът ясно показва, че въвеждането на агроекологични плащания за редките породи е довело до увеличаване на броя на някои от редките породи. Това води до извода, че подкрепата, свързана с отглеждането на тези породи е необходима и ще допринесе за  опазването на генофонда в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институтите на Селскостопанска академия се поддържат163 застрашени от изчезване сорта местни растения със сортови свидетелства и 152 сорта без сортови свидетелства, чието опазването  е от първостепенно значение за опазване на генофонда в страната.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9" w:name="_Toc256000069"/>
      <w:r>
        <w:rPr>
          <w:b w:val="0"/>
        </w:rPr>
        <w:t>4А-5: Подпомагане на земеделието в райони с природни ограничения</w:t>
      </w:r>
      <w:bookmarkEnd w:id="6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8"/>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58"/>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58"/>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стопанства в планински райони и други райони със съществени природни ограничения са поставени в сравнително неблагоприятно положение, тъй като имат по-ниска производителност и по-високи разходи.  Това създава риск за оттегляне на стопанствата от земеделието, което заплашва жизнеспособността на селските общности, води до изоставяне на земеделските земи,  и  загуба на биоразнообразието в тях. Подкрепата за поддържане на земеделските дейности в тези райони допринася за съхранението на земеделските земи с висока природна стойност, тъй като направените анализи преобладаващата част от полуестествените местообитания с висока природна стойност се намира именно в планинските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0" w:name="_Toc256000070"/>
      <w:r>
        <w:rPr>
          <w:b w:val="0"/>
        </w:rPr>
        <w:t>4А-6: Въвеждане на системи за превенция на пожарите в горите</w:t>
      </w:r>
      <w:bookmarkEnd w:id="7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9"/>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59"/>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0"/>
              </w:numPr>
              <w:rPr>
                <w:b w:val="0"/>
              </w:rPr>
            </w:pPr>
            <w:r>
              <w:rPr>
                <w:b w:val="0"/>
              </w:rPr>
              <w:t>Околна среда</w:t>
            </w:r>
          </w:p>
          <w:p>
            <w:pPr>
              <w:numPr>
                <w:numId w:val="60"/>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Статистическите данни показват, че през 2012 г. броят на горските пожари в страната се увеличават като 2012 г. се нарежда на трето място по брой на пожарите за последните десет години, след 2001 и 2007 г. Регистрирани са 876 горски пожара, при което са засегнати 12 729,8 ха горски територии, от които площта на върховите пожари е 1604,4 ха. В същото време, поради липса на средства, се наблюдава масово неизпълнение на основните противопожарни мероприятия в държавните гори, като тенденцията от последните няколко години е не само намаление на процента на изпълнение на предвидените мероприятия, така също и на предвижданите средства за тяхното изпълнение. В частните горски имоти също от години изпълнението на противопожарните мероприятия е съпътствано с големи трудности, което дискредитира превенцията на цели горски масиви. Въвеждането на системи за ранното предупреждение за пожари в горите ще даде възможност за бързото им откриване и локализиране. Това ще даде възможност за бързото предприемане на мерки по гасене на пожарите, което от своя страна ще предотврати тяхното разрастване и нанасянето на по-големи материални и екологични щети.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1" w:name="_Toc256000071"/>
      <w:r>
        <w:rPr>
          <w:b w:val="0"/>
        </w:rPr>
        <w:t>4Б-1: Предотвратяване и намаляване на замърсяването от селското стопанство</w:t>
      </w:r>
      <w:bookmarkEnd w:id="7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1"/>
              </w:numPr>
              <w:rPr>
                <w:b w:val="0"/>
              </w:rPr>
            </w:pPr>
            <w:r>
              <w:rPr>
                <w:b w:val="0"/>
              </w:rPr>
              <w:t xml:space="preserve">4Б) Подобряване управлението на водите, включително управлението на торовете и пестицидите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Независимо от подобряването на статуса на повърхностните и подземни води основният източник на дифузно замърсяване остава селскостопанската дейност, емитираща както нитратни и фосфатни съединения, така и пестициди и вещества, ползвани за растителна защита и лечение на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намаляването на дифузното и точковото замърсяване от селското стопанство са необходими изграждането на безопасни съоръжения за съхранение на оборски тор и инвестиции в подходяща техника за прилагането на добрите земеделски практики, свързани с употребата и съхранението на минерални и оборски тор и препарати за растителна защита.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мерките, свързани с намаляване на натиска върху водните  тела от земеделски дейности ще допринесе за подобряване на техния статус и ще отговори на изискванията на Рамковата директива  за водите. Потребностите ще бъдат преразгледани за да отговорят на идентифицираните потребности във вторите ПУРБ.</w:t>
            </w:r>
          </w:p>
          <w:p>
            <w:pPr>
              <w:pStyle w:val="BodyText"/>
              <w:jc w:val="both"/>
              <w:rPr>
                <w:b w:val="0"/>
              </w:rPr>
            </w:pPr>
          </w:p>
        </w:tc>
      </w:tr>
    </w:tbl>
    <w:p>
      <w:pPr>
        <w:pStyle w:val="Heading3"/>
        <w:jc w:val="left"/>
        <w:rPr>
          <w:b w:val="0"/>
        </w:rPr>
      </w:pPr>
      <w:bookmarkStart w:id="72" w:name="_Toc256000072"/>
      <w:r>
        <w:rPr>
          <w:b w:val="0"/>
        </w:rPr>
        <w:t>4Б-2:Увеличаване на дела на биологичното производство</w:t>
      </w:r>
      <w:bookmarkEnd w:id="7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2"/>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62"/>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62"/>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62"/>
              </w:numPr>
              <w:rPr>
                <w:b w:val="0"/>
              </w:rPr>
            </w:pPr>
            <w:r>
              <w:rPr>
                <w:b w:val="0"/>
              </w:rPr>
              <w:t xml:space="preserve">4Б) Подобряване управлението на водите, включително управлението на торовете и пестицидите </w:t>
            </w:r>
          </w:p>
          <w:p>
            <w:pPr>
              <w:numPr>
                <w:numId w:val="62"/>
              </w:numPr>
              <w:rPr>
                <w:b w:val="0"/>
              </w:rPr>
            </w:pPr>
            <w:r>
              <w:rPr>
                <w:b w:val="0"/>
              </w:rPr>
              <w:t>4В) Предотвратяване на ерозията на почвите и подобряване на управлението им</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Въпреки, че през последните години площите, обработвани по методите на биологично производство в България, нарастват, техният дял е все още незначителен (0,8% от ИЗП). Увеличаването на дела на биологичното производство чрез насърчаването на биологично растениевъдство, пчеларство и животновъдство и прехода към този начин на производство ще доведе до намаляване използването на минерални торове и пестициди и намаляване на замърсяванията на водите. Въвеждането на екстензивни земеделски практики ще намали нитрификацията и втока на биогени в естествените и полуестествени екосистеми особено тревните съобщества и водните местообитания, с кумулиращ се положителен ефект върху флората и фауната и като цяло върху естествените и полу-естествени екосистеми. Това ще допринесе и за поддържане на видове и местообитания – целеви за зоните, в благоприятно природозащитно състояние.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3" w:name="_Toc256000073"/>
      <w:r>
        <w:rPr>
          <w:b w:val="0"/>
        </w:rPr>
        <w:t>4В-1: Съхранение и увеличаване на почвеното плодородие</w:t>
      </w:r>
      <w:bookmarkEnd w:id="7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3"/>
              </w:numPr>
              <w:rPr>
                <w:b w:val="0"/>
              </w:rPr>
            </w:pPr>
            <w:r>
              <w:rPr>
                <w:b w:val="0"/>
              </w:rPr>
              <w:t>4В) Предотвратяване на ерозията на почвите и подобряване на управлението им</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SWOT анализа ясно очертава необходимостта от въвеждането на мерки за съхранение на почвеното плодородие и ограничаване на деградацията на почвите. (включително почвената ерозия). За тази цел е  необходимо да се повишат знанията на земеделските производители по проблемите за управление на почвите и да се насърчава  прилагането на екологосъобразни методи, предотвратяващи деградация на почвата. Съществува и необходимост от  насърчаване на  иновациите и инвестициите в техники и технологии за прилагане на екологосъобразни практики.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извършване на дейности в горите трябва да се използва техника щадяща почвите и намаляваща риска от тяхната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4" w:name="_Toc256000074"/>
      <w:r>
        <w:rPr>
          <w:b w:val="0"/>
        </w:rPr>
        <w:t>5А-1: Възстановяване и реконструкция на хидромелиоративната инфраструктура</w:t>
      </w:r>
      <w:bookmarkEnd w:id="7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4"/>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64"/>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64"/>
              </w:numPr>
              <w:rPr>
                <w:b w:val="0"/>
              </w:rPr>
            </w:pPr>
            <w:r>
              <w:rPr>
                <w:b w:val="0"/>
              </w:rPr>
              <w:t xml:space="preserve">4Б) Подобряване управлението на водите, включително управлението на торовете и пестицидите </w:t>
            </w:r>
          </w:p>
          <w:p>
            <w:pPr>
              <w:numPr>
                <w:numId w:val="64"/>
              </w:numPr>
              <w:rPr>
                <w:b w:val="0"/>
              </w:rPr>
            </w:pPr>
            <w:r>
              <w:rPr>
                <w:b w:val="0"/>
              </w:rPr>
              <w:t xml:space="preserve">5А) Повишаване на ефективността при потреблението на вода в селското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5"/>
              </w:numPr>
              <w:rPr>
                <w:b w:val="0"/>
              </w:rPr>
            </w:pPr>
            <w:r>
              <w:rPr>
                <w:b w:val="0"/>
              </w:rPr>
              <w:t>Околна среда</w:t>
            </w:r>
          </w:p>
          <w:p>
            <w:pPr>
              <w:numPr>
                <w:numId w:val="65"/>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Околна среда. Адаптация към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Слабата продуктивност на културите изискващи напояване и високата им уязвимост към засушаване и наводнения изисква възстановяване на главната хидромелиоративна инфраструктура като предпоставка за конкурентно и устойчиво развитие на земеделието и особено на приоритетните сектори плодове и зеленчуци, но също и на полски култури нуждаещи се от напояване – като царевица.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5" w:name="_Toc256000075"/>
      <w:r>
        <w:rPr>
          <w:b w:val="0"/>
        </w:rPr>
        <w:t>5Б-1: Повишаване на енергийната ефективност</w:t>
      </w:r>
      <w:bookmarkEnd w:id="7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6"/>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66"/>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66"/>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66"/>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66"/>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повишаване на енергийната ефективност е необходимо въвеждането на енергоспестяващи технологии при производство и преработката на селскостопанска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6" w:name="_Toc256000076"/>
      <w:r>
        <w:rPr>
          <w:b w:val="0"/>
        </w:rPr>
        <w:t>5В-1: Изграждане на нови и реконструкция на съществуващи мощности за преработка на отпадъци остатъци и други суровини в био енер</w:t>
      </w:r>
      <w:bookmarkEnd w:id="7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7"/>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Налице е значителен неоползотворен потенциал за производство на възобновяема енергия от отпадъчната биомаса в стопанствата, и в някои от преработвателните предприятия. Оползотворяването на този потенциал не само ще намали зависимостта от фосилни горива, но и ще намали нетните емисии на парникови газове  в атмосферата, и така ще увеличава въглеродната неутралност на икономиката и донякъде енергийната независимост и конкурентоспособността на подкрепените бизнеси.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7" w:name="_Toc256000077"/>
      <w:r>
        <w:rPr>
          <w:b w:val="0"/>
        </w:rPr>
        <w:t>5В-2: Увеличаване на площите с бързорастящи храсти и дървесни видове за производство на биоенергия</w:t>
      </w:r>
      <w:bookmarkEnd w:id="7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8"/>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Увеличаване на площите (извън защитените територии и местата по Натура 2000) с дървесни и храстови видове за производство на енергия, е необходимо, за да се намали натиска върху горите и да се стимулира използването на ВЕИ.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8" w:name="_Toc256000078"/>
      <w:r>
        <w:rPr>
          <w:b w:val="0"/>
        </w:rPr>
        <w:t>5В-3: Възползване от принципите на биоикономиката за повишаване на ресурсната ефективност и добавената стойност</w:t>
      </w:r>
      <w:bookmarkEnd w:id="7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9"/>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69"/>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0"/>
              </w:numPr>
              <w:rPr>
                <w:b w:val="0"/>
              </w:rPr>
            </w:pPr>
            <w:r>
              <w:rPr>
                <w:b w:val="0"/>
              </w:rPr>
              <w:t>Околна среда</w:t>
            </w:r>
          </w:p>
          <w:p>
            <w:pPr>
              <w:numPr>
                <w:numId w:val="70"/>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Налице е потенциал за допълнителна преработка на остатъците и страничните продукти от множество производства в селските райони на страната. Оползотворяването му ще повиши разнообразието от суровини или вложения във веригите на добавяне на стойност извън хранително вкусовата промишленост, например за предприятията за производство на биогорива за транспорта, във фармацевтичния сектор, козметиката и парфюмерията за предприятията произвеждащи някои изделия за строителната индустрия и т.н.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9" w:name="_Toc256000079"/>
      <w:r>
        <w:rPr>
          <w:b w:val="0"/>
        </w:rPr>
        <w:t>5Г-1: Принос към Третия национален план за действие по изменение на климата за намаляване на емисиите от земеделски източници</w:t>
      </w:r>
      <w:bookmarkEnd w:id="7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1"/>
              </w:numPr>
              <w:rPr>
                <w:b w:val="0"/>
              </w:rPr>
            </w:pPr>
            <w:r>
              <w:rPr>
                <w:b w:val="0"/>
              </w:rPr>
              <w:t>5Г) Намаляване на емисиите на парникови газове и амоняк от селското стопанство</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2"/>
              </w:numPr>
              <w:rPr>
                <w:b w:val="0"/>
              </w:rPr>
            </w:pPr>
            <w:r>
              <w:rPr>
                <w:b w:val="0"/>
              </w:rPr>
              <w:t>Околна среда</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Третият план за действие по изменение на климата предвижда конкретни мерки за намаляване на емисиите парникови газове във всички сектори, като тези мерки са съобразени с политиката на страната в областта на изменението на климата и съответно с потенциала на националната икономика за редукция на емисиите. Общият ефект от предвидените мерки ще гарантира изпълнение на поетите ангажименти и постигане на правно обвързващите за страната ни европейски цели. В сектор селско стопанство мерките са свързани от една страна с повишаване на знанията на земеделските стопани относно прилагане на подходящи практики, водещи до намаляване на емисиите от сектора и въвеждането на такива практики като насърчаване на  използването на подходящи сеитбообороти, особено с азот-фиксиращи култури,  насърчаването на екстензивното пасищно отглеждане на животните, а от друга с техническото обезпечаване на земеделските стопанства за обработване на почвата/стърнищата, биологичната рекултивация с характерни за района тревни видове на деградиралите земеделски земи. За намаляване на емисиите от животновъдния сектор е важно да се  изградят и подобрят съоръжения за  съхранение и прилагане на оборски тор, да се въведат  нисковъглеродни практики за преработка на оборски тор, например компостиране, преработка в биогаз в анаеробни условия.  Насърчаването на екстензивното животновъдство и поддържането на  оптимална гъстота на животинските единици в зависимост от природните, климатични и почвени условия осигурява  добро екологично състояние на ливадите и пасищата и поддържане на постоянна тревна покривка , което води до съхраняване на запасите от въглерод в почвите.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0" w:name="_Toc256000080"/>
      <w:r>
        <w:rPr>
          <w:b w:val="0"/>
        </w:rPr>
        <w:t>5Д-1: Увеличаване лесистостта и възстановяване на горския потенциал</w:t>
      </w:r>
      <w:bookmarkEnd w:id="8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3"/>
              </w:numPr>
              <w:rPr>
                <w:b w:val="0"/>
              </w:rPr>
            </w:pPr>
            <w:r>
              <w:rPr>
                <w:b w:val="0"/>
              </w:rPr>
              <w:t>4В) Предотвратяване на ерозията на почвите и подобряване на управлението им</w:t>
            </w:r>
          </w:p>
          <w:p>
            <w:pPr>
              <w:numPr>
                <w:numId w:val="73"/>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4"/>
              </w:numPr>
              <w:rPr>
                <w:b w:val="0"/>
              </w:rPr>
            </w:pPr>
            <w:r>
              <w:rPr>
                <w:b w:val="0"/>
              </w:rPr>
              <w:t>Околна среда</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последните 21 години поглъщането на парникови газове от горския сектор компенсира между 11,35%-19,9% от общите емисии на парникови газове в България. С най-голяма роля за поглъщането и складирането на въглерод (94 -95% от общото поглъщане за сектора) са териториите, заети от гори. Тази им функция ги прави фактор в борбата с изменението на климата. От тук идват и нуждите от разширяване на горските територии, бързото възстановяване на горския потенциал и подобряване устойчивостта и екологичната стойност на горските екосистеми.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Възстановяването и поддържането на горски (полезащитни) пояси в Североизточна България допринася за увеличаването на залесените територии, поглъщащи въглерод. Те също така допринасят за предотвратяване на почвената ерозия на едни от най-плодородните земеделски земи в България. Ветрозащитните пояси  не са добре поддържани и са разположени в зони, които са най-уязвими на климатичните промени. Необходимо е там където те са деградирали да се презалесят, а където са в процес на деградация да се предприемат дейности по тяхната поддръжка.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Изоставените земеделски земи в повечето случаи са нископлодородни и залесяването е начин за предпазването им от ерозия и пълна деградация.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1" w:name="_Toc256000081"/>
      <w:r>
        <w:rPr>
          <w:b w:val="0"/>
        </w:rPr>
        <w:t>6А-1: Повишаване на инвестициите в неземеделските сектори на селските райони</w:t>
      </w:r>
      <w:bookmarkEnd w:id="8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5"/>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75"/>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6"/>
              </w:numPr>
              <w:rPr>
                <w:b w:val="0"/>
              </w:rPr>
            </w:pPr>
            <w:r>
              <w:rPr>
                <w:b w:val="0"/>
              </w:rPr>
              <w:t>Околна среда</w:t>
            </w:r>
          </w:p>
          <w:p>
            <w:pPr>
              <w:numPr>
                <w:numId w:val="76"/>
              </w:numPr>
              <w:rPr>
                <w:b w:val="0"/>
              </w:rPr>
            </w:pPr>
            <w:r>
              <w:rPr>
                <w:b w:val="0"/>
              </w:rPr>
              <w:t>Смекчаване на последиците от изменението на климата и приспособяване към тях</w:t>
            </w:r>
          </w:p>
          <w:p>
            <w:pPr>
              <w:numPr>
                <w:numId w:val="76"/>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Един от основните проблеми в селските райони на България е слабото развитие и ниска динамика на неземеделските сектори на икономиката. Риск за съществуващия неземеделски бизнес е депресивното състояние на икономиката и ниското търсене на вътрешния и международните пазари. SWOT анализът показва неоползотворени съществуващи и нововъзникващи възможности за развитие на неземеделските сектори в областта на преработката на земеделски и горски продукти, оползотворяване на отпадъците, туризма, зелената икономика и услуги, информационните и комуникационни технологии, и др. Това определя насърчаването на инвестициите в неземеделски дейности като приоритетна потребност за Програмата.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2" w:name="_Toc256000082"/>
      <w:r>
        <w:rPr>
          <w:b w:val="0"/>
        </w:rPr>
        <w:t>6А-2: Развитие на предприемачеството в селските райони</w:t>
      </w:r>
      <w:bookmarkEnd w:id="8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7"/>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Слабата предприемаческа активност в селските райони е пречка за оползотворяването на вътрешните ресурси на местната икономика (туризъм, преработката на земеделска и горска продукция, социално предприемачество, оползотворяване на отпадъците) и за засилване на вертикалните и хоризонтални връзки в икономиката. Затова е необходимо да се подпомага развитието на предприемаческите умения, да се насърчават бизнес инициативите на местните жители и да се подобрява бизнес средата в селските райони. Развитието на предприемачеството е също така успешен метод за увеличаване на заетостта на жените и интеграция на хората в риск от маргинализация. То е и приоритет на Националната стратегия за насърчаване развитието на малките и средните предприятия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3" w:name="_Toc256000083"/>
      <w:r>
        <w:rPr>
          <w:b w:val="0"/>
        </w:rPr>
        <w:t>6Б-1: Подобряване на социалната инфраструктура</w:t>
      </w:r>
      <w:bookmarkEnd w:id="8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8"/>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78"/>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Основната социална инфраструктура (образование, здравеопазване, социални услуги, култура, отдих и спорт) в селските райони е изградена, но повече от 50% от инфраструктурата се нуждае от реконструкция и модернизация. Лошото състояние на инфраструктурата влошава качеството на услугите за местното население, което води до миграция, особено на младото и активно население на селските райони и затруднява интеграцията на уязвими групи, включително деца, застрашени от бедност, роми и хора с увреждания и самотни възрастни хора. Затова нуждата от подобряване на социалната инфраструктура е определена като приоритетна в рамките на Програмата. Част от потребностите ще се покриват от другите оперативни програми като демаркацията е детайлно представена в описанието на мерките.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4" w:name="_Toc256000084"/>
      <w:r>
        <w:rPr>
          <w:b w:val="0"/>
        </w:rPr>
        <w:t>6Б-2: Подобряване на техническата инфраструктура</w:t>
      </w:r>
      <w:bookmarkEnd w:id="8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9"/>
              </w:numPr>
              <w:rPr>
                <w:b w:val="0"/>
              </w:rPr>
            </w:pPr>
            <w:r>
              <w:rPr>
                <w:b w:val="0"/>
              </w:rPr>
              <w:t xml:space="preserve">5А) Повишаване на ефективността при потреблението на вода в селското стопанство </w:t>
            </w:r>
          </w:p>
          <w:p>
            <w:pPr>
              <w:numPr>
                <w:numId w:val="79"/>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79"/>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Лошото състояние на част на пътната инфраструктурата, обслужваща селските райони, увеличава разходите на съществуващия бизнес и намалява стимулите за инвестиции. То затруднява и ежедневните пътувания на жителите, което води до намаляване на вътрешно-териториалната мобилност на работната сила (възможностите за работа в други населени места без смяна на местожителството) и достъпа до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Проблемите с амортизираната или неизградената ВИК мрежа, водят до проблеми с осигуряването на качествена питейна вода на част от териториите, загуби на вода и замърсявания. Това определя потребността от инвестиции във ВИК мрежата, съответстващи на приоритетите на Стратегията за развитие на отрасъл „Водоснабдяване и канализация”.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5" w:name="_Toc256000085"/>
      <w:r>
        <w:rPr>
          <w:b w:val="0"/>
        </w:rPr>
        <w:t>6Б-3: Подобряване на туристическата инфраструктурата</w:t>
      </w:r>
      <w:bookmarkEnd w:id="8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0"/>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80"/>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Оползотворяването на туристическия потенциал на селските райони изисква подобряване и развитие на техническата инфраструктура, естетизиране на средата в туристическите зони, и развитие на туристически атракции от обща полза,  които да привличат и задържат посетители в селските райони, като по този начин улесняват развитието на туристически бизнес, създаващ работни места и доходи за местното население. Развитието на туристическата инфраструктура ще се насочва от приоритетите в  Националната стратегия за устойчиво развитие на туризма в Република България 2014-2030 г. и в Генералния план за устойчиво развитие на туризма, който ще бъде разработен за изпълнение на Стратегията.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6" w:name="_Toc256000086"/>
      <w:r>
        <w:rPr>
          <w:b w:val="0"/>
        </w:rPr>
        <w:t>6Б-4: Развитие на местния капацитет за устойчиво развитие</w:t>
      </w:r>
      <w:bookmarkEnd w:id="8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1"/>
              </w:numPr>
              <w:rPr>
                <w:b w:val="0"/>
              </w:rPr>
            </w:pPr>
            <w:r>
              <w:rPr>
                <w:b w:val="0"/>
              </w:rPr>
              <w:t>1А) Стимулиране на иновациите, сътрудничеството и развитието на базата от знания в селските райони</w:t>
            </w:r>
          </w:p>
          <w:p>
            <w:pPr>
              <w:numPr>
                <w:numId w:val="81"/>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81"/>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2"/>
              </w:numPr>
              <w:rPr>
                <w:b w:val="0"/>
              </w:rPr>
            </w:pPr>
            <w:r>
              <w:rPr>
                <w:b w:val="0"/>
              </w:rPr>
              <w:t>Околна среда</w:t>
            </w:r>
          </w:p>
          <w:p>
            <w:pPr>
              <w:numPr>
                <w:numId w:val="82"/>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Преминаването на местните общности и икономики към по-устойчиви модели на управление и функциониране изисква наличието на достатъчно познания и умения за устойчиво развитие, като предпоставка за предприемането на интегрирани инициативи за местно развитие. Местните заинтересовани лица трябва да имат достатъчно познания и умения за идентифициране и разработване на интегрирани и иновативни проекти с висока добавена стойност за местната икономика, качество на живота, или опазването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други страни показва, че воденото от общностите местно развитие (ВОМР) е успешен подход за социално-икономическо възстановяване, но изисква достатъчно развит местен капацитет и достатъчна ангажираност и активно участие на местните общности. Това от своя страна изисква постоянни усилия за увеличаване на капацитета на местните общности, чрез създаване и поддръжка на функционираща мрежа за обмен на информация за иновации и добри практики и изграждане на специализирани знания и умения за мобилизация на местните общности. Следва да се прилагат целенасочени усилия за намяляване на социалната изолация сред уязвимите групи, ромите и възрастните хора, като се приобщават и включат при изграждане на умения и знания за общностно развитие и се въвличат активно да  участват в социални, икономически и културен живот на местните общности.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7" w:name="_Toc256000087"/>
      <w:r>
        <w:rPr>
          <w:b w:val="0"/>
        </w:rPr>
        <w:t>6В-1 Осигуряване на достъп до фиксирана широколентова мрежа в селските територии без покритие</w:t>
      </w:r>
      <w:bookmarkEnd w:id="8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3"/>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83"/>
              </w:numPr>
              <w:rPr>
                <w:b w:val="0"/>
              </w:rPr>
            </w:pPr>
            <w:r>
              <w:rPr>
                <w:b w:val="0"/>
              </w:rPr>
              <w:t xml:space="preserve">6Б) Стимулиране на местното развитие в селските райони </w:t>
            </w:r>
          </w:p>
          <w:p>
            <w:pPr>
              <w:numPr>
                <w:numId w:val="83"/>
              </w:numPr>
              <w:rPr>
                <w:b w:val="0"/>
              </w:rPr>
            </w:pPr>
            <w:r>
              <w:rPr>
                <w:b w:val="0"/>
              </w:rPr>
              <w:t>6В) Подобряване на достъпа до информационни и комуникационни технологии (ИКТ), използването и качеството им в селските райони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4"/>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Развитието на мрежите от следващо поколение в селските райони изостава, поради неспособността на нормалните пазарни механизми да осигурят частни инвестиции в по-слабо населените райони с ограничена покупателна способност на населението. Това определя необходимостта от публична подкрепа за развитие на мрежите за достъп от следващо поколение, за да могат жителите и бизнеса да използват възможностите, за интернет-базирани публични и частни услуги, включително такива, свързани с административното обслужване на населението, здравеопазването, образованието и социалните услуги. В рамките на Програмата ще се подпомагат инвестиции селски райони, съответстващи с приоритетите на Стратегията за широколентов достъп на България и Плана за достъп от следващо поколение</w:t>
            </w:r>
            <w:r>
              <w:rPr>
                <w:rFonts w:ascii="Times New Roman" w:eastAsia="Times New Roman" w:hAnsi="Times New Roman" w:cs="Times New Roman"/>
                <w:b/>
                <w:bCs/>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Повишаването на проникването на интернет изисква също така да се насърчава развитието на компютърна грамотност и умения на населението и работната сила, а също и на инвестициите за развитие на услугите </w:t>
            </w:r>
            <w:r>
              <w:rPr>
                <w:rFonts w:ascii="Times New Roman" w:eastAsia="Times New Roman" w:hAnsi="Times New Roman" w:cs="Times New Roman"/>
                <w:i/>
                <w:iCs/>
                <w:szCs w:val="24"/>
              </w:rPr>
              <w:t xml:space="preserve">(Тази потребност се адресира от ОПРЧР и </w:t>
            </w:r>
            <w:r>
              <w:rPr>
                <w:rFonts w:ascii="Times New Roman" w:eastAsia="Times New Roman" w:hAnsi="Times New Roman" w:cs="Times New Roman"/>
                <w:szCs w:val="24"/>
              </w:rPr>
              <w:t>ОПДУ</w:t>
            </w:r>
            <w:r>
              <w:rPr>
                <w:rFonts w:ascii="Times New Roman" w:eastAsia="Times New Roman" w:hAnsi="Times New Roman" w:cs="Times New Roman"/>
                <w:i/>
                <w:iCs/>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sectPr>
          <w:pgMar w:top="900" w:right="900" w:bottom="900" w:left="900" w:header="720" w:footer="720"/>
          <w:cols w:space="720"/>
        </w:sectPr>
      </w:pPr>
    </w:p>
    <w:p>
      <w:pPr>
        <w:pStyle w:val="Heading1"/>
      </w:pPr>
      <w:bookmarkStart w:id="88" w:name="_Toc256000088"/>
      <w:r>
        <w:t>Описание на стратегията</w:t>
      </w:r>
      <w:bookmarkEnd w:id="88"/>
    </w:p>
    <w:p>
      <w:pPr>
        <w:pStyle w:val="Heading2"/>
      </w:pPr>
      <w:bookmarkStart w:id="89" w:name="_Toc256000089"/>
      <w:r>
        <w:t>Обосновка на избора на потребностите, които ще бъдат включени в програмата за развитие на селските райони, както и обосновка на избора на цели, приоритети и области с поставен акцент въз основа на данните от SWOT анализа и оценката на потребностите. Когато е уместно, обосновка на тематичните подпрограми, включени в програмата. С обосновката по-специално трябва да се докаже изпълнението на изискванията, посочени в член 8, параграф 1, буква в), подточки i) и iv) от Регламент (ЕС) № 1305/2013</w:t>
      </w:r>
      <w:bookmarkEnd w:id="8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целите на политиката на ЕС за развитие на селските райони Програмата за развитие на селските райони за периода 2014 – 2020 г. има три цели:</w:t>
            </w:r>
          </w:p>
          <w:p>
            <w:pPr>
              <w:spacing w:before="240" w:after="240"/>
              <w:ind w:left="714" w:right="0"/>
              <w:jc w:val="left"/>
              <w:rPr>
                <w:rFonts w:ascii="Times New Roman" w:eastAsia="Times New Roman" w:hAnsi="Times New Roman" w:cs="Times New Roman"/>
                <w:szCs w:val="24"/>
              </w:rPr>
            </w:pPr>
            <w:r>
              <w:rPr>
                <w:rFonts w:ascii="Times New Roman" w:eastAsia="Times New Roman" w:hAnsi="Times New Roman" w:cs="Times New Roman"/>
                <w:szCs w:val="24"/>
              </w:rPr>
              <w:t>1.Повишаване на конкурентоспособността и балансирано развитие на селското и горското стопанство и преработваща промишленост;</w:t>
            </w:r>
          </w:p>
          <w:p>
            <w:pPr>
              <w:spacing w:before="240" w:after="240"/>
              <w:ind w:left="714" w:right="0"/>
              <w:jc w:val="left"/>
              <w:rPr>
                <w:rFonts w:ascii="Times New Roman" w:eastAsia="Times New Roman" w:hAnsi="Times New Roman" w:cs="Times New Roman"/>
                <w:szCs w:val="24"/>
              </w:rPr>
            </w:pPr>
            <w:r>
              <w:rPr>
                <w:rFonts w:ascii="Times New Roman" w:eastAsia="Times New Roman" w:hAnsi="Times New Roman" w:cs="Times New Roman"/>
                <w:szCs w:val="24"/>
              </w:rPr>
              <w:t>2.Опазване на екосистемите и устойчиво управление, използване на природните ресурси в земеделието, горското стопанство и хранителната промишленост, предотвратяване на климатичните промени и приспособяване към тях;</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3. Социално-икономическо развитие на селските райони, осигуряващо нови работни места, намаляване на бедността, социално включване и по-добро качество на живот.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Програмата е структурирана около пет тематични приоритета и шестнадесет приоритетни области на политиката за развитие на селските райони. Освен това за постигане на специфичните цели на тематичните приоритети са програмирани интервенции, включващи стимулиране на иновациите и трансфер на знания и информация, като по този начин, тя адресира всичките приоритети/приоритетни области на политиката за развитие на селските райони на Общността. Йерархията на целите на Програмата е дадена в Приложение 1 към Раздел 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планираните интервенции по първата цел са отделени 30% от публичните разходи на Програмата, по втората – 42%, а по третата – 27%.</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бюджета е отчетена приоритетността на потребностите, потенциалната ефективност и взаимната допълняемост на мерките, поуките от предишния програмен период, а също и целите на Стратегията Европа 2020 и ОСП, и националните приоритети за тяхното изпълнение, определени в Споразумението за партньорство и други стратегически документи. При разпределянето на бюджета са оценени кръстосаните ефекти и е отчетено, че планираните интервенции по цел 2 имат силен и пряк принос за цел 1, тъй като допринасят за опазване и подобряване на ресурсите в земеделието, повишават ресурсната и енергийна ефективност, насърчават развитието на биологичното производство.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Първата цел </w:t>
            </w:r>
            <w:r>
              <w:rPr>
                <w:rFonts w:ascii="Times New Roman" w:eastAsia="Times New Roman" w:hAnsi="Times New Roman" w:cs="Times New Roman"/>
                <w:szCs w:val="24"/>
              </w:rPr>
              <w:t>на Програмата е насочена към осигуряване на устойчив и балансиран растеж на производството и преработката на селскостопански и горски продукти. В рамките на тази цел Програмата ще адресира приоритетни потребности чрез мерки целящи:</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устойчива структура на земеделското производство и жизнеспособни земеделски структури;</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Насърчаване на качеството, добавената стойност и иновациите в производството, преработката и маркетинга на селскостопански продукти;</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на икономическите резултати на фирмите, работещи в горите и първичната преработка в контекста на устойчивото управление на горите.</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инфраструктура за напояване ще допринесат за подобряване на конкурентността по Приоритет 2.</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Приоритет 2 целят </w:t>
            </w:r>
            <w:r>
              <w:rPr>
                <w:rFonts w:ascii="Times New Roman" w:eastAsia="Times New Roman" w:hAnsi="Times New Roman" w:cs="Times New Roman"/>
                <w:i/>
                <w:iCs/>
                <w:szCs w:val="24"/>
              </w:rPr>
              <w:t>повишаване на жизнеспособността и конкурентоспособността </w:t>
            </w:r>
            <w:r>
              <w:rPr>
                <w:rFonts w:ascii="Times New Roman" w:eastAsia="Times New Roman" w:hAnsi="Times New Roman" w:cs="Times New Roman"/>
                <w:szCs w:val="24"/>
              </w:rPr>
              <w:t>чрез структурно приспособяване, повишаване на производителността и ефективността на производството. В рамките на  ПО 2А приоритет се дава на потребността за модернизиране и технологично обновление на земеделските стопанства (2А-4), а по ПО 2Б на привличането на млади земеделски стопани с подходяща квалификация (2Б-1). Програмата поставя цел за подпомагане на инвестициите в около</w:t>
            </w:r>
            <w:r>
              <w:rPr>
                <w:rFonts w:ascii="Times New Roman" w:eastAsia="Times New Roman" w:hAnsi="Times New Roman" w:cs="Times New Roman"/>
                <w:b/>
                <w:bCs/>
                <w:szCs w:val="24"/>
              </w:rPr>
              <w:t> </w:t>
            </w:r>
            <w:r>
              <w:rPr>
                <w:rFonts w:ascii="Times New Roman" w:eastAsia="Times New Roman" w:hAnsi="Times New Roman" w:cs="Times New Roman"/>
                <w:b/>
                <w:bCs/>
                <w:szCs w:val="24"/>
              </w:rPr>
              <w:t>2</w:t>
            </w:r>
            <w:r>
              <w:rPr>
                <w:rFonts w:ascii="Times New Roman" w:eastAsia="Times New Roman" w:hAnsi="Times New Roman" w:cs="Times New Roman"/>
                <w:b/>
                <w:bCs/>
                <w:szCs w:val="24"/>
              </w:rPr>
              <w:t>500 земеделски стопанства и навлизането в земеделието на 3</w:t>
            </w:r>
            <w:r>
              <w:rPr>
                <w:rFonts w:ascii="Times New Roman" w:eastAsia="Times New Roman" w:hAnsi="Times New Roman" w:cs="Times New Roman"/>
                <w:b/>
                <w:bCs/>
                <w:szCs w:val="24"/>
              </w:rPr>
              <w:t>300</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млади стопани</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Потребността за подобряване на знанията и умения на управителите на земеделски стопанства и работната сила (1В-1) ще се адресира с мерки за осведомяване, обучение и консултации.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Приоритет 2 се цели също подобряване на икономическите резултати на фирмите, горското стопанство, дърводобива и първичната преработка на дървесина чрез насърчаване на инвестициите в увеличаване на продуктивността на горите и технологично обновление, водещо до повишаване на производителността, енергийната и ресурсна ефективност и устойчиво управление на горите (2В-1).</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интервенциите за </w:t>
            </w:r>
            <w:r>
              <w:rPr>
                <w:rFonts w:ascii="Times New Roman" w:eastAsia="Times New Roman" w:hAnsi="Times New Roman" w:cs="Times New Roman"/>
                <w:i/>
                <w:iCs/>
                <w:szCs w:val="24"/>
              </w:rPr>
              <w:t>насърчаване на организацията на хранителната верига</w:t>
            </w:r>
            <w:r>
              <w:rPr>
                <w:rFonts w:ascii="Times New Roman" w:eastAsia="Times New Roman" w:hAnsi="Times New Roman" w:cs="Times New Roman"/>
                <w:szCs w:val="24"/>
              </w:rPr>
              <w:t> и </w:t>
            </w:r>
            <w:r>
              <w:rPr>
                <w:rFonts w:ascii="Times New Roman" w:eastAsia="Times New Roman" w:hAnsi="Times New Roman" w:cs="Times New Roman"/>
                <w:i/>
                <w:iCs/>
                <w:szCs w:val="24"/>
              </w:rPr>
              <w:t>управлението на риска </w:t>
            </w:r>
            <w:r>
              <w:rPr>
                <w:rFonts w:ascii="Times New Roman" w:eastAsia="Times New Roman" w:hAnsi="Times New Roman" w:cs="Times New Roman"/>
                <w:szCs w:val="24"/>
              </w:rPr>
              <w:t>по Приоритет 3 се цели укрепване на връзките в хранителната верига и насърчаване на кооперирането, насочено към постепенното изграждане на конкурентни предимства на база качество и добавена стойност на продуктите и иновации. По този приоритет са приоритизирани потребностите за повишаване на вертикалната и хоризонтална интеграция в хранителната верига (3А-1&amp;4) и се цели включването на около </w:t>
            </w:r>
            <w:r>
              <w:rPr>
                <w:rFonts w:ascii="Times New Roman" w:eastAsia="Times New Roman" w:hAnsi="Times New Roman" w:cs="Times New Roman"/>
                <w:b/>
                <w:bCs/>
                <w:szCs w:val="24"/>
              </w:rPr>
              <w:t>400</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стопанства</w:t>
            </w:r>
            <w:r>
              <w:rPr>
                <w:rFonts w:ascii="Times New Roman" w:eastAsia="Times New Roman" w:hAnsi="Times New Roman" w:cs="Times New Roman"/>
                <w:szCs w:val="24"/>
              </w:rPr>
              <w:t> в мерки за коопериране. Друг приоритет е насърчаването на иновациите и технологичното обновление в хранителната промишленост (3А-3), в съответствие на приоритетите на националната Иновационната стратегия за интелигентна специализация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3Б програмата цели преодоляване на рисковете, пред които сa изправени земеделските стопанства. В рамките на ПО 3Б се адресират и нуждите на земеделските стопани, които имат нужда от повишаване превенцията в стопанствата, както и такива ,чиито производствен потенциал е претърпял щети в резултат на природни бедствия и катастрофични събития в резултат на усложнена епизоотична обстановка, която води до значителни затруднения в селскостопанското производство и има значителни икономически щети. Поставената цел в Програмата по отношение на превенция и възстановяване на производствения потенциал е 70 подкрепени животновъдни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цел 1 на Програмата се дава хоризонтален приоритет на повишаване на конкурентоспособността в секторите месо, мляко, плодове, зеленчуци, етерично-маслени култури и биологично производство (2А-1), като на тях ще се дава предимство при избора на проекти по мерките.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Потребността за развитие малките земеделски стопанства (2А-2) се адресира с Тематична подпрограма, която цели улесняване на преструктурирането, повишаване на жизнеспособността и устойчивото развитие на малките земеделски стопанства. Програмата ще подпомага предоставянeто на консултантски услуги, дейности и инвестиции целящи увеличаване на мащаба на производство, структурно приспособяване, повишаване на производителността и качеството на продукцията на малките стопанства, а по този начин и на повишаването на доходите и запазването на работни места. Тематичната подпрограма цели да подобри насочването на ресурсите и да намали административната тежест при кандидатстване, да стимулира развитието на специализирани услуги за малките стопанства, а също и да повиши обществената информираност и ангажираност за осигуряване на устойчиво развитие на малките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Приоритетната потребност за подобряване на достъпа до външно финансиране (2А-3) ще бъде адресирана с прилагането на Гаранционната схема, използваща акумулираните ресурси на схемата от ПРСР 2007-2013 г., и с разработване на нови финансови инструменти на основата на предварителна оценка на потребностите, което ще бъде проведена през 2015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Втората цел </w:t>
            </w:r>
            <w:r>
              <w:rPr>
                <w:rFonts w:ascii="Times New Roman" w:eastAsia="Times New Roman" w:hAnsi="Times New Roman" w:cs="Times New Roman"/>
                <w:szCs w:val="24"/>
              </w:rPr>
              <w:t>на програмата е насочена към опазване на екосистемите, осигуряване на устойчиво управление и използване на природните ресурси, предотвратяване и адаптиране към климатичните промени.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цел са програмирани интервенции по два приоритета.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приоритет 4 се цели опазване на биоразнобразието и природните ресурси. Програмата цели да подпомогне дейности за опазване на биоразнообразието на </w:t>
            </w:r>
            <w:r>
              <w:rPr>
                <w:rFonts w:ascii="Times New Roman" w:eastAsia="Times New Roman" w:hAnsi="Times New Roman" w:cs="Times New Roman"/>
                <w:b/>
                <w:bCs/>
                <w:szCs w:val="24"/>
              </w:rPr>
              <w:t>543</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хил. ха</w:t>
            </w:r>
            <w:r>
              <w:rPr>
                <w:rFonts w:ascii="Times New Roman" w:eastAsia="Times New Roman" w:hAnsi="Times New Roman" w:cs="Times New Roman"/>
                <w:szCs w:val="24"/>
              </w:rPr>
              <w:t> земеделска земя и </w:t>
            </w:r>
            <w:r>
              <w:rPr>
                <w:rFonts w:ascii="Times New Roman" w:eastAsia="Times New Roman" w:hAnsi="Times New Roman" w:cs="Times New Roman"/>
                <w:b/>
                <w:bCs/>
                <w:szCs w:val="24"/>
              </w:rPr>
              <w:t>10</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хил. ха</w:t>
            </w:r>
            <w:r>
              <w:rPr>
                <w:rFonts w:ascii="Times New Roman" w:eastAsia="Times New Roman" w:hAnsi="Times New Roman" w:cs="Times New Roman"/>
                <w:szCs w:val="24"/>
              </w:rPr>
              <w:t> горски територии, а също опазване на почвеното плодородие и предотвратяване на ерозията на </w:t>
            </w:r>
            <w:r>
              <w:rPr>
                <w:rFonts w:ascii="Times New Roman" w:eastAsia="Times New Roman" w:hAnsi="Times New Roman" w:cs="Times New Roman"/>
                <w:b/>
                <w:bCs/>
                <w:szCs w:val="24"/>
              </w:rPr>
              <w:t>53 хил. ха</w:t>
            </w:r>
            <w:r>
              <w:rPr>
                <w:rFonts w:ascii="Times New Roman" w:eastAsia="Times New Roman" w:hAnsi="Times New Roman" w:cs="Times New Roman"/>
                <w:szCs w:val="24"/>
              </w:rPr>
              <w:t>, и подобряване на управлението на водите на </w:t>
            </w:r>
            <w:r>
              <w:rPr>
                <w:rFonts w:ascii="Times New Roman" w:eastAsia="Times New Roman" w:hAnsi="Times New Roman" w:cs="Times New Roman"/>
                <w:b/>
                <w:bCs/>
                <w:szCs w:val="24"/>
              </w:rPr>
              <w:t>119</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хил. ха</w:t>
            </w:r>
            <w:r>
              <w:rPr>
                <w:rFonts w:ascii="Times New Roman" w:eastAsia="Times New Roman" w:hAnsi="Times New Roman" w:cs="Times New Roman"/>
                <w:szCs w:val="24"/>
              </w:rPr>
              <w:t>. земеделски земи.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приоритет 4 основната цел на Програмата е опазване на биоразнобразието, като при оценката на потребностите е отчетена основната цел на Европейската стратегия за биоразнообразието – Европа 2020 и националните стратегически документи за нейното прилагане. Водещата цел за Стратегията на ЕС за биологичното разнообразие до 2020 г., е именно спирането на загубата на биологично разнообразие и влошаването на услугите от екосистемите в ЕС до 2020 г. Национална приоритетна рамка за действие за Натура 2000, дефинира 5 приоритета за програмния период 2014-2020. Приоритет 2 включва  устойчивото управление на земеделските земи, горите и водните басейни  и е пряко свързан с извършване на дейности  за опазване на видовете и типовете природни местообитания, включително тяхното поддържане и възстановяване  чрез екосистемния и регионален подход. Основната цел е възстановяване на минимум 15% от деградиралите екосистеми.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4А се адресират проблемите за съхранение на ценните местообитания и видове в земеделските и горските територии, включително местата по Натура 2000, като се насърчават земеделските и горските стопани да опазват биоразнообразието и да осигуряват публични екологични блага, които надхвърлят минимално изискуемите (4А-1&amp;2) и да продължават земеделски дейности в райони с природни ограничения (4А-5). Адресирана е потребността за опазване на генетичното разнообразие в селското стопанство (4А-4). Опазването на биоразнообразието ще бъде подпомогнато и в горските територии чрез мерки за предотвратяване на горските пожари (4А-6).</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4Б се адресира потребността от намаляване на замърсяването на водите от селското стопанство (4Б-1) чрез подпомагане на инвестиции на стопанствата в съоръжения и оборудване и насърчаване на биологичното производство (4Б-2). Подпомагането на биологичното производство отговаря на препоръките на Европейската Комисия за използване на инструментите и възможностите, предлагани от ЕФРЗСР, заложени в Европейския план за действие за бъдещето на биологичното производство в Европейския съюз. Биологичното земеделие оказва  положително влияние и за постигане на целите на Европейската стратегия за опазване на биологичното разнообразие Европа 2020, Съобщението за зелена инфраструктура, Тематичната стратегия за почвите и европейското законодателство – директивите за птиците и местообитанията, Нитратната директива, директивата за водите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4В програмата цели опазване на почвените ресурси чрез подкрепа на инвестиции в оборудване и технологии за екологосъобразни практики (4В-1).</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Приоритет 5 се цели насърчаване на ефективността на използване на ресурсите и подкрепа на прехода към нисковъглеродна и устойчива на изменението на климата икономика. По този приоритет Програмата включва мерки, които адресират целите и приоритетите, поставени от Третия национален план за действие по изменение на климата 2013-2020 г. за секторите селско стопанство, земеползване и горско стопанство и промишленост. Планирани са интервенции по пет приоритетни области.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5А се цели адаптация към климатичните промени чрез подпомагане на инвестиции във водоспестяващи поливни технологии (5А-1). Програмата ще подпомогне подобряване на хидромелиоративна инфраструктура извън стопанствата; подходящото насочване на ограничените ресурси се основава на приоритетите и механизмите за подпомагане на Стратегията за укрепване конкурентноспособността на селското стопанство и устойчиво управление в хидромелиоративния сектор и опазване от вредното въздействие на водите.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5Б се адресират потребностите за увеличаване на енергийната ефективност (5Б-1) в земеделските стопанства и хранителната промишленост, като се цели насърчаване на инвестиции в енергийна ефективност на стойност </w:t>
            </w:r>
            <w:r>
              <w:rPr>
                <w:rFonts w:ascii="Times New Roman" w:eastAsia="Times New Roman" w:hAnsi="Times New Roman" w:cs="Times New Roman"/>
                <w:b/>
                <w:bCs/>
                <w:szCs w:val="24"/>
              </w:rPr>
              <w:t>258</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млн. евро</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5В се цели насърчаване на използването на ВЕИ чрез подпомагане на инвестициите за производство на ВЕИ за собствено потребление от преработка на вторични продукти, отпадъци, остатъци и други суровини в био енергия (5В-1). Програмата цели инвестиции във ВЕИ на стойност </w:t>
            </w:r>
            <w:r>
              <w:rPr>
                <w:rFonts w:ascii="Times New Roman" w:eastAsia="Times New Roman" w:hAnsi="Times New Roman" w:cs="Times New Roman"/>
                <w:b/>
                <w:bCs/>
                <w:szCs w:val="24"/>
              </w:rPr>
              <w:t>117</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млн. евро</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5Г се цели намаляване на емисиите на парникови газове като приоритет е даден на инвестициите в подобряване и съхранение на оборски тор и въвеждане на нисковъглеродни практики за преработка на оборски тор в стопанства с </w:t>
            </w:r>
            <w:r>
              <w:rPr>
                <w:rFonts w:ascii="Times New Roman" w:eastAsia="Times New Roman" w:hAnsi="Times New Roman" w:cs="Times New Roman"/>
                <w:b/>
                <w:bCs/>
                <w:szCs w:val="24"/>
              </w:rPr>
              <w:t>2</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хил. ж.е</w:t>
            </w:r>
            <w:r>
              <w:rPr>
                <w:rFonts w:ascii="Times New Roman" w:eastAsia="Times New Roman" w:hAnsi="Times New Roman" w:cs="Times New Roman"/>
                <w:szCs w:val="24"/>
              </w:rPr>
              <w:t>. Програмата ще насърчава и практики за устойчиво управление на обработваемите земи, които са основния източник на парникови газове в сектора.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5Д се цели стимулиране на съхраняването и поглъщането на въглерод чрез мерки насочени към повишаване на жизнеността и устойчивостта на горите (5Д1-3). В съответствие с Националната стратегия за развитие на горския сектор 2013-2020 г приоритет е даден на мерките залесяване,  възстановяване на полезащитните пояси, и възстановяване на щети по горите, пострадали  от горски пожари и природни бедствия.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предотвратяване на замърсяването на въздуха и постигане на целите в приетия пакет документи за чист  въздуха от 18/12/2013 ще бъде осигурен приоритет за  инвестиционни проекти, представени от земеделски производители, преработватели и микропредприятия в селските райони, включващи технологии, водещи до намаляване на вредните емисии.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всички приоритети по цел 2 са планирани мерки за осведомяване, обучение, консултации, а също насърчаване на сътрудничеството за разработване на добри практики и иновации, които са от съществено значение за постигане на целите на Програмата.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цел 2 ще допринесат съществено за останалите цели на Програмата чрез създаваните екосистемни услуги и ползи, които подобряват ресурсите за земеделие и общественото благосъстояние.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Третата цел </w:t>
            </w:r>
            <w:r>
              <w:rPr>
                <w:rFonts w:ascii="Times New Roman" w:eastAsia="Times New Roman" w:hAnsi="Times New Roman" w:cs="Times New Roman"/>
                <w:szCs w:val="24"/>
              </w:rPr>
              <w:t>на Програмата е насочена към стимулиране на социално-икономическото развитие на селските райони. В рамките на тази цел се ще се подпомагат интервенции в три приоритетни области, които съвместно целят да развият икономическия потенциал, да съхранят демографския потенциал и да допринесат за социално включване на уязвими групи и ромите, като по този начин способстват за икономическо възстановяване и овладяване на процеса на обезлюдяване и социално изключване.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6А се цели улесняване на диверсификация на икономиката и разкриването на работни места в селските райони, чрез насърчаване на инвестициите в създаването и развитието на неземеделски бизнес (6А1&amp;2). Програмата ще подпомага инвестиции в развитие на неземеделски дейности, с приоритет към тези, оползотворяващи вътрешните ресурси на селските райони или възможностите, които разкрива развитието на новите технологии. В съответствие със Споразумението за партньорство приоритет ще имат инвестициите в Северозападния регион.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6А Програмата цели подпомагането на </w:t>
            </w:r>
            <w:r>
              <w:rPr>
                <w:rFonts w:ascii="Times New Roman" w:eastAsia="Times New Roman" w:hAnsi="Times New Roman" w:cs="Times New Roman"/>
                <w:b/>
                <w:bCs/>
                <w:szCs w:val="24"/>
              </w:rPr>
              <w:t>400</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проекта</w:t>
            </w:r>
            <w:r>
              <w:rPr>
                <w:rFonts w:ascii="Times New Roman" w:eastAsia="Times New Roman" w:hAnsi="Times New Roman" w:cs="Times New Roman"/>
                <w:szCs w:val="24"/>
              </w:rPr>
              <w:t> за развитие на неземеделските сектори на икономиката, водещи до създаването на </w:t>
            </w:r>
            <w:r>
              <w:rPr>
                <w:rFonts w:ascii="Times New Roman" w:eastAsia="Times New Roman" w:hAnsi="Times New Roman" w:cs="Times New Roman"/>
                <w:b/>
                <w:bCs/>
                <w:szCs w:val="24"/>
              </w:rPr>
              <w:t>3</w:t>
            </w:r>
            <w:r>
              <w:rPr>
                <w:rFonts w:ascii="Times New Roman" w:eastAsia="Times New Roman" w:hAnsi="Times New Roman" w:cs="Times New Roman"/>
                <w:b/>
                <w:bCs/>
                <w:szCs w:val="24"/>
              </w:rPr>
              <w:t> 300 нови работни места</w:t>
            </w:r>
            <w:r>
              <w:rPr>
                <w:rFonts w:ascii="Times New Roman" w:eastAsia="Times New Roman" w:hAnsi="Times New Roman" w:cs="Times New Roman"/>
                <w:szCs w:val="24"/>
              </w:rPr>
              <w:t>. Програмата допринася за целта за приобщаващ растеж на Стратегията Европа 2020 и като приоритизира създаването и запазването на работни места по част от мерките, насърчава развитието на трудоемки сектори на земеделието и способства за повишаване на жизнеспособността на малките земеделски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ПО 6Б целят да укрепят териториалната конкурентоспособност на селските територии чрез подобряване на качеството на живот и условията за бизнес.  По ПО 6Б са програмирани две групи интервенции.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Първата група адресира потребностите за подобряване на социалната, техническата и туристическата инфраструктура (6Б-1-3) чрез подпомагане на инвестиции, които подобряват качеството на живот и достъпа до услуги на </w:t>
            </w:r>
            <w:r>
              <w:rPr>
                <w:rFonts w:ascii="Times New Roman" w:eastAsia="Times New Roman" w:hAnsi="Times New Roman" w:cs="Times New Roman"/>
                <w:b/>
                <w:bCs/>
                <w:szCs w:val="24"/>
              </w:rPr>
              <w:t>1</w:t>
            </w:r>
            <w:r>
              <w:rPr>
                <w:rFonts w:ascii="Times New Roman" w:eastAsia="Times New Roman" w:hAnsi="Times New Roman" w:cs="Times New Roman"/>
                <w:szCs w:val="24"/>
              </w:rPr>
              <w:t> </w:t>
            </w:r>
            <w:r>
              <w:rPr>
                <w:rFonts w:ascii="Times New Roman" w:eastAsia="Times New Roman" w:hAnsi="Times New Roman" w:cs="Times New Roman"/>
                <w:b/>
                <w:bCs/>
                <w:szCs w:val="24"/>
              </w:rPr>
              <w:t>995 хил. жители</w:t>
            </w:r>
            <w:r>
              <w:rPr>
                <w:rFonts w:ascii="Times New Roman" w:eastAsia="Times New Roman" w:hAnsi="Times New Roman" w:cs="Times New Roman"/>
                <w:szCs w:val="24"/>
              </w:rPr>
              <w:t> на селските райони. Програмата ще подпомага инвестиции в инфраструктура насърчаващи растежа, заетостта и икономическото съживяване на селските райони, които съответстват на приоритетите на националните секторни стратегии и на нуждите, определени в общинските и местните стратегии за развитие. Нуждите от подобряване на социалната и техническа инфраструктура в селските райони ще се адресират и по други оперативни програми, като демаркацията е детайлизирана в описанието на мерките.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Втората група мерки цели развитие и оползотворяване на социално-икономическия потенциал на селските райони чрез стимулиране на воденото от общностите местно развитие по подхода ЛИДЕР. Чрез дейността на Националната селска мрежа Програмата ще цели активиране на местните общности, преодоляване на социалното изключване на уязвими групи и развитието на капацитет за устойчиво развитие (6Б-4) на цялата територия на селските райони. При наличие на минимален капацитет, ще се подпомогнат пряко местни инициативи за изграждане на капацитет и подготовка на местни стратегии за развитие. Програмата ще финансира изпълнението на местни стратегии за развитие, които имат достатъчна зрялост и ясна добавена стойност за развитието на териториите, като цели подкрепата на </w:t>
            </w:r>
            <w:r>
              <w:rPr>
                <w:rFonts w:ascii="Times New Roman" w:eastAsia="Times New Roman" w:hAnsi="Times New Roman" w:cs="Times New Roman"/>
                <w:b/>
                <w:bCs/>
                <w:szCs w:val="24"/>
              </w:rPr>
              <w:t>60 МИГ</w:t>
            </w:r>
            <w:r>
              <w:rPr>
                <w:rFonts w:ascii="Times New Roman" w:eastAsia="Times New Roman" w:hAnsi="Times New Roman" w:cs="Times New Roman"/>
                <w:szCs w:val="24"/>
              </w:rPr>
              <w:t>, обхващащи </w:t>
            </w:r>
            <w:r>
              <w:rPr>
                <w:rFonts w:ascii="Times New Roman" w:eastAsia="Times New Roman" w:hAnsi="Times New Roman" w:cs="Times New Roman"/>
                <w:b/>
                <w:bCs/>
                <w:szCs w:val="24"/>
              </w:rPr>
              <w:t>48%</w:t>
            </w:r>
            <w:r>
              <w:rPr>
                <w:rFonts w:ascii="Times New Roman" w:eastAsia="Times New Roman" w:hAnsi="Times New Roman" w:cs="Times New Roman"/>
                <w:szCs w:val="24"/>
              </w:rPr>
              <w:t> от населението на селските райони по националната дефиниция. За да могат МИГ в стратегиите си да адресират адекватно най-важните проблеми на територията, се планира прилагане и на многофондово финансиране за интегриране и допълване на интервенциите на регионалната и социалната политика и на политиките за развитие на селските райони и за морско дело и рибарство.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6В Програмата цели осигуряване на равен достъп на всички домакинства и бизнес от селските райони до широколентова мрежа в изпълнение на целите, поставени от Програмата в областта на цифровите технологии за Европа и националните стратегии за нейното прилагане (6В-1). Програмата ще подпомогне изграждането на инфраструктура за широколентов достъп от следващо поколение само в зони, в които поради пазарни дефекти няма инвеститорски интерес, и по този начин ще допринесе за създаване на допълнителен капацитет и скорост на връзките, по-добро качество на услугите и подобряване на достъпа на потребителите до онлайн ресурси.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Предпоставка за ефективното постигане на цел 3 е успешното прилагане на мерките по останалите оперативни програми, определени в Споразумението за партньорство - подобряване на бизнес средата, знанията и уменията на предприемачите и работната сила, включително за целите на новите сектори на местната зелена икономика и ИКТ и подобряването на социалната и техническа инфраструктура.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цел 3 допринасят за постигането и на останалите цели на Програмата. Развитието на неземеделски дейности подпомага преструктурирането и жизнеспособността на земеделските стопанства (цел 1), като осигурява възможности за допълнителни доходи извън земеделието. Те също ще имат принос за цел 2 и хоризонталните приоритети за опазване на околната среда и климата, като подпомагат публични и частни инвестиции за повишаване на енергийната ефективност и развитието на секторите на зелената икономика.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sectPr>
          <w:pgMar w:top="900" w:right="900" w:bottom="900" w:left="900" w:header="720" w:footer="720"/>
          <w:cols w:space="720"/>
        </w:sectPr>
      </w:pPr>
    </w:p>
    <w:p>
      <w:pPr>
        <w:pStyle w:val="Heading2"/>
      </w:pPr>
      <w:bookmarkStart w:id="90" w:name="_Toc256000090"/>
      <w:r>
        <w:t>Комбинацията и обосновката на мерките за развитие на селските райони за всяка област с поставен акцент, включително обосновката на финансовите средства, отпуснати за мерките, както и адекватността на финансовите ресурси с поставените цели, както е посочено в член 8, параграф 1, буква в), подточки ii) и iii) от Регламент (ЕС) № 1305/2013. Комбинацията от мерки, включени в интервенционната логика, се базира на данни от SWOT анализа и обосновка и приоритизиране на потребностите, посочени в точка 5.1</w:t>
      </w:r>
      <w:bookmarkEnd w:id="90"/>
    </w:p>
    <w:p>
      <w:pPr>
        <w:pStyle w:val="Heading3"/>
        <w:jc w:val="left"/>
        <w:rPr>
          <w:b w:val="0"/>
        </w:rPr>
      </w:pPr>
      <w:bookmarkStart w:id="91" w:name="_Toc256000091"/>
      <w:r>
        <w:rPr>
          <w:b w:val="0"/>
        </w:rPr>
        <w:t>P1: Стимулиране на трансфера на знания и иновациите в областта на селското и горското стопанство и селските райони</w:t>
      </w:r>
      <w:bookmarkEnd w:id="91"/>
    </w:p>
    <w:p>
      <w:pPr>
        <w:pStyle w:val="Heading4"/>
        <w:jc w:val="left"/>
        <w:rPr>
          <w:b w:val="0"/>
        </w:rPr>
      </w:pPr>
      <w:r>
        <w:rPr>
          <w:b w:val="0"/>
        </w:rPr>
        <w:t>1А) Стимулиране на иновациите, сътрудничеството и развитието на базата от знания в селските райони</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5"/>
              </w:numPr>
              <w:rPr>
                <w:b w:val="0"/>
              </w:rPr>
            </w:pPr>
            <w:r>
              <w:rPr>
                <w:b w:val="0"/>
              </w:rPr>
              <w:t>М01 — Трансфер на знания и действия за осведомяване (член 14)</w:t>
            </w:r>
          </w:p>
          <w:p>
            <w:pPr>
              <w:numPr>
                <w:numId w:val="85"/>
              </w:numPr>
              <w:rPr>
                <w:b w:val="0"/>
              </w:rPr>
            </w:pPr>
            <w:r>
              <w:rPr>
                <w:b w:val="0"/>
              </w:rPr>
              <w:t>М02 —  Консултантски услуги, услуги по управление на стопанство и услуги по заместване в стопанство (член 15)</w:t>
            </w:r>
          </w:p>
          <w:p>
            <w:pPr>
              <w:numPr>
                <w:numId w:val="85"/>
              </w:numPr>
              <w:rPr>
                <w:b w:val="0"/>
              </w:rPr>
            </w:pPr>
            <w:r>
              <w:rPr>
                <w:b w:val="0"/>
              </w:rP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pPr>
          </w:p>
        </w:tc>
      </w:tr>
    </w:tbl>
    <w:p/>
    <w:p>
      <w:pPr>
        <w:pStyle w:val="Heading4"/>
        <w:jc w:val="left"/>
      </w:pPr>
      <w: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6"/>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pPr>
          </w:p>
        </w:tc>
      </w:tr>
    </w:tbl>
    <w:p/>
    <w:p>
      <w:pPr>
        <w:pStyle w:val="Heading4"/>
        <w:jc w:val="left"/>
      </w:pPr>
      <w:r>
        <w:t>1В) поощряване на ученето през целия живот и професионалното обучение в секторите на селското и горското стопанство</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7"/>
              </w:numPr>
            </w:pPr>
            <w:r>
              <w:t>М01 — Трансфер на знания и действия за осведомяване (член 14)</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92" w:name="_Toc256000092"/>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bookmarkEnd w:id="92"/>
    </w:p>
    <w:p>
      <w:pPr>
        <w:pStyle w:val="Heading4"/>
        <w:jc w:val="left"/>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8"/>
              </w:numPr>
              <w:rPr>
                <w:b w:val="0"/>
              </w:rPr>
            </w:pPr>
            <w:r>
              <w:rPr>
                <w:b w:val="0"/>
              </w:rPr>
              <w:t>М01 — Трансфер на знания и действия за осведомяване (член 14)</w:t>
            </w:r>
          </w:p>
          <w:p>
            <w:pPr>
              <w:numPr>
                <w:numId w:val="88"/>
              </w:numPr>
              <w:rPr>
                <w:b w:val="0"/>
              </w:rPr>
            </w:pPr>
            <w:r>
              <w:rPr>
                <w:b w:val="0"/>
              </w:rPr>
              <w:t>М02 —  Консултантски услуги, услуги по управление на стопанство и услуги по заместване в стопанство (член 15)</w:t>
            </w:r>
          </w:p>
          <w:p>
            <w:pPr>
              <w:numPr>
                <w:numId w:val="88"/>
              </w:numPr>
              <w:rPr>
                <w:b w:val="0"/>
              </w:rPr>
            </w:pPr>
            <w:r>
              <w:rPr>
                <w:b w:val="0"/>
              </w:rPr>
              <w:t>M04 — Инвестиции в материални активи (член 17)</w:t>
            </w:r>
          </w:p>
          <w:p>
            <w:pPr>
              <w:numPr>
                <w:numId w:val="88"/>
              </w:numPr>
              <w:rPr>
                <w:b w:val="0"/>
              </w:rPr>
            </w:pPr>
            <w:r>
              <w:rPr>
                <w:b w:val="0"/>
              </w:rPr>
              <w:t>M06 — Развитие на стопанства и предприятия (член 19)</w:t>
            </w:r>
          </w:p>
          <w:p>
            <w:pPr>
              <w:numPr>
                <w:numId w:val="88"/>
              </w:numPr>
              <w:rPr>
                <w:b w:val="0"/>
              </w:rPr>
            </w:pPr>
            <w:r>
              <w:rPr>
                <w:b w:val="0"/>
              </w:rPr>
              <w:t>M16 — Сътрудничество (член 35)</w:t>
            </w:r>
          </w:p>
          <w:p>
            <w:pPr>
              <w:numPr>
                <w:numId w:val="88"/>
              </w:numPr>
              <w:rPr>
                <w:b w:val="0"/>
              </w:rPr>
            </w:pPr>
            <w:r>
              <w:rPr>
                <w:b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p>
            <w:pPr>
              <w:numPr>
                <w:numId w:val="88"/>
              </w:numPr>
              <w:rPr>
                <w:b w:val="0"/>
              </w:rPr>
            </w:pPr>
            <w:r>
              <w:rPr>
                <w:b w:val="0"/>
              </w:rPr>
              <w:t>M22 — Извънредно временно подпомагане за земеделските стопани и МСП, които са особено засегнати от последиците от руското нашествие в Украйна (член 39в)</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2А цели модернизиране и структурно приспособяване на земеделието и на нея е отделен бюджет от 563 млн. евро публични разходи (15% от общия).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приоритетна област се предвижда подпомагане на инвестициите във физически капитал чрез М04.1 за целите на подобряване производителността на труда, качеството на продукцията, с приоритет към преструктуриране и растеж на секторите месо, мляко, плодове, зеленчуци, етерично-маслени култури и биологично производство. Чрез тази мярка се цели подпомагането на инвестициите в 2000 стопанства и на нея е отделен 75% от бюджета на ПО2А. Инвестициите в самите стопанства за напояване ще бъдат специално подпомагани като предпоставка за увеличена производителност, конкурентноспособност, по – ниско ниво на стопански риск и по – добра адаптация към климатичните промени. Интервенциите по М04.1 се допълват от М01 и М02, насочени към повишаване квалификацията, знанията и уменията на земеделските стопани и заетите в земеделието и имат ключов принос за модернизацията на производствените практики и повишаване на производителността на труда. М16 е насочена към улесняване на трансфера на иновации и разработването на иновативни проекти.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целите на ПО 2А е насочена и тематична подпрограма за малките земеделски стопанства, която цели да подпомогне тяхното преструктуриране, устойчиво икономическо развитие и жизнеспособност. Общият бюджет на подпрограмата е 105 млн. евро публични разходи, като по ПО 2А са програмирани почти 90% от тях. Основната част от средствата на подпрограмата са насочени към М06.3 – 80 млн.евро, като се цели подпомагане на около 4200 малки земеделски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9"/>
              </w:numPr>
            </w:pPr>
            <w:r>
              <w:t>М01 — Трансфер на знания и действия за осведомяване (член 14)</w:t>
            </w:r>
          </w:p>
          <w:p>
            <w:pPr>
              <w:numPr>
                <w:numId w:val="89"/>
              </w:numPr>
            </w:pPr>
            <w:r>
              <w:t>М02 —  Консултантски услуги, услуги по управление на стопанство и услуги по заместване в стопанство (член 15)</w:t>
            </w:r>
          </w:p>
          <w:p>
            <w:pPr>
              <w:numPr>
                <w:numId w:val="89"/>
              </w:numPr>
            </w:pPr>
            <w:r>
              <w:t>M04 — Инвестиции в материални активи (член 17)</w:t>
            </w:r>
          </w:p>
          <w:p>
            <w:pPr>
              <w:numPr>
                <w:numId w:val="89"/>
              </w:numPr>
            </w:pPr>
            <w:r>
              <w:t>M06 — Развитие на стопанства и предприятия (член 19)</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2Б всички мерки целят да насърчат навлизането на млади земеделски стопани и да подпомогнат развитието на техните стопанства. Бюджетът на ПО 2Б е 178 млн. евро публични разходи (5 % от общия). Основната част от бюджета (95 млн.евро) е програмиран по М06.1, за да се  улесни навлизането на млади хора в земеделието. По тази ПО ще се осигурява също инвестиционна подкрепа за развитие на стопанствата на млади земеделски стопани (М04). Освен това чрез М01 и М02 се осигурява достъп до обучение, информация и консултантски услуги, за повишаване на професионалните и управленски компетенции на младите стопани, които да повишават ефективността и устойчивостта на техните стопанства.</w:t>
            </w:r>
          </w:p>
          <w:p>
            <w:pPr>
              <w:pStyle w:val="BodyText"/>
              <w:jc w:val="both"/>
            </w:pPr>
          </w:p>
        </w:tc>
      </w:tr>
    </w:tbl>
    <w:p/>
    <w:p>
      <w:pPr>
        <w:pStyle w:val="Heading4"/>
        <w:jc w:val="left"/>
      </w:pPr>
      <w:r>
        <w:t>2C+) Подобряване на икономическите резултати на фирмите в горското стопанство, дърводобива и първичната преработка на дървесина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0"/>
              </w:numPr>
            </w:pPr>
            <w:r>
              <w:t>М08 — Инвестиции в развитие на горските райони и подобряване на жизнеспособността на горите (членове 21 — 26)</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2В цели подобряване на икономическите резултати на фирмите в горското стопанство, дърводобива и първичната преработка на дървесина, водещо до повишаване на тяхната производителност и конкурентоспособност и допринасящо за устойчивото управление на горите.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 е програмирано прилагането на М08.6. Чрез подмярката се цели подпомагане на модернизацията на 100 фирми в горите и първичната дървопреработка, а също подпомагането на инвестициите, водещи до повишаване на продуктивността на горите, за които е предвиден бюджет в размер на 17.4 млн. евро публични разходи или 0.5% от бюджета на ПРСР.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93" w:name="_Toc256000093"/>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93"/>
    </w:p>
    <w:p>
      <w:pPr>
        <w:pStyle w:val="Heading4"/>
        <w:jc w:val="left"/>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1"/>
              </w:numPr>
              <w:rPr>
                <w:b w:val="0"/>
              </w:rPr>
            </w:pPr>
            <w:r>
              <w:rPr>
                <w:b w:val="0"/>
              </w:rPr>
              <w:t>М01 — Трансфер на знания и действия за осведомяване (член 14)</w:t>
            </w:r>
          </w:p>
          <w:p>
            <w:pPr>
              <w:numPr>
                <w:numId w:val="91"/>
              </w:numPr>
              <w:rPr>
                <w:b w:val="0"/>
              </w:rPr>
            </w:pPr>
            <w:r>
              <w:rPr>
                <w:b w:val="0"/>
              </w:rPr>
              <w:t>М02 —  Консултантски услуги, услуги по управление на стопанство и услуги по заместване в стопанство (член 15)</w:t>
            </w:r>
          </w:p>
          <w:p>
            <w:pPr>
              <w:numPr>
                <w:numId w:val="91"/>
              </w:numPr>
              <w:rPr>
                <w:b w:val="0"/>
              </w:rPr>
            </w:pPr>
            <w:r>
              <w:rPr>
                <w:b w:val="0"/>
              </w:rPr>
              <w:t>M04 — Инвестиции в материални активи (член 17)</w:t>
            </w:r>
          </w:p>
          <w:p>
            <w:pPr>
              <w:numPr>
                <w:numId w:val="91"/>
              </w:numPr>
              <w:rPr>
                <w:b w:val="0"/>
              </w:rPr>
            </w:pPr>
            <w:r>
              <w:rPr>
                <w:b w:val="0"/>
              </w:rPr>
              <w:t>M06 — Развитие на стопанства и предприятия (член 19)</w:t>
            </w:r>
          </w:p>
          <w:p>
            <w:pPr>
              <w:numPr>
                <w:numId w:val="91"/>
              </w:numPr>
              <w:rPr>
                <w:b w:val="0"/>
              </w:rPr>
            </w:pPr>
            <w:r>
              <w:rPr>
                <w:b w:val="0"/>
              </w:rPr>
              <w:t>M09 — Създаване на групи и организации на производителите (член 27)</w:t>
            </w:r>
          </w:p>
          <w:p>
            <w:pPr>
              <w:numPr>
                <w:numId w:val="91"/>
              </w:numPr>
              <w:rPr>
                <w:b w:val="0"/>
              </w:rPr>
            </w:pPr>
            <w:r>
              <w:rPr>
                <w:b w:val="0"/>
              </w:rPr>
              <w:t>M14 — Хуманно отношение към животните (член 33)</w:t>
            </w:r>
          </w:p>
          <w:p>
            <w:pPr>
              <w:numPr>
                <w:numId w:val="91"/>
              </w:numPr>
              <w:rPr>
                <w:b w:val="0"/>
              </w:rPr>
            </w:pPr>
            <w:r>
              <w:rPr>
                <w:b w:val="0"/>
              </w:rP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Мерките по ПО 3А целят да укрепят хоризонталната и вертикална интеграция на хранителната верига и да насърчат изграждането на конкурентни предимства на основа качество и добавена стойност на продуктите и иновации. Бюджетът на ПО 3А е 423 млн. евро или 11 % от общия.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М16 ще се насърчава развитието на сформиране и функциониране на оперативни групи на ЕПИ, развитие на каналите за маркетинг на местни продукти и къси вериги за доставка. Чрез М09 ще се насърчи участието в групи и организации на земеделските производители за подобряване на маркетинга и позициите на пазара.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М09 и М16 ще се допълват от М04 и М06, които ще подпомага инвестициите във физически активи в селското стопанство и преработващата промишленост и други сектори за производство на продукти с висока добавена стойност, включително такива свързани с къси вериги на доставка, схеми за качество и базирани на иновации. Чрез М04 се цели подкрепа над 330 проекта, като тя има бюджет от 390 млн. евро публични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Насърчаването на производството на продукти с висока добавена стойност, включително такива свързани с прилагане на високи стандарти за опазване на околната среда и хуманното отношение към животните се подпомага  по М14, която има бюджет от 22 млн.евро. Целта е да бъдат подпомогнати около 70% от отглежданите животни във ферми, които са достигнали минималните стандарти за хуманно отношение към животните. Обосновка относно необходимостта от предвидените финансови средства е представена в Приложение 15 към М14.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М01 и М02 ще се повишат знанията и практическите умения на земеделските производители за маркетинга на селскостопански продукти.</w:t>
            </w:r>
          </w:p>
          <w:p>
            <w:pPr>
              <w:pStyle w:val="BodyText"/>
              <w:jc w:val="both"/>
            </w:pPr>
          </w:p>
        </w:tc>
      </w:tr>
    </w:tbl>
    <w:p/>
    <w:p>
      <w:pPr>
        <w:pStyle w:val="Heading4"/>
        <w:jc w:val="left"/>
      </w:pPr>
      <w:r>
        <w:t>3Б) Подпомагане на превенцията и управлението на риска на стопанствата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2"/>
              </w:numPr>
            </w:pPr>
            <w:r>
              <w:t>М01 — Трансфер на знания и действия за осведомяване (член 14)</w:t>
            </w:r>
          </w:p>
          <w:p>
            <w:pPr>
              <w:numPr>
                <w:numId w:val="92"/>
              </w:numPr>
            </w:pPr>
            <w:r>
              <w:t>М02 —  Консултантски услуги, услуги по управление на стопанство и услуги по заместване в стопанство (член 15)</w:t>
            </w:r>
          </w:p>
          <w:p>
            <w:pPr>
              <w:numPr>
                <w:numId w:val="92"/>
              </w:numPr>
            </w:pPr>
            <w: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адресиране на потребностите по ПО 3Б са избрани мерки, насочени към подобряване на управлението на риска и такива, насочени към възможностите за възстановяване на селскостопанския производствен потенциал, претърпял щети в резултат на природни бедствия или катоастрофични събития. За адресиране на потребностите по ПО 3Б са избрани мерки, насочени към подобряване на управлението на риска. Индикативният бюджет на тази ПО е 29 млн. евро публични разходи или ~1% от общия. Към бюджета на ПО се отнасят 29 млн. евро публични средства във връзка с прилагането и подпомагането на дейности в рамките на М05.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М01 и М02, по които ще се подпомага обучение и консултиране за управление на риска в подбрани на основа оценка на потребностите сектори, райони и групи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М05 ще се подпомагат животновъдни стопанства в страната, с цел превенция и преодоляване на последиците от усложнената епизоотична обстановка в страната, в резултат на идентифицирането на огнища на остри заразни болести по животните. Приносът към целите на ПО3Б ще се постигне, като се осигури възможност за подкрепа на дейности свързани с превенция на стопанствата, включително черз повишаване нивото на биосигурност и от друга страна ще се предостави възможност за възстановяване на производствения потнециал в животновъдните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Принос към целите на тази приоритетна област имат и мерките планирани в другите приоритетни области, насочени към подобряване на връзките в хранителната верига и диверсификацията на стопанствата.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94" w:name="_Toc256000094"/>
      <w:r>
        <w:rPr>
          <w:b w:val="0"/>
        </w:rPr>
        <w:t>P4: Възстановяване, опазване и укрепване на екосистемите, свързани със селското и горското стопанство</w:t>
      </w:r>
      <w:bookmarkEnd w:id="94"/>
    </w:p>
    <w:p>
      <w:pPr>
        <w:pStyle w:val="Heading4"/>
        <w:jc w:val="left"/>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pStyle w:val="Heading5"/>
        <w:jc w:val="left"/>
        <w:rPr>
          <w:b w:val="0"/>
        </w:rPr>
      </w:pPr>
      <w:r>
        <w:rPr>
          <w:b w:val="0"/>
        </w:rPr>
        <w:t>Мерки за земеделска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3"/>
              </w:numPr>
              <w:rPr>
                <w:b w:val="0"/>
              </w:rPr>
            </w:pPr>
            <w:r>
              <w:rPr>
                <w:b w:val="0"/>
              </w:rPr>
              <w:t>М01 — Трансфер на знания и действия за осведомяване (член 14)</w:t>
            </w:r>
          </w:p>
          <w:p>
            <w:pPr>
              <w:numPr>
                <w:numId w:val="93"/>
              </w:numPr>
              <w:rPr>
                <w:b w:val="0"/>
              </w:rPr>
            </w:pPr>
            <w:r>
              <w:rPr>
                <w:b w:val="0"/>
              </w:rPr>
              <w:t>М02 —  Консултантски услуги, услуги по управление на стопанство и услуги по заместване в стопанство (член 15)</w:t>
            </w:r>
          </w:p>
          <w:p>
            <w:pPr>
              <w:numPr>
                <w:numId w:val="93"/>
              </w:numPr>
              <w:rPr>
                <w:b w:val="0"/>
              </w:rPr>
            </w:pPr>
            <w:r>
              <w:rPr>
                <w:b w:val="0"/>
              </w:rPr>
              <w:t>M04 — Инвестиции в материални активи (член 17)</w:t>
            </w:r>
          </w:p>
          <w:p>
            <w:pPr>
              <w:numPr>
                <w:numId w:val="93"/>
              </w:numPr>
              <w:rPr>
                <w:b w:val="0"/>
              </w:rPr>
            </w:pPr>
            <w:r>
              <w:rPr>
                <w:b w:val="0"/>
              </w:rPr>
              <w:t>M10 — Агроекология и климат (член 28)</w:t>
            </w:r>
          </w:p>
          <w:p>
            <w:pPr>
              <w:numPr>
                <w:numId w:val="93"/>
              </w:numPr>
              <w:rPr>
                <w:b w:val="0"/>
              </w:rPr>
            </w:pPr>
            <w:r>
              <w:rPr>
                <w:b w:val="0"/>
              </w:rPr>
              <w:t>М11 — Биологично земеделие (член 29)</w:t>
            </w:r>
          </w:p>
          <w:p>
            <w:pPr>
              <w:numPr>
                <w:numId w:val="93"/>
              </w:numPr>
              <w:rPr>
                <w:b w:val="0"/>
              </w:rPr>
            </w:pPr>
            <w:r>
              <w:rPr>
                <w:b w:val="0"/>
              </w:rPr>
              <w:t>M12 — Плащания по „Натура 2000“ и Рамковата директива за водите (член 30)</w:t>
            </w:r>
          </w:p>
          <w:p>
            <w:pPr>
              <w:numPr>
                <w:numId w:val="93"/>
              </w:numPr>
              <w:rPr>
                <w:b w:val="0"/>
              </w:rPr>
            </w:pPr>
            <w:r>
              <w:rPr>
                <w:b w:val="0"/>
              </w:rPr>
              <w:t>М13 — Плащания за райони, изправени пред природни или други специфични ограничения (член 31)</w:t>
            </w:r>
          </w:p>
          <w:p>
            <w:pPr>
              <w:numPr>
                <w:numId w:val="93"/>
              </w:numPr>
              <w:rPr>
                <w:b w:val="0"/>
              </w:rPr>
            </w:pPr>
            <w:r>
              <w:rPr>
                <w:b w:val="0"/>
              </w:rPr>
              <w:t>M16 — Сътрудничество (член 35)</w:t>
            </w:r>
          </w:p>
        </w:tc>
      </w:tr>
    </w:tbl>
    <w:p>
      <w:pPr>
        <w:pStyle w:val="Heading5"/>
        <w:jc w:val="left"/>
        <w:rPr>
          <w:b w:val="0"/>
        </w:rPr>
      </w:pPr>
      <w:r>
        <w:rPr>
          <w:b w:val="0"/>
        </w:rPr>
        <w:t>Мерки за горска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4"/>
              </w:numPr>
              <w:rPr>
                <w:b w:val="0"/>
              </w:rPr>
            </w:pPr>
            <w:r>
              <w:rPr>
                <w:b w:val="0"/>
              </w:rPr>
              <w:t>М08 — Инвестиции в развитие на горските райони и подобряване на жизнеспособността на горите (членове 21 — 26)</w:t>
            </w:r>
          </w:p>
          <w:p>
            <w:pPr>
              <w:numPr>
                <w:numId w:val="94"/>
              </w:numPr>
              <w:rPr>
                <w:b w:val="0"/>
              </w:rPr>
            </w:pPr>
            <w:r>
              <w:rPr>
                <w:b w:val="0"/>
              </w:rPr>
              <w:t>M12 — Плащания по „Натура 2000“ и Рамковата директива за водите (член 30)</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Приоритет 4 е отделен бюджет от  1112 млн. евро публични разходи или 329 % от общия бюджет на Програмата. В рамките на приоритета са избрани: 1) мерки – М01, М02 и М16, които имат бюджет 10 млн. евро; 2)  мерки– М10, М11, М12,М13, с бюджет 1029 млн. евро; 3) мерки, свързани с инвестиции в земеделски стопанства за прилагане на екологосъобразни практики или предотвратяване на замърсяването и за непроизводствени инвестиции в стопанствата, с бюджет 56 млн. евро; 4) мерки за екосистемни услуги в горите, с бюджет 17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адресиране на потребностите на приоритетна област 4А са избрани 9 мерки.  Увеличаването на познанията на земеделските и горските стопани относно ценните  местообитания и видове  ще се постигне в рамките на М01 и М02, а чрез  разработване  на иновационни проекти (М16) се цели въвеждането  на природосъобразни практики.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опазването на биологичното разнообразие са необходими и специфични инвестиции, свързани с традиционните екстензивни земеделски практики (М04).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за плащане на ха (М10, М12 и М13) са насочени към съхранението на традиционните екстензивни земеделски практики и екстензивното пасищно отглеждане на животните.Мерките са насочени към предотвратяване на изоставянето на затревените площи в планинските райони, разораването на затревени площи, и превръщането им в обработваеми земи в равнинните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Допълнителен екологичен ефект ще се постигне чрез насърчаването на свободното отглеждане на открито на преживни животни по М14, където е предвидено плащане на ЖЕ.По този начин допълнително ще се стимулира извеждането на животните извън оборите към пасищата, вкл. към пасища в планински райони и към земи с висока природна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Опазването на биоразнообразието в горите ще се осигури чрез прилагане на специфични мерки и екстензивен подход при тяхното използване и въвеждането на плащания за екосистемни услуги и превенция на горските пожари (М08).</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Комбинирането на тези мерки  ще допринесе за постигането на стратегическите цели на страната, заложени в Националната приоритетна рамка за действие и свързани с предотвратяване на по-нататъшната загуба на биоразнообразие и възстановяване на екосистемите.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Комбинирането на мерките по този приоритет ще допринесе за и  постигане на целите на Европейската стратегия за опазване на биологичното разнообразие –Европа 2020.</w:t>
            </w:r>
          </w:p>
          <w:p>
            <w:pPr>
              <w:pStyle w:val="BodyText"/>
              <w:jc w:val="both"/>
            </w:pPr>
          </w:p>
        </w:tc>
      </w:tr>
    </w:tbl>
    <w:p/>
    <w:p>
      <w:pPr>
        <w:pStyle w:val="Heading4"/>
        <w:jc w:val="left"/>
      </w:pPr>
      <w:r>
        <w:t xml:space="preserve">4Б) Подобряване управлението на водите, включително управлението на торовете и пестицидите </w:t>
      </w:r>
    </w:p>
    <w:p>
      <w:pPr>
        <w:pStyle w:val="Heading5"/>
        <w:jc w:val="left"/>
      </w:pPr>
      <w:r>
        <w:t>Мерки за земеделска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5"/>
              </w:numPr>
            </w:pPr>
            <w:r>
              <w:t>М01 — Трансфер на знания и действия за осведомяване (член 14)</w:t>
            </w:r>
          </w:p>
          <w:p>
            <w:pPr>
              <w:numPr>
                <w:numId w:val="95"/>
              </w:numPr>
            </w:pPr>
            <w:r>
              <w:t>М02 —  Консултантски услуги, услуги по управление на стопанство и услуги по заместване в стопанство (член 15)</w:t>
            </w:r>
          </w:p>
          <w:p>
            <w:pPr>
              <w:numPr>
                <w:numId w:val="95"/>
              </w:numPr>
            </w:pPr>
            <w:r>
              <w:t>M04 — Инвестиции в материални активи (член 17)</w:t>
            </w:r>
          </w:p>
          <w:p>
            <w:pPr>
              <w:numPr>
                <w:numId w:val="95"/>
              </w:numPr>
            </w:pPr>
            <w:r>
              <w:t>M10 — Агроекология и климат (член 28)</w:t>
            </w:r>
          </w:p>
          <w:p>
            <w:pPr>
              <w:numPr>
                <w:numId w:val="95"/>
              </w:numPr>
            </w:pPr>
            <w:r>
              <w:t>М11 — Биологично земеделие (член 29)</w:t>
            </w:r>
          </w:p>
          <w:p>
            <w:pPr>
              <w:numPr>
                <w:numId w:val="95"/>
              </w:numPr>
            </w:pPr>
            <w:r>
              <w:t>M12 — Плащания по „Натура 2000“ и Рамковата директива за водите (член 30)</w:t>
            </w:r>
          </w:p>
          <w:p>
            <w:pPr>
              <w:numPr>
                <w:numId w:val="95"/>
              </w:numPr>
            </w:pPr>
            <w:r>
              <w:t>М13 — Плащания за райони, изправени пред природни или други специфични ограничения (член 31)</w:t>
            </w:r>
          </w:p>
          <w:p>
            <w:pPr>
              <w:numPr>
                <w:numId w:val="95"/>
              </w:numPr>
            </w:pPr>
            <w:r>
              <w:t>M16 — Сътрудничество (член 35)</w:t>
            </w:r>
          </w:p>
        </w:tc>
      </w:tr>
    </w:tbl>
    <w:p>
      <w:pPr>
        <w:pStyle w:val="Heading5"/>
        <w:jc w:val="left"/>
      </w:pPr>
      <w:r>
        <w:t>Мерки за горска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6"/>
              </w:numPr>
            </w:pPr>
            <w:r>
              <w:t>М08 — Инвестиции в развитие на горските райони и подобряване на жизнеспособността на горите (членове 21 — 26)</w:t>
            </w:r>
          </w:p>
          <w:p>
            <w:pPr>
              <w:numPr>
                <w:numId w:val="96"/>
              </w:numPr>
            </w:pPr>
            <w:r>
              <w:t>M12 — Плащания по „Натура 2000“ и Рамковата директива за водите (член 30)</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приоритетна област 4Б целят да насърчат прилагането на методите на биологичното производство и преминаването към него, както и прилагането на добри земеделски практики за предотвратяване на замърсяването на водите (М10 и М11). Особено важно е повишаването на знанията и осведомеността на земеделските стопани относно новите проблемите за управление на речните басейни, прилагането на иновативните техники и технологии за възстановяване на влажни и буферни зони (М01, М02 и М16).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Планирането и изпълнението на опазващи, поддържащи и възстановителни дейности в ЗЗ от мрежата Натура 2000, попадащи в обхвата на Рамковата директива за водите (РДВ), ще подпомогне и прилагането на Плана за опазване на водните ресурси на Европа до 2020 г. (М12). Подмярка 12.3. на М12 „ Компенсаторни плащания за селскостопански райони, включени в плановете за управление на речните басейни” ще започне да се прилага при влизане в сила на новите Планове за управление на речните басейни (ПУРБ) след юли 2016година. В Програмата от мерки на настоящите ПУРБ няма посочени адекватни мерки за подобряване състоянието на земеделските земи попадащи в речен басейн с план за управление и постигане на екологичните цели на РДВ, така както е предвидено в член 30, пар. 4, а,б, г от Регламент (ЕС) № 1305 / 2013. Предстои актуализиране на ПУРБ за периода 2010-2015г, като до края на 2015г ще се разработят ПУРБ за периода 2016-2020г.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биологичното производство допринася за постигане на целите на  Европейския план за действие за бъдещето на биологичното производство в Европейския съюз. Комбинирането на мерките по този приоритет ще допринесе за изпълнение на задължения на страната по Нитратната директива и Рамковата директивата за водите, чрез прилагане на мерки за подобряване на състоянието на повърхностните и подземните води и намаляване на тяхното замърсяване.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4В) Предотвратяване на ерозията на почвите и подобряване на управлението им</w:t>
      </w:r>
    </w:p>
    <w:p>
      <w:pPr>
        <w:pStyle w:val="Heading5"/>
        <w:jc w:val="left"/>
      </w:pPr>
      <w:r>
        <w:t>Мерки за земеделска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7"/>
              </w:numPr>
            </w:pPr>
            <w:r>
              <w:t>М01 — Трансфер на знания и действия за осведомяване (член 14)</w:t>
            </w:r>
          </w:p>
          <w:p>
            <w:pPr>
              <w:numPr>
                <w:numId w:val="97"/>
              </w:numPr>
            </w:pPr>
            <w:r>
              <w:t>М02 —  Консултантски услуги, услуги по управление на стопанство и услуги по заместване в стопанство (член 15)</w:t>
            </w:r>
          </w:p>
          <w:p>
            <w:pPr>
              <w:numPr>
                <w:numId w:val="97"/>
              </w:numPr>
            </w:pPr>
            <w:r>
              <w:t>M04 — Инвестиции в материални активи (член 17)</w:t>
            </w:r>
          </w:p>
          <w:p>
            <w:pPr>
              <w:numPr>
                <w:numId w:val="97"/>
              </w:numPr>
            </w:pPr>
            <w:r>
              <w:t>M10 — Агроекология и климат (член 28)</w:t>
            </w:r>
          </w:p>
          <w:p>
            <w:pPr>
              <w:numPr>
                <w:numId w:val="97"/>
              </w:numPr>
            </w:pPr>
            <w:r>
              <w:t>М11 — Биологично земеделие (член 29)</w:t>
            </w:r>
          </w:p>
          <w:p>
            <w:pPr>
              <w:numPr>
                <w:numId w:val="97"/>
              </w:numPr>
            </w:pPr>
            <w:r>
              <w:t>M12 — Плащания по „Натура 2000“ и Рамковата директива за водите (член 30)</w:t>
            </w:r>
          </w:p>
          <w:p>
            <w:pPr>
              <w:numPr>
                <w:numId w:val="97"/>
              </w:numPr>
            </w:pPr>
            <w:r>
              <w:t>М13 — Плащания за райони, изправени пред природни или други специфични ограничения (член 31)</w:t>
            </w:r>
          </w:p>
          <w:p>
            <w:pPr>
              <w:numPr>
                <w:numId w:val="97"/>
              </w:numPr>
            </w:pPr>
            <w:r>
              <w:t>M16 — Сътрудничество (член 35)</w:t>
            </w:r>
          </w:p>
        </w:tc>
      </w:tr>
    </w:tbl>
    <w:p>
      <w:pPr>
        <w:pStyle w:val="Heading5"/>
        <w:jc w:val="left"/>
      </w:pPr>
      <w:r>
        <w:t>Мерки за горска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8"/>
              </w:numPr>
            </w:pPr>
            <w:r>
              <w:t>М08 — Инвестиции в развитие на горските райони и подобряване на жизнеспособността на горите (членове 21 — 26)</w:t>
            </w:r>
          </w:p>
          <w:p>
            <w:pPr>
              <w:numPr>
                <w:numId w:val="98"/>
              </w:numPr>
            </w:pPr>
            <w:r>
              <w:t>M12 — Плащания по „Натура 2000“ и Рамковата директива за водите (член 30)</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мерки по приоритетна област 4В са насочени към прилагането на дейности свързани с устойчивото управление на почвите (М10). Повишаване на знанията на земеделските производители, консултиране и обучение за проблемите за управление на почвите ще доведе до прилагане на екологосъобразни методи, предотвратяващи бъдещата деградация на почвите (М01, М02 и М16).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95" w:name="_Toc256000095"/>
      <w:r>
        <w:rPr>
          <w:b w:val="0"/>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bookmarkEnd w:id="95"/>
      <w:r>
        <w:rPr>
          <w:b w:val="0"/>
        </w:rPr>
        <w:t xml:space="preserve"> </w:t>
      </w:r>
    </w:p>
    <w:p>
      <w:pPr>
        <w:pStyle w:val="Heading4"/>
        <w:jc w:val="left"/>
        <w:rPr>
          <w:b w:val="0"/>
        </w:rPr>
      </w:pPr>
      <w:r>
        <w:rPr>
          <w:b w:val="0"/>
        </w:rPr>
        <w:t xml:space="preserve">5А) Повишаване на ефективността при потреблението на вода в селското стопанство </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9"/>
              </w:numPr>
              <w:rPr>
                <w:b w:val="0"/>
              </w:rPr>
            </w:pPr>
            <w:r>
              <w:rPr>
                <w:b w:val="0"/>
              </w:rPr>
              <w:t>М01 — Трансфер на знания и действия за осведомяване (член 14)</w:t>
            </w:r>
          </w:p>
          <w:p>
            <w:pPr>
              <w:numPr>
                <w:numId w:val="99"/>
              </w:numPr>
              <w:rPr>
                <w:b w:val="0"/>
              </w:rPr>
            </w:pPr>
            <w:r>
              <w:rPr>
                <w:b w:val="0"/>
              </w:rPr>
              <w:t>М02 —  Консултантски услуги, услуги по управление на стопанство и услуги по заместване в стопанство (член 15)</w:t>
            </w:r>
          </w:p>
          <w:p>
            <w:pPr>
              <w:numPr>
                <w:numId w:val="99"/>
              </w:numPr>
              <w:rPr>
                <w:b w:val="0"/>
              </w:rPr>
            </w:pPr>
            <w:r>
              <w:rPr>
                <w:b w:val="0"/>
              </w:rPr>
              <w:t>M04 — Инвестиции в материални активи (член 17)</w:t>
            </w:r>
          </w:p>
          <w:p>
            <w:pPr>
              <w:numPr>
                <w:numId w:val="99"/>
              </w:numPr>
              <w:rPr>
                <w:b w:val="0"/>
              </w:rPr>
            </w:pPr>
            <w:r>
              <w:rPr>
                <w:b w:val="0"/>
              </w:rP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5А са насочени към ефективно използване на водните ресурси в земеделието и имат бюджет в размер на 110 млн. евро публични разходи или 3 % от общия.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Основна част от публичните разходи са насочени към инвестиции за подобряване на магистралната поливна инфраструктура и модернизирането на поливните съоръжения, които ще се подпомагат по М04.3. Мярката ще бъде разработена след приемане на Стратегията за укрепване на конкурентоспособността на селското стопанство и устойчивото управление в хидромелиоративния сектор и опазване на вредното въздействие на водите. Мярката ще бъдат съобразена с политиките и стратегическите документи на ЕС, РДВ и ще съответстват на ПУРБ.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подобряване информираността и знанията на ползвателите на поливна/индустриална вода относно необходимостта и технологичните възможности за ефективно управление на водите ще се финансират чрез мерки М01 и М02.</w:t>
            </w:r>
          </w:p>
          <w:p>
            <w:pPr>
              <w:pStyle w:val="BodyText"/>
              <w:jc w:val="both"/>
            </w:pPr>
          </w:p>
        </w:tc>
      </w:tr>
    </w:tbl>
    <w:p/>
    <w:p>
      <w:pPr>
        <w:pStyle w:val="Heading4"/>
        <w:jc w:val="left"/>
      </w:pPr>
      <w:r>
        <w:t xml:space="preserve">5Б) Повишаване на ефективността при потреблението на енергия в селското стопанство и хранително-вкусовата промишленост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00"/>
              </w:numPr>
            </w:pPr>
            <w:r>
              <w:t>М01 — Трансфер на знания и действия за осведомяване (член 14)</w:t>
            </w:r>
          </w:p>
          <w:p>
            <w:pPr>
              <w:numPr>
                <w:numId w:val="100"/>
              </w:numPr>
            </w:pPr>
            <w:r>
              <w:t>М02 —  Консултантски услуги, услуги по управление на стопанство и услуги по заместване в стопанство (член 15)</w:t>
            </w:r>
          </w:p>
          <w:p>
            <w:pPr>
              <w:numPr>
                <w:numId w:val="100"/>
              </w:numPr>
            </w:pPr>
            <w:r>
              <w:t>M04 — Инвестиции в материални активи (член 17)</w:t>
            </w:r>
          </w:p>
          <w:p>
            <w:pPr>
              <w:numPr>
                <w:numId w:val="100"/>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4Мерките по тази ПО 5Б област целят въвеждането на енергоспестяващи технологии при производството и преработката на селскостопанска продукция и предлагането й на пазара и на тях е отделен бюджет от 165 млн.евро, или 4,4% от общия.  Основната част от бюджета е отделена за насърчаване на инвестициите във физически активи по М04. Повишаването на осведомеността  и достъпа до консултации за икономическите и екологични възможности и ползи от техники за ефективно използване на ресурсите ще се постигне чрез прилагането на М01 и М02. Предвидено е финансиране и за проекти за сътрудничество по М16.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01"/>
              </w:numPr>
            </w:pPr>
            <w:r>
              <w:t>М01 — Трансфер на знания и действия за осведомяване (член 14)</w:t>
            </w:r>
          </w:p>
          <w:p>
            <w:pPr>
              <w:numPr>
                <w:numId w:val="101"/>
              </w:numPr>
            </w:pPr>
            <w:r>
              <w:t>М02 —  Консултантски услуги, услуги по управление на стопанство и услуги по заместване в стопанство (член 15)</w:t>
            </w:r>
          </w:p>
          <w:p>
            <w:pPr>
              <w:numPr>
                <w:numId w:val="101"/>
              </w:numPr>
            </w:pPr>
            <w:r>
              <w:t>M04 — Инвестиции в материални активи (член 17)</w:t>
            </w:r>
          </w:p>
          <w:p>
            <w:pPr>
              <w:numPr>
                <w:numId w:val="101"/>
              </w:numPr>
            </w:pPr>
            <w:r>
              <w:t>М07 — Основни услуги и обновяване на селата в селските райони (член 20)</w:t>
            </w:r>
          </w:p>
          <w:p>
            <w:pPr>
              <w:numPr>
                <w:numId w:val="101"/>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Оползотворяването на остатъците и страничните продукти за целите на преработващата индустрия извън хранителните вериги, включително за производството на биогорива и топлинна и електрическа енергия от отпадъчна биомаса са важна предпоставка за повишаване на ресурсната ефективност, въглеродната неутралност и  заетостта в селските райони на България и затова на ПО 5В е отделен бюджет от 76 млн.евро или 2 % от общия.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мерки по тази приоритетна област са насочени в две основни направления: към (i) повишаване на осведомеността, знанията и уменията на заетите в първичния сектор относно бизнес-възможностите предоставяни от биоикономиката, и (ii) подпомагане на инвестициите в производствено-преработвателни активи  необходими за развитие на биоикономиката.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мерки М01, М02 и М16 ще въздействат по първото направление като  създават необходимия управленски капацитет за внедряване и управление на съответните системи от активи в конкретните стопанства и преработвателни предприятия, като М16 – на основата на ЕПИ  ще насърчава и въвеждането на иновативните техники на биоикономиката чрез пилотни проекти на създадените по мярката партньорства.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М04 ще съфинансира изграждането на системи за допълнителна преработка на остатъците и страничните продукти от първичния сектор за целите на други предприятия от преработващата промишленост, транспорта, енергетиката на основата на ВЕИ, и строителството, инвестициите за изграждане на нови и реконструкция на съществуващи производствени мощности за преработка на вторични продукти, отпадъци, остатъци и други суровини в био енергия в земеделските и горските стопанства и преработвателните предприятия. Мярката ще подпомага и инвестиции за улесняване на доставките и използване на възобновяеми източници на енергия от вторични продукти, отпадъци, остатъци и други нехранителни суровини за целите на биоикономиката. На тази мярка е отделен бюджет от 43 млн.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М07 ще се подпомагат публични проекти за инвестиции във ВЕИ за собствено потребление, като към нея са насочени 31 млн. евро публични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5Г) Намаляване на емисиите на парникови газове и амоняк от селското стопанство</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02"/>
              </w:numPr>
            </w:pPr>
            <w:r>
              <w:t>М01 — Трансфер на знания и действия за осведомяване (член 14)</w:t>
            </w:r>
          </w:p>
          <w:p>
            <w:pPr>
              <w:numPr>
                <w:numId w:val="102"/>
              </w:numPr>
            </w:pPr>
            <w:r>
              <w:t>М02 —  Консултантски услуги, услуги по управление на стопанство и услуги по заместване в стопанство (член 15)</w:t>
            </w:r>
          </w:p>
          <w:p>
            <w:pPr>
              <w:numPr>
                <w:numId w:val="102"/>
              </w:numPr>
            </w:pPr>
            <w:r>
              <w:t>M04 — Инвестиции в материални активи (член 17)</w:t>
            </w:r>
          </w:p>
          <w:p>
            <w:pPr>
              <w:numPr>
                <w:numId w:val="102"/>
              </w:numPr>
            </w:pPr>
            <w:r>
              <w:t>M10 — Агроекология и климат (член 28)</w:t>
            </w:r>
          </w:p>
          <w:p>
            <w:pPr>
              <w:numPr>
                <w:numId w:val="102"/>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5Г ще подпомага намаляване на емисиите на парникови газове и амоняк от селското стопанство чрез подобряване на ползваните агротехники в земеделието, рекултивацията на деградиралите земи и подобряване управлението на оборския тор в животновъдството. Програмираните публични разходи са в размер 44 млн.евро или 1,2% от бюджета на ПРСР.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М01, М02 и М16 ще подпомагат създаването и поддържането на подходящ управленски капацитет в земеделските стопани за подобрено управление на ползваните от тях земи и животновъдни обекти, включително за въвеждане и управление на подходящите за стопанствата иновативни активи и екологосъобразни стопански дейности водещи до намаляване на емисиите от парникови газове.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М04 ще се финансират изграждането/внедряването на обекти и активи в стопанствата за подобряване на екологичното състояние на използваните земеделски площи, с което ще се увеличи способността им да поглъщат атмосферен въглерод, и така да намаляват общото количество на емисиите на парникови газове, отделени от селското стопанство. Програмирани са инвестиции за 2 млн. евро или 4% от общия за ПО 5Г.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М10 ще се подпомагат дейности, насочени към намаляване на емисиите на парникови газове на 7 000 ха, като на тази мярка е отделен 90 % от бюджета на ПО 5Г (40 млн.евро).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 xml:space="preserve">5Д) Стимулиране на съхраняването и поглъщането на въглерода в сектора на селското и горското стопанство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03"/>
              </w:numPr>
            </w:pPr>
            <w:r>
              <w:t>М01 — Трансфер на знания и действия за осведомяване (член 14)</w:t>
            </w:r>
          </w:p>
          <w:p>
            <w:pPr>
              <w:numPr>
                <w:numId w:val="103"/>
              </w:numPr>
            </w:pPr>
            <w:r>
              <w:t>М02 —  Консултантски услуги, услуги по управление на стопанство и услуги по заместване в стопанство (член 15)</w:t>
            </w:r>
          </w:p>
          <w:p>
            <w:pPr>
              <w:numPr>
                <w:numId w:val="103"/>
              </w:numPr>
            </w:pPr>
            <w:r>
              <w:t>М08 — Инвестиции в развитие на горските райони и подобряване на жизнеспособността на горите (членове 21 — 26)</w:t>
            </w:r>
          </w:p>
          <w:p>
            <w:pPr>
              <w:numPr>
                <w:numId w:val="103"/>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5Д програмираните мерки целят увеличаване на площта и повишаване на  жизнеността и устойчивостта на горите, които имат най-голям значение за поглъщането и съхранението на въглерода. За ПО 5Д са програмирани 5 млн. евро публични разходи, или 0,1 % от общите по ПРСР, като са отчетени характеристиките на горския сектор и поуките от прилагане на сходни мерки през предходния програмен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М08, към която са насочени основната част от публичните средства, ще се подпомага залесяване, възстановяването на щети от горски пожари и дейности, подобряващи устойчивостта и екологичната стойност на горските екосистеми. Мярка 16 е насочена към подкрепа за иновативни решения за въвеждане на интегрирани агроекологични системи, включващи поглъщането на въглерод и устойчивостта на екосистемите. Чрез М01 и М02 ще де подпомага преноса на знания и повишаване на квалификацията собственици на гори и заети в горското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96" w:name="_Toc256000096"/>
      <w:r>
        <w:rPr>
          <w:b w:val="0"/>
        </w:rPr>
        <w:t>P6: Насърчаване на социалното приобщаване, намаляването на бедността и икономическото развитие в селските райони</w:t>
      </w:r>
      <w:bookmarkEnd w:id="96"/>
      <w:r>
        <w:rPr>
          <w:b w:val="0"/>
        </w:rPr>
        <w:t xml:space="preserve"> </w:t>
      </w:r>
    </w:p>
    <w:p>
      <w:pPr>
        <w:pStyle w:val="Heading4"/>
        <w:jc w:val="left"/>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04"/>
              </w:numPr>
              <w:rPr>
                <w:b w:val="0"/>
              </w:rPr>
            </w:pPr>
            <w:r>
              <w:rPr>
                <w:b w:val="0"/>
              </w:rPr>
              <w:t>M06 — Развитие на стопанства и предприятия (член 19)</w:t>
            </w:r>
          </w:p>
          <w:p>
            <w:pPr>
              <w:numPr>
                <w:numId w:val="104"/>
              </w:numPr>
              <w:rPr>
                <w:b w:val="0"/>
              </w:rPr>
            </w:pPr>
            <w:r>
              <w:rPr>
                <w:b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p>
            <w:pPr>
              <w:numPr>
                <w:numId w:val="104"/>
              </w:numPr>
              <w:rPr>
                <w:b w:val="0"/>
              </w:rPr>
            </w:pPr>
            <w:r>
              <w:rPr>
                <w:b w:val="0"/>
              </w:rPr>
              <w:t>M22 — Извънредно временно подпомагане за земеделските стопани и МСП, които са особено засегнати от последиците от руското нашествие в Украйна (член 39в)</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6А цели улесняване на диверсификацията на икономиката и разкриването на работни места в селските райони и има бюджет от 69 млн.евро публични разходи или 2 % от общите по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М06.4 ще се насърчава стартирането и развитието на неземеделски дейности в селските райони, които водят до увеличаване на заетостта и доходите за населението на селските райони и допринасят за увеличаване достъпа и качеството на частните услуги за населението и бизнеса. В изпълнение на целите на Стратегията Европа 2020 и тематичните цели на Общата стратегическа рамка разнообразяването на икономиката ще се основава на оползотворяването на възможностите за развитие на зелената икономика, повишеното търсене на туристически услуги за селски, еко и културен туризъм, информационните и комуникационни технологии, а също в сектори на икономиката, които са определени като перспективни в Иновационната стратегия за интелигентна специализация 2014-2020 и Националната стратегия за насърчаване на малките и средните предприятия. При подпомагането на инвестициите ще се спазва демаркацията с останалите оперативни програми, която е детайлизирана в описанието на мерките. Чрез мярката ще се подпомогнат над 400 проекта, водещи до създаване на приблизително 3500 работни места. </w:t>
            </w:r>
          </w:p>
          <w:p>
            <w:pPr>
              <w:pStyle w:val="BodyText"/>
              <w:jc w:val="both"/>
            </w:pPr>
          </w:p>
        </w:tc>
      </w:tr>
    </w:tbl>
    <w:p/>
    <w:p>
      <w:pPr>
        <w:pStyle w:val="Heading4"/>
        <w:jc w:val="left"/>
      </w:pPr>
      <w:r>
        <w:t xml:space="preserve">6Б) Стимулиране на местното развитие в селските райони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05"/>
              </w:numPr>
            </w:pPr>
            <w:r>
              <w:t>М07 — Основни услуги и обновяване на селата в селските райони (член 20)</w:t>
            </w:r>
          </w:p>
          <w:p>
            <w:pPr>
              <w:numPr>
                <w:numId w:val="105"/>
              </w:numPr>
            </w:pPr>
            <w:r>
              <w:t>M19 — Подкрепа за местно развитие по LEADER (ВОМР — водено от общностите местно развитие) (член 35 от Регламент (ЕС) № 1303/2013)</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6Б цели укрепване на териториалната конкурентоспособност на селските територии чрез публични инвестиции подобряващи качеството на живот и условията за бизнес и насърчаване на местно развитие по подхода ЛИДЕР. Предвид големите незадоволени потребности и потенциала на мерките за стимулиране на местното развитие, програмираните публични разходи са 931 млн. евро или 25 % от общите по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6Б са програмирани две групи мерки. Чрез М07  първата група ще се подпомагат инвестиции в развитие на социална,  техническата и туристическата инфраструктура. Програмата ще подпомага инвестиции, определени като приоритетни в националните секторни стратегии и общинските/местните стратегии за развитие, водещи до  социално-икономическото съживяване на селските райони. На тази мярка е отделен 80% от бюджета на ПО 6Б.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Втората група мерки е създаване и укрепване на местен капацитет за устойчиво развитие и разширяване на териториалния обхват на воденото от общностите местно развитие по подхода Лидер (М19). Това ще се постига чрез мерки за създаване на капацитет в местните общности за партньорства при разработването и изпълнението на стратегии за местно развитие на териториите от селските райони в цялата страна. В рамките на този приоритет ще се подпомага също и прилагане на стратегии за местно развитие, включително насърчаването на дейности за оживление на територията на МИГ и активиране на местните общности, развитие на вътрешнотериториално и транснационално сътрудничество. Воденото от общностите местно развитие получава подкрепа от ЕЗФРСР и може да получи подкрепа от ЕФРР, ЕСФ, ЕФМДР. ВОМР, подкрепяно от съответните европейски структурни инвестиционни фондове, се осъществява по един или по няколко приоритета на съответната програма или програми в съответствие с правилата за тези фондове. Определеният бюджет на М19 е 167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ПО 6Б ще окажат подкрепа и за хората, в най-голям риск от социално изключване в унисон с Националната стратегия за намаляване на бедността и насърчаване на социалното включване 2020 и с  Националната стратегия на Република България за интегриране на ромите (2012-2020 г.), чрез прилагане  на превантивни действия за отстраняване на причините на бедността и социалното изключване.</w:t>
            </w:r>
          </w:p>
          <w:p>
            <w:pPr>
              <w:pStyle w:val="BodyText"/>
              <w:jc w:val="both"/>
            </w:pPr>
          </w:p>
        </w:tc>
      </w:tr>
    </w:tbl>
    <w:p/>
    <w:p>
      <w:pPr>
        <w:pStyle w:val="Heading4"/>
        <w:jc w:val="left"/>
      </w:pPr>
      <w:r>
        <w:t>6В) Подобряване на достъпа до информационни и комуникационни технологии (ИКТ), използването и качеството им в селските райони</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06"/>
              </w:numPr>
            </w:pPr>
            <w:r>
              <w:t>М07 — Основни услуги и обновяване на селата в селските райони (член 20)</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6В Програмата ще подпомогне чрез под-мярка М07.3 изграждането на широколентова мрежа от следващо поколение в селски райони, в които поради пазарни дефекти няма стимул за частни инвестиции. Изборът на районите за инвестиции и конкретните инвестиционни проекти ще се определят на основата на приоритетите на Националната стратегия за развитие на широколентовия достъп и Националния план за широколентова инфраструктура за достъп от следващо поколение и при прилагане на обективни и публично оповестени критерии, включващи размер на населението и потенциални потребители, съществуваща и потенциална икономическа активност и др. За ПО 6В е програмиран бюджет от 42 млн. евро или 1,5% от бюджета на ПРСР, които ще бъдат насочени към приоритетни проекти за изграждане на широколентова мрежа от следващо поколение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sectPr>
          <w:pgMar w:top="900" w:right="900" w:bottom="900" w:left="900" w:header="720" w:footer="720"/>
          <w:cols w:space="720"/>
        </w:sectPr>
      </w:pPr>
    </w:p>
    <w:p>
      <w:pPr>
        <w:pStyle w:val="Heading2"/>
      </w:pPr>
      <w:bookmarkStart w:id="97" w:name="_Toc256000097"/>
      <w:r>
        <w:t>Описание на това как ще бъдат обхванати междусекторните цели, включително специфичните изисквания по член 8, параграф 1, буква в), подточка v) от Регламент (ЕС) № 1305/2013</w:t>
      </w:r>
      <w:bookmarkEnd w:id="9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Хоризонталните приоритети за опазване на околната среда, адаптацията към промените в климата и иновации 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Пряко адресирани</w:t>
            </w:r>
            <w:r>
              <w:rPr>
                <w:rFonts w:ascii="Times New Roman" w:eastAsia="Times New Roman" w:hAnsi="Times New Roman" w:cs="Times New Roman"/>
                <w:szCs w:val="24"/>
              </w:rPr>
              <w:t xml:space="preserve"> по част от приоритетите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Интегрирани</w:t>
            </w:r>
            <w:r>
              <w:rPr>
                <w:rFonts w:ascii="Times New Roman" w:eastAsia="Times New Roman" w:hAnsi="Times New Roman" w:cs="Times New Roman"/>
                <w:szCs w:val="24"/>
              </w:rPr>
              <w:t xml:space="preserve"> при програмирането и прилагането на всички приоритети/ мерки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Приоритетите и приоритетните области, които пряко адресират хоризонталните приоритети, са описани подробно в Раздел 5.1-5.2 и резюмирани по-долу.</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цел 1 на Програмата, насърчаването на иновациите в производството, преработката и маркетинга на селскостопански продукти е определено като обща цел, която се постига с взаимодопълващи се мерки за инвестиции в иновации, пренос на знания и насърчаване на сътрудничеството.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всички приоритети на Програмата иновациите се насърчават пряко чрез програмиране на мерки за сътрудничество, включително и партньорства в рамките на ЕПИ, които са насочени към иновации в продуктите, технологиите и практиките. Принос към иновациите ще имат и мерките, целящи осведомяване, демонстрация на добри практики, обучение и консултации, които са планирани по всички приоритети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улесняване и координиране на процесите по идентифициране/разработване и въвеждане на иновациите е планирано  и създаването на Координационно звено за иновациите (КЗИ) по ПРСР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Въвеждането на иновации ще допринесе и за постигането на благоприятните икономически въздействия по Приоритети 2 и 3, и за екологичните въздействия програмирани по Приоритети 4 и 5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Въвеждането на иновации, особено такива свързани с развитието на биоикономиката ще допринася и за създаването на допълнителна заетост  - ПО 6А,  в застрашените от обезлюдяване селски райони на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ЛИДЕР подхода, чрез ВОМР по Приоритет 6, допълнително ще насърчава и поощрява въвеждането на подходящите иновации в практиката.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Околна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Приоритет 1 на ПРСР насърчават повишаването на знанията на земеделските стопани, за прилагането на добри земеделски практики, водещи до опазването на биоразнообразието, почвите и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Планирани са мерки по всички приоритетни области на Приоритет 4, като към него са насочени 29% от публичните средствата на Програмата, които допринасят за съхранение на биоразнообразието, устойчиво управление на водите и почвите.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агро-екологичните цели основен приоритет ще бъдат мерките за опазване на биологичното разнообразие в земеделските земи с висока природна стойност и зоните от Натура 2000. Земеделските производители ще бъдат насърчавани за поддържане на ландшафта и извършване на земеделска дейност в необлагодетелстваните райони. Помощта ще бъде насочена и към поддържане на традиционните екстензивни земеделски практики, предотвратяване на ерозионни процеси в почвата и опазване на почвеното плодородие. Ще се подпомагат непродуктивни инвестиции и инвестиции за изграждане на съоръжения за съхранение на оборски тор и правилното му оползотворяване съобразно изискванията на Нитратната директива. Приоритет ще бъде и оползотворяването на потенциала на страната за развитие на биологично земеделие. Ще се подпомага залесяването и устойчивото управление на горските ресурси с акцент върху превенцията на горите от пожари, както и опазването на биоразнообразието при спазване на изискванията на НАТУРА 2000 за гори. За да се подсигури усвояването на агро-екологичните мерки ще се наблегне на подобряване на информираността, обучението и консултациите на земеделските производители по отношение на изискванията за устойчиво управление на природните ресурси. Планира се и финансиране на пилотни и демонстрационни проекти, свързани с прилагането на земеделски дейности, целящи опазването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Приоритет 5, към който са насочени 12.4 % от публичните средства на Програмата,  също ще допринасят пряко или индиректно към опазването на околната среда доколкото насърчават ресурсната и енергийната ефективност, развитието на биоикономиката, преминаването към агроекологични практики и засилването на биоразнообразието. Всички тези въздействия ще допринасят за функционирането на по-здрави екосистеми, чрез което ще се ограничават негативните въздействия на първичния сектор върху компонентите на околната среда – въздух, почви и води.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 6Б са предвидени мерки за изграждане на ВИК инфраструктура, която ще има принос за по-устойчиво управление на водите. СМР на МИГ ще насърчават инвестиции и подходи целящи съхраняване и опазване на околната среда и насърчаване на ресурсната ефективност, вкл. обучения и консултантска помощ за околна среда и климат.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Климат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Програмирани са мерки по всички приоритетни области на Приоритет 5, на които се пада 15 % от бюджета. Мерките целят  повишаване на енергийната ефективност и насърчават производството на енергия от ВИ за собствено потребление, подобряване на управлението на водите и отпадъците, намаляване емисиите на парникови газове и задържането на въглерода.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планирани мерки по Приоритет 4 имат пряк принос за политиката за климата, като способстват за опазване на биоразнообразието, по-голяма ефективност при използване на водните ресурси и почвите. Насърчават се екстензивни земеделски практики в зависимост от природните, климатични и почвени условия, които  гарантират доброто състояние на пасищата и ливадите   и поддържането  на постоянна тревна покривка, което води до съхраняване на запасите от въглерод в почвите. По отношение на адаптирането към промените на климата програмата подкрепя отглеждането на местни породи и видове, които по-добре се приспособяват към настъпващите климатични промени. Стимулират се и иновации, свързани с приспособяването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СМР на МИГ финансирани по Приоритет 6 на ПРСР могат да насърчават гражданското участие в дейностите по намаляване на риска от бедствия, чрез предоставяне на лесно разбираема и достъпна информация относно риска от бедствия и защитата на населението и провеждане на информационни кампании, както и дейности за намаляване на риска от бедствия чрез инвестиране в развитие на добре оборудвани доброволни формирования, в тяхното обучение и повишаване на квалификацията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Програмата ще </w:t>
            </w:r>
            <w:r>
              <w:rPr>
                <w:rFonts w:ascii="Times New Roman" w:eastAsia="Times New Roman" w:hAnsi="Times New Roman" w:cs="Times New Roman"/>
                <w:szCs w:val="24"/>
                <w:u w:val="single"/>
              </w:rPr>
              <w:t>интегрира</w:t>
            </w:r>
            <w:r>
              <w:rPr>
                <w:rFonts w:ascii="Times New Roman" w:eastAsia="Times New Roman" w:hAnsi="Times New Roman" w:cs="Times New Roman"/>
                <w:szCs w:val="24"/>
              </w:rPr>
              <w:t xml:space="preserve"> хоризонталните приоритети на всички етапи на прилагане чрез:</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Повишаване на информираността</w:t>
            </w:r>
            <w:r>
              <w:rPr>
                <w:rFonts w:ascii="Times New Roman" w:eastAsia="Times New Roman" w:hAnsi="Times New Roman" w:cs="Times New Roman"/>
                <w:szCs w:val="24"/>
              </w:rPr>
              <w:t xml:space="preserve"> на целевите групи за иновациите и целите на политиките за околна среда и изменение на климата;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Стимулиране на разработването</w:t>
            </w:r>
            <w:r>
              <w:rPr>
                <w:rFonts w:ascii="Times New Roman" w:eastAsia="Times New Roman" w:hAnsi="Times New Roman" w:cs="Times New Roman"/>
                <w:szCs w:val="24"/>
              </w:rPr>
              <w:t xml:space="preserve"> на проекти, които интегрират хоризонталните приоритети;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Приоритизиране на проектите</w:t>
            </w:r>
            <w:r>
              <w:rPr>
                <w:rFonts w:ascii="Times New Roman" w:eastAsia="Times New Roman" w:hAnsi="Times New Roman" w:cs="Times New Roman"/>
                <w:szCs w:val="24"/>
              </w:rPr>
              <w:t>, които добавят стойност като допринасят за  хоризонталните приоритети;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Мониторинг и оценка</w:t>
            </w:r>
            <w:r>
              <w:rPr>
                <w:rFonts w:ascii="Times New Roman" w:eastAsia="Times New Roman" w:hAnsi="Times New Roman" w:cs="Times New Roman"/>
                <w:szCs w:val="24"/>
              </w:rPr>
              <w:t xml:space="preserve"> на приноса на прилаганите мерки за хоризонталните приоритети и своевременно предприемане на мерки за корекция, ако е необходимо.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съответствие със принципите, заложени в Споразумението за партньорство, интегрирането на политиките в областта на околната среда и изменението на климата се координира стратегически на национално ниво. При програмирането и прилагане на Програмата се използват националните </w:t>
            </w:r>
            <w:r>
              <w:rPr>
                <w:rFonts w:ascii="Times New Roman" w:eastAsia="Times New Roman" w:hAnsi="Times New Roman" w:cs="Times New Roman"/>
                <w:i/>
                <w:iCs/>
                <w:szCs w:val="24"/>
              </w:rPr>
              <w:t xml:space="preserve">Насоки за интеграция на политиката по околна среда и политиката по изменение на климата във фондовете за КП, ОСП и ОПР за периода 2014 – 2020 г. </w:t>
            </w:r>
            <w:r>
              <w:rPr>
                <w:rFonts w:ascii="Times New Roman" w:eastAsia="Times New Roman" w:hAnsi="Times New Roman" w:cs="Times New Roman"/>
                <w:szCs w:val="24"/>
              </w:rPr>
              <w:t>Националните насоки определят областите на интеграция на политиките, групите критерии, които да бъдат прилагани при избора на мерки и проекти по всеки приоритет, а също количествени и качествени индикатори за мониторинг. Докладването и мониторингът на напредъка ще се осъществява на ниво Програма и на национално ниво.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sectPr>
          <w:type w:val="nextPage"/>
          <w:pgMar w:top="900" w:right="900" w:bottom="900" w:left="900" w:header="720" w:footer="720"/>
          <w:cols w:space="720"/>
        </w:sectPr>
      </w:pPr>
    </w:p>
    <w:p>
      <w:pPr>
        <w:pStyle w:val="Heading2"/>
      </w:pPr>
      <w:bookmarkStart w:id="98" w:name="_Toc256000098"/>
      <w:r>
        <w:t>Обобщена таблица, съдържаща информация за интервенционната логика, за приоритетните области и областите с поставен акцент, избрани за ПРСР, за количествено определените цели и комбинацията от мерки, които ще бъдат предприети за постигането на целите, включително планираните разходи (таблицата е генерирана автоматично от информацията, предоставена в раздели 5.2 и 11)</w:t>
      </w:r>
      <w:bookmarkEnd w:id="9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131"/>
        <w:gridCol w:w="2131"/>
        <w:gridCol w:w="2131"/>
        <w:gridCol w:w="2131"/>
        <w:gridCol w:w="213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0000" w:type="dxa"/>
            <w:gridSpan w:val="5"/>
            <w:shd w:val="clear" w:color="auto" w:fill="808080"/>
            <w:noWrap w:val="0"/>
            <w:tcMar>
              <w:top w:w="20" w:type="dxa"/>
              <w:bottom w:w="20" w:type="dxa"/>
            </w:tcMar>
            <w:vAlign w:val="bottom"/>
          </w:tcPr>
          <w:p>
            <w:pPr>
              <w:jc w:val="left"/>
            </w:pPr>
            <w:r>
              <w:rPr>
                <w:b/>
                <w:sz w:val="20"/>
              </w:rPr>
              <w:t>Приоритет 1</w:t>
            </w:r>
          </w:p>
        </w:tc>
      </w:tr>
      <w:tr>
        <w:tblPrEx>
          <w:tblW w:w="5000" w:type="pct"/>
          <w:tblCellMar>
            <w:left w:w="108" w:type="dxa"/>
            <w:right w:w="108" w:type="dxa"/>
          </w:tblCellMar>
        </w:tblPrEx>
        <w:tc>
          <w:tcPr>
            <w:tcW w:w="12000" w:type="dxa"/>
            <w:shd w:val="clear" w:color="auto" w:fill="C0C0C0"/>
            <w:noWrap w:val="0"/>
            <w:tcMar>
              <w:top w:w="20" w:type="dxa"/>
              <w:bottom w:w="20" w:type="dxa"/>
            </w:tcMar>
            <w:vAlign w:val="bottom"/>
          </w:tcPr>
          <w:p>
            <w:pPr>
              <w:jc w:val="center"/>
              <w:rPr>
                <w:b w:val="0"/>
                <w:sz w:val="16"/>
              </w:rPr>
            </w:pPr>
            <w:r>
              <w:rPr>
                <w:b w:val="0"/>
                <w:sz w:val="16"/>
              </w:rPr>
              <w:t>Област с поставен акцент</w:t>
            </w:r>
          </w:p>
        </w:tc>
        <w:tc>
          <w:tcPr>
            <w:tcW w:w="12000" w:type="dxa"/>
            <w:shd w:val="clear" w:color="auto" w:fill="C0C0C0"/>
            <w:noWrap w:val="0"/>
            <w:tcMar>
              <w:top w:w="20" w:type="dxa"/>
              <w:bottom w:w="20" w:type="dxa"/>
            </w:tcMar>
            <w:vAlign w:val="bottom"/>
          </w:tcPr>
          <w:p>
            <w:pPr>
              <w:jc w:val="center"/>
              <w:rPr>
                <w:b w:val="0"/>
                <w:sz w:val="16"/>
              </w:rPr>
            </w:pPr>
            <w:r>
              <w:rPr>
                <w:b w:val="0"/>
                <w:sz w:val="16"/>
              </w:rPr>
              <w:t>Наименование на целевия показател</w:t>
            </w:r>
          </w:p>
        </w:tc>
        <w:tc>
          <w:tcPr>
            <w:tcW w:w="12000" w:type="dxa"/>
            <w:shd w:val="clear" w:color="auto" w:fill="C0C0C0"/>
            <w:noWrap w:val="0"/>
            <w:tcMar>
              <w:top w:w="20" w:type="dxa"/>
              <w:bottom w:w="20" w:type="dxa"/>
            </w:tcMar>
            <w:vAlign w:val="bottom"/>
          </w:tcPr>
          <w:p>
            <w:pPr>
              <w:jc w:val="center"/>
              <w:rPr>
                <w:b w:val="0"/>
                <w:sz w:val="16"/>
              </w:rPr>
            </w:pPr>
            <w:r>
              <w:rPr>
                <w:b w:val="0"/>
                <w:sz w:val="16"/>
              </w:rPr>
              <w:t>Целева стойност 2025 г.</w:t>
            </w:r>
          </w:p>
        </w:tc>
        <w:tc>
          <w:tcPr>
            <w:tcW w:w="12000" w:type="dxa"/>
            <w:shd w:val="clear" w:color="auto" w:fill="C0C0C0"/>
            <w:noWrap w:val="0"/>
            <w:tcMar>
              <w:top w:w="20" w:type="dxa"/>
              <w:bottom w:w="20" w:type="dxa"/>
            </w:tcMar>
            <w:vAlign w:val="bottom"/>
          </w:tcPr>
          <w:p>
            <w:pPr>
              <w:jc w:val="center"/>
              <w:rPr>
                <w:b w:val="0"/>
                <w:sz w:val="16"/>
              </w:rPr>
            </w:pPr>
            <w:r>
              <w:rPr>
                <w:b w:val="0"/>
                <w:sz w:val="16"/>
              </w:rPr>
              <w:t>Планирани разходи</w:t>
            </w:r>
          </w:p>
        </w:tc>
        <w:tc>
          <w:tcPr>
            <w:tcW w:w="12000" w:type="dxa"/>
            <w:shd w:val="clear" w:color="auto" w:fill="C0C0C0"/>
            <w:noWrap w:val="0"/>
            <w:tcMar>
              <w:top w:w="20" w:type="dxa"/>
              <w:bottom w:w="20" w:type="dxa"/>
            </w:tcMar>
            <w:vAlign w:val="bottom"/>
          </w:tcPr>
          <w:p>
            <w:pPr>
              <w:jc w:val="center"/>
              <w:rPr>
                <w:b w:val="0"/>
                <w:sz w:val="16"/>
              </w:rPr>
            </w:pPr>
            <w:r>
              <w:rPr>
                <w:b w:val="0"/>
                <w:sz w:val="16"/>
              </w:rPr>
              <w:t>Комбинация от мерки</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1A</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T1: процент на разходи по членове 14, 15 и 35 от Регламент (ЕС) № 1305/2013 във връзка с общите разходи за ПРСР (област с поставен акцент 1А)</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0,93</w:t>
            </w:r>
            <w:r>
              <w:rPr>
                <w:b w:val="0"/>
                <w:sz w:val="16"/>
              </w:rPr>
              <w:t>%</w:t>
            </w:r>
          </w:p>
        </w:tc>
        <w:tc>
          <w:tcPr>
            <w:tcW w:w="12000" w:type="dxa"/>
            <w:shd w:val="clear" w:color="auto" w:fill="FFFFFF"/>
            <w:noWrap w:val="0"/>
            <w:tcMar>
              <w:top w:w="20" w:type="dxa"/>
              <w:bottom w:w="20" w:type="dxa"/>
            </w:tcMar>
            <w:vAlign w:val="center"/>
          </w:tcPr>
          <w:p>
            <w:pPr>
              <w:spacing w:before="20" w:after="20"/>
              <w:jc w:val="right"/>
              <w:rPr>
                <w:b w:val="0"/>
                <w:sz w:val="16"/>
              </w:rPr>
            </w:pPr>
          </w:p>
        </w:tc>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M01, M02, M16</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1B</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T2: общ брой на операциите за сътрудничество, подпомагани по мярката за сътрудничество (член 35 от Регламент (ЕС) № 1305/2013) (групи, мрежи/клъстери, пилотни проекти...) (област с поставен акцент 1Б)</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470,00</w:t>
            </w:r>
          </w:p>
        </w:tc>
        <w:tc>
          <w:tcPr>
            <w:tcW w:w="12000" w:type="dxa"/>
            <w:shd w:val="clear" w:color="auto" w:fill="FFFFFF"/>
            <w:noWrap w:val="0"/>
            <w:tcMar>
              <w:top w:w="20" w:type="dxa"/>
              <w:bottom w:w="20" w:type="dxa"/>
            </w:tcMar>
            <w:vAlign w:val="center"/>
          </w:tcPr>
          <w:p>
            <w:pPr>
              <w:spacing w:before="20" w:after="20"/>
              <w:jc w:val="right"/>
              <w:rPr>
                <w:b w:val="0"/>
                <w:sz w:val="16"/>
              </w:rPr>
            </w:pPr>
          </w:p>
        </w:tc>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M16</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1C</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T3: общ брой на участниците в обучения съгласно член 14 от Регламент (ЕС) № 1305/2013 (област с поставен акцент 1В)</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4 370,00</w:t>
            </w:r>
          </w:p>
        </w:tc>
        <w:tc>
          <w:tcPr>
            <w:tcW w:w="12000" w:type="dxa"/>
            <w:shd w:val="clear" w:color="auto" w:fill="FFFFFF"/>
            <w:noWrap w:val="0"/>
            <w:tcMar>
              <w:top w:w="20" w:type="dxa"/>
              <w:bottom w:w="20" w:type="dxa"/>
            </w:tcMar>
            <w:vAlign w:val="center"/>
          </w:tcPr>
          <w:p>
            <w:pPr>
              <w:spacing w:before="20" w:after="20"/>
              <w:jc w:val="right"/>
              <w:rPr>
                <w:b w:val="0"/>
                <w:sz w:val="16"/>
              </w:rPr>
            </w:pPr>
          </w:p>
        </w:tc>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M01</w:t>
            </w:r>
          </w:p>
        </w:tc>
      </w:tr>
      <w:tr>
        <w:tblPrEx>
          <w:tblW w:w="5000" w:type="pct"/>
          <w:tblCellMar>
            <w:left w:w="108" w:type="dxa"/>
            <w:right w:w="108" w:type="dxa"/>
          </w:tblCellMar>
        </w:tblPrEx>
        <w:trPr>
          <w:trHeight w:val="276"/>
        </w:trPr>
        <w:tc>
          <w:tcPr>
            <w:tcW w:w="60000" w:type="dxa"/>
            <w:gridSpan w:val="5"/>
            <w:vMerge w:val="restart"/>
            <w:shd w:val="clear" w:color="auto" w:fill="808080"/>
            <w:noWrap w:val="0"/>
            <w:tcMar>
              <w:top w:w="20" w:type="dxa"/>
              <w:bottom w:w="20" w:type="dxa"/>
            </w:tcMar>
            <w:vAlign w:val="center"/>
          </w:tcPr>
          <w:p>
            <w:pPr>
              <w:spacing w:before="20" w:after="20"/>
              <w:jc w:val="left"/>
            </w:pPr>
            <w:r>
              <w:rPr>
                <w:b/>
                <w:sz w:val="20"/>
              </w:rPr>
              <w:t>Приоритет 2</w:t>
            </w:r>
          </w:p>
        </w:tc>
      </w:tr>
      <w:tr>
        <w:tblPrEx>
          <w:tblW w:w="5000" w:type="pct"/>
          <w:tblCellMar>
            <w:left w:w="108" w:type="dxa"/>
            <w:right w:w="108" w:type="dxa"/>
          </w:tblCellMar>
        </w:tblPrEx>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tcW w:w="12000" w:type="dxa"/>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tcW w:w="12000" w:type="dxa"/>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2025 г.</w:t>
            </w:r>
          </w:p>
        </w:tc>
        <w:tc>
          <w:tcPr>
            <w:tcW w:w="12000" w:type="dxa"/>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tcW w:w="12000" w:type="dxa"/>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2A</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T4: процент на земеделските стопанства, получаващи подпомагане по ПРСР за инвестиции в преструктуриране или модернизация (област с поставен акцент 2A)</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0,54</w:t>
            </w:r>
            <w:r>
              <w:rPr>
                <w:b w:val="0"/>
                <w:sz w:val="16"/>
              </w:rPr>
              <w:t>%</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566 924 184,20</w:t>
            </w:r>
          </w:p>
        </w:tc>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M01, M02, M04, M06, M16, M21, M22</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2B</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T5: процент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1,00</w:t>
            </w:r>
            <w:r>
              <w:rPr>
                <w:b w:val="0"/>
                <w:sz w:val="16"/>
              </w:rPr>
              <w:t>%</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169 354 703,20</w:t>
            </w:r>
          </w:p>
        </w:tc>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M01, M02, M04, M06</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2C+</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Фирми, получили подпомагане  (брой)</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100,00</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17 264 706,00</w:t>
            </w:r>
          </w:p>
        </w:tc>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M08</w:t>
            </w:r>
          </w:p>
        </w:tc>
      </w:tr>
      <w:tr>
        <w:tblPrEx>
          <w:tblW w:w="5000" w:type="pct"/>
          <w:tblCellMar>
            <w:left w:w="108" w:type="dxa"/>
            <w:right w:w="108" w:type="dxa"/>
          </w:tblCellMar>
        </w:tblPrEx>
        <w:trPr>
          <w:trHeight w:val="276"/>
        </w:trPr>
        <w:tc>
          <w:tcPr>
            <w:tcW w:w="60000" w:type="dxa"/>
            <w:gridSpan w:val="5"/>
            <w:vMerge w:val="restart"/>
            <w:shd w:val="clear" w:color="auto" w:fill="808080"/>
            <w:noWrap w:val="0"/>
            <w:tcMar>
              <w:top w:w="20" w:type="dxa"/>
              <w:bottom w:w="20" w:type="dxa"/>
            </w:tcMar>
            <w:vAlign w:val="center"/>
          </w:tcPr>
          <w:p>
            <w:pPr>
              <w:spacing w:before="20" w:after="20"/>
              <w:jc w:val="left"/>
            </w:pPr>
            <w:r>
              <w:rPr>
                <w:b/>
                <w:sz w:val="20"/>
              </w:rPr>
              <w:t>Приоритет 3</w:t>
            </w:r>
          </w:p>
        </w:tc>
      </w:tr>
      <w:tr>
        <w:tblPrEx>
          <w:tblW w:w="5000" w:type="pct"/>
          <w:tblCellMar>
            <w:left w:w="108" w:type="dxa"/>
            <w:right w:w="108" w:type="dxa"/>
          </w:tblCellMar>
        </w:tblPrEx>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tcW w:w="12000" w:type="dxa"/>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tcW w:w="12000" w:type="dxa"/>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2025 г.</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3A</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T6: процент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0,04</w:t>
            </w:r>
            <w:r>
              <w:rPr>
                <w:b w:val="0"/>
                <w:sz w:val="16"/>
              </w:rPr>
              <w:t>%</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411 820 947,70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M06, M09, M14, M16</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3B</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T7: процент на стопанствата, които участват в схеми за управление на риска (област с поставен акцент 3Б)</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0,02</w:t>
            </w:r>
            <w:r>
              <w:rPr>
                <w:b w:val="0"/>
                <w:sz w:val="16"/>
              </w:rPr>
              <w:t>%</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17 427 898,80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M05</w:t>
            </w:r>
          </w:p>
        </w:tc>
      </w:tr>
      <w:tr>
        <w:tblPrEx>
          <w:tblW w:w="5000" w:type="pct"/>
          <w:tblCellMar>
            <w:left w:w="108" w:type="dxa"/>
            <w:right w:w="108" w:type="dxa"/>
          </w:tblCellMar>
        </w:tblPrEx>
        <w:tc>
          <w:tcPr>
            <w:tcW w:w="12000" w:type="dxa"/>
            <w:vMerge/>
            <w:shd w:val="clear" w:color="auto" w:fill="FFFFFF"/>
            <w:noWrap w:val="0"/>
            <w:tcMar>
              <w:top w:w="20" w:type="dxa"/>
              <w:bottom w:w="20" w:type="dxa"/>
            </w:tcMar>
            <w:vAlign w:val="center"/>
          </w:tcPr>
          <w:p>
            <w:pPr>
              <w:spacing w:before="20" w:after="20"/>
              <w:jc w:val="center"/>
              <w:rPr>
                <w:b w:val="0"/>
                <w:sz w:val="16"/>
              </w:rPr>
            </w:pP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Брой на участниците в обучения по Мярка 1 "Трансфер на знания и действия за осведомяване " (number)</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200,00</w:t>
            </w:r>
          </w:p>
        </w:tc>
        <w:tc>
          <w:tcPr>
            <w:tcW w:w="12000" w:type="dxa"/>
            <w:vMerge/>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rPr>
          <w:trHeight w:val="276"/>
        </w:trPr>
        <w:tc>
          <w:tcPr>
            <w:tcW w:w="60000" w:type="dxa"/>
            <w:gridSpan w:val="5"/>
            <w:vMerge w:val="restart"/>
            <w:shd w:val="clear" w:color="auto" w:fill="808080"/>
            <w:noWrap w:val="0"/>
            <w:tcMar>
              <w:top w:w="20" w:type="dxa"/>
              <w:bottom w:w="20" w:type="dxa"/>
            </w:tcMar>
            <w:vAlign w:val="center"/>
          </w:tcPr>
          <w:p>
            <w:pPr>
              <w:spacing w:before="20" w:after="20"/>
              <w:jc w:val="left"/>
            </w:pPr>
            <w:r>
              <w:rPr>
                <w:b/>
                <w:sz w:val="20"/>
              </w:rPr>
              <w:t>Приоритет 4</w:t>
            </w:r>
          </w:p>
        </w:tc>
      </w:tr>
      <w:tr>
        <w:tblPrEx>
          <w:tblW w:w="5000" w:type="pct"/>
          <w:tblCellMar>
            <w:left w:w="108" w:type="dxa"/>
            <w:right w:w="108" w:type="dxa"/>
          </w:tblCellMar>
        </w:tblPrEx>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2025 г.</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4A (agri)</w:t>
            </w:r>
          </w:p>
        </w:tc>
        <w:tc>
          <w:tcPr>
            <w:tcW w:w="12000" w:type="dxa"/>
            <w:vMerge w:val="restart"/>
            <w:shd w:val="clear" w:color="auto" w:fill="FFFFFF"/>
            <w:noWrap w:val="0"/>
            <w:tcMar>
              <w:top w:w="20" w:type="dxa"/>
              <w:bottom w:w="20" w:type="dxa"/>
            </w:tcMar>
            <w:vAlign w:val="center"/>
          </w:tcPr>
          <w:p>
            <w:pPr>
              <w:spacing w:before="20" w:after="20"/>
              <w:jc w:val="left"/>
              <w:rPr>
                <w:b w:val="0"/>
                <w:sz w:val="16"/>
              </w:rPr>
            </w:pPr>
            <w:r>
              <w:rPr>
                <w:b w:val="0"/>
                <w:sz w:val="16"/>
              </w:rPr>
              <w:t>T9: процент на земеделската земя, обхваната от договори за управление в подкрепа на биологичното разнообразие и/или ландшафти (област с поставен акцент 4А)</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12,13</w:t>
            </w:r>
            <w:r>
              <w:rPr>
                <w:b w:val="0"/>
                <w:sz w:val="16"/>
              </w:rPr>
              <w:t>%</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1 080 003 454,00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M10, M11, M12, M13, M16</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4B (agri)</w:t>
            </w:r>
          </w:p>
        </w:tc>
        <w:tc>
          <w:tcPr>
            <w:tcW w:w="12000" w:type="dxa"/>
            <w:vMerge w:val="restart"/>
            <w:shd w:val="clear" w:color="auto" w:fill="FFFFFF"/>
            <w:noWrap w:val="0"/>
            <w:tcMar>
              <w:top w:w="20" w:type="dxa"/>
              <w:bottom w:w="20" w:type="dxa"/>
            </w:tcMar>
            <w:vAlign w:val="center"/>
          </w:tcPr>
          <w:p>
            <w:pPr>
              <w:spacing w:before="20" w:after="20"/>
              <w:jc w:val="left"/>
              <w:rPr>
                <w:b w:val="0"/>
                <w:sz w:val="16"/>
              </w:rPr>
            </w:pPr>
            <w:r>
              <w:rPr>
                <w:b w:val="0"/>
                <w:sz w:val="16"/>
              </w:rPr>
              <w:t>T10: процент на земеделската земя, обхваната от договори за управление с цел подобряване на управлението на водите (област с поставен акцент 4Б)</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1,32</w:t>
            </w:r>
            <w:r>
              <w:rPr>
                <w:b w:val="0"/>
                <w:sz w:val="16"/>
              </w:rPr>
              <w:t>%</w:t>
            </w:r>
          </w:p>
        </w:tc>
        <w:tc>
          <w:tcPr>
            <w:tcW w:w="12000" w:type="dxa"/>
            <w:vMerge/>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4C (agri)</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T12: процент на земеделската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1,32</w:t>
            </w:r>
            <w:r>
              <w:rPr>
                <w:b w:val="0"/>
                <w:sz w:val="16"/>
              </w:rPr>
              <w:t>%</w:t>
            </w:r>
          </w:p>
        </w:tc>
        <w:tc>
          <w:tcPr>
            <w:tcW w:w="12000" w:type="dxa"/>
            <w:vMerge/>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4A (forestry)</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T8: процент на гори или други залесени райони, обхванати от договори за управление в подкрепа на биологичното разнообразие (област с поставен акцент 4А)</w:t>
            </w:r>
          </w:p>
        </w:tc>
        <w:tc>
          <w:tcPr>
            <w:tcW w:w="12000" w:type="dxa"/>
            <w:shd w:val="clear" w:color="auto" w:fill="FFFFFF"/>
            <w:noWrap w:val="0"/>
            <w:tcMar>
              <w:top w:w="20" w:type="dxa"/>
              <w:bottom w:w="20" w:type="dxa"/>
            </w:tcMar>
            <w:vAlign w:val="center"/>
          </w:tcPr>
          <w:p>
            <w:pPr>
              <w:spacing w:before="20" w:after="20"/>
              <w:jc w:val="right"/>
              <w:rPr>
                <w:b w:val="0"/>
                <w:sz w:val="16"/>
              </w:rPr>
            </w:pP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16 791 949,40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M08, M12</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4B (forestry)</w:t>
            </w:r>
          </w:p>
        </w:tc>
        <w:tc>
          <w:tcPr>
            <w:tcW w:w="12000" w:type="dxa"/>
            <w:shd w:val="clear" w:color="auto" w:fill="FFFFFF"/>
            <w:noWrap w:val="0"/>
            <w:tcMar>
              <w:top w:w="20" w:type="dxa"/>
              <w:bottom w:w="20" w:type="dxa"/>
            </w:tcMar>
            <w:vAlign w:val="center"/>
          </w:tcPr>
          <w:p>
            <w:pPr>
              <w:spacing w:before="20" w:after="20"/>
              <w:jc w:val="left"/>
              <w:rPr>
                <w:b w:val="0"/>
                <w:sz w:val="16"/>
              </w:rPr>
            </w:pPr>
          </w:p>
        </w:tc>
        <w:tc>
          <w:tcPr>
            <w:tcW w:w="12000" w:type="dxa"/>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4C (forestry)</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T13: процент на горската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12000" w:type="dxa"/>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rPr>
          <w:trHeight w:val="276"/>
        </w:trPr>
        <w:tc>
          <w:tcPr>
            <w:tcW w:w="60000" w:type="dxa"/>
            <w:gridSpan w:val="5"/>
            <w:vMerge w:val="restart"/>
            <w:shd w:val="clear" w:color="auto" w:fill="808080"/>
            <w:noWrap w:val="0"/>
            <w:tcMar>
              <w:top w:w="20" w:type="dxa"/>
              <w:bottom w:w="20" w:type="dxa"/>
            </w:tcMar>
            <w:vAlign w:val="center"/>
          </w:tcPr>
          <w:p>
            <w:pPr>
              <w:spacing w:before="20" w:after="20"/>
              <w:jc w:val="left"/>
            </w:pPr>
            <w:r>
              <w:rPr>
                <w:b/>
                <w:sz w:val="20"/>
              </w:rPr>
              <w:t>Приоритет 5</w:t>
            </w:r>
          </w:p>
        </w:tc>
      </w:tr>
      <w:tr>
        <w:tblPrEx>
          <w:tblW w:w="5000" w:type="pct"/>
          <w:tblCellMar>
            <w:left w:w="108" w:type="dxa"/>
            <w:right w:w="108" w:type="dxa"/>
          </w:tblCellMar>
        </w:tblPrEx>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2025 г.</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5A</w:t>
            </w:r>
          </w:p>
        </w:tc>
        <w:tc>
          <w:tcPr>
            <w:tcW w:w="12000" w:type="dxa"/>
            <w:vMerge w:val="restart"/>
            <w:shd w:val="clear" w:color="auto" w:fill="FFFFFF"/>
            <w:noWrap w:val="0"/>
            <w:tcMar>
              <w:top w:w="20" w:type="dxa"/>
              <w:bottom w:w="20" w:type="dxa"/>
            </w:tcMar>
            <w:vAlign w:val="center"/>
          </w:tcPr>
          <w:p>
            <w:pPr>
              <w:spacing w:before="20" w:after="20"/>
              <w:jc w:val="left"/>
              <w:rPr>
                <w:b w:val="0"/>
                <w:sz w:val="16"/>
              </w:rPr>
            </w:pPr>
            <w:r>
              <w:rPr>
                <w:b w:val="0"/>
                <w:sz w:val="16"/>
              </w:rPr>
              <w:t>T14: процент на поливните площи, преминаващи към по-ефективна напоителна система (област с поставен акцент 5А)</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38,72</w:t>
            </w:r>
            <w:r>
              <w:rPr>
                <w:b w:val="0"/>
                <w:sz w:val="16"/>
              </w:rPr>
              <w:t>%</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121 769 562,60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M16</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5B</w:t>
            </w:r>
          </w:p>
        </w:tc>
        <w:tc>
          <w:tcPr>
            <w:tcW w:w="12000" w:type="dxa"/>
            <w:vMerge w:val="restart"/>
            <w:shd w:val="clear" w:color="auto" w:fill="FFFFFF"/>
            <w:noWrap w:val="0"/>
            <w:tcMar>
              <w:top w:w="20" w:type="dxa"/>
              <w:bottom w:w="20" w:type="dxa"/>
            </w:tcMar>
            <w:vAlign w:val="center"/>
          </w:tcPr>
          <w:p>
            <w:pPr>
              <w:spacing w:before="20" w:after="20"/>
              <w:jc w:val="left"/>
              <w:rPr>
                <w:b w:val="0"/>
                <w:sz w:val="16"/>
              </w:rPr>
            </w:pPr>
            <w:r>
              <w:rPr>
                <w:b w:val="0"/>
                <w:sz w:val="16"/>
              </w:rPr>
              <w:t>T15: общи инвестиции за енергийна ефективност (в евро) (област с поставен акцент 5Б)</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294 373 873,60</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174 008 299,20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M16</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5C</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T16: общ размер на инвестициите в производство на енергия от възобновяеми източници (в евро) (област с поставен акцент 5В)</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115 887 288,00</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106 368 969,70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M07, M16</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5D</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T17: процент на 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0,17</w:t>
            </w:r>
            <w:r>
              <w:rPr>
                <w:b w:val="0"/>
                <w:sz w:val="16"/>
              </w:rPr>
              <w:t>%</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38 360 518,10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M10, M16</w:t>
            </w:r>
          </w:p>
        </w:tc>
      </w:tr>
      <w:tr>
        <w:tblPrEx>
          <w:tblW w:w="5000" w:type="pct"/>
          <w:tblCellMar>
            <w:left w:w="108" w:type="dxa"/>
            <w:right w:w="108" w:type="dxa"/>
          </w:tblCellMar>
        </w:tblPrEx>
        <w:tc>
          <w:tcPr>
            <w:tcW w:w="12000" w:type="dxa"/>
            <w:vMerge/>
            <w:shd w:val="clear" w:color="auto" w:fill="FFFFFF"/>
            <w:noWrap w:val="0"/>
            <w:tcMar>
              <w:top w:w="20" w:type="dxa"/>
              <w:bottom w:w="20" w:type="dxa"/>
            </w:tcMar>
            <w:vAlign w:val="center"/>
          </w:tcPr>
          <w:p>
            <w:pPr>
              <w:spacing w:before="20" w:after="20"/>
              <w:jc w:val="center"/>
              <w:rPr>
                <w:b w:val="0"/>
                <w:sz w:val="16"/>
              </w:rPr>
            </w:pP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T18: процент на земеделската земя, обхваната от договори за управление за намаляване на емисиите на парникови газове и/или на амоняк (област с поставен акцент 5Г)</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0,16</w:t>
            </w:r>
            <w:r>
              <w:rPr>
                <w:b w:val="0"/>
                <w:sz w:val="16"/>
              </w:rPr>
              <w:t>%</w:t>
            </w:r>
          </w:p>
        </w:tc>
        <w:tc>
          <w:tcPr>
            <w:tcW w:w="12000" w:type="dxa"/>
            <w:vMerge/>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5E</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T19: процент от земеделските и горските земи, обхванати от договори за управление, допринасящи за улавяне и съхранение на въглерод (област с поставен акцент 5Д)</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0,00</w:t>
            </w:r>
            <w:r>
              <w:rPr>
                <w:b w:val="0"/>
                <w:sz w:val="16"/>
              </w:rPr>
              <w:t>%</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5 233 527,90</w:t>
            </w:r>
          </w:p>
        </w:tc>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M01, M02, M08, M16</w:t>
            </w:r>
          </w:p>
        </w:tc>
      </w:tr>
      <w:tr>
        <w:tblPrEx>
          <w:tblW w:w="5000" w:type="pct"/>
          <w:tblCellMar>
            <w:left w:w="108" w:type="dxa"/>
            <w:right w:w="108" w:type="dxa"/>
          </w:tblCellMar>
        </w:tblPrEx>
        <w:trPr>
          <w:trHeight w:val="276"/>
        </w:trPr>
        <w:tc>
          <w:tcPr>
            <w:tcW w:w="60000" w:type="dxa"/>
            <w:gridSpan w:val="5"/>
            <w:vMerge w:val="restart"/>
            <w:shd w:val="clear" w:color="auto" w:fill="808080"/>
            <w:noWrap w:val="0"/>
            <w:tcMar>
              <w:top w:w="20" w:type="dxa"/>
              <w:bottom w:w="20" w:type="dxa"/>
            </w:tcMar>
            <w:vAlign w:val="center"/>
          </w:tcPr>
          <w:p>
            <w:pPr>
              <w:spacing w:before="20" w:after="20"/>
              <w:jc w:val="left"/>
            </w:pPr>
            <w:r>
              <w:rPr>
                <w:b/>
                <w:sz w:val="20"/>
              </w:rPr>
              <w:t>Приоритет 6</w:t>
            </w:r>
          </w:p>
        </w:tc>
      </w:tr>
      <w:tr>
        <w:tblPrEx>
          <w:tblW w:w="5000" w:type="pct"/>
          <w:tblCellMar>
            <w:left w:w="108" w:type="dxa"/>
            <w:right w:w="108" w:type="dxa"/>
          </w:tblCellMar>
        </w:tblPrEx>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2025 г.</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6A</w:t>
            </w:r>
          </w:p>
        </w:tc>
        <w:tc>
          <w:tcPr>
            <w:tcW w:w="12000" w:type="dxa"/>
            <w:vMerge w:val="restart"/>
            <w:shd w:val="clear" w:color="auto" w:fill="FFFFFF"/>
            <w:noWrap w:val="0"/>
            <w:tcMar>
              <w:top w:w="20" w:type="dxa"/>
              <w:bottom w:w="20" w:type="dxa"/>
            </w:tcMar>
            <w:vAlign w:val="center"/>
          </w:tcPr>
          <w:p>
            <w:pPr>
              <w:spacing w:before="20" w:after="20"/>
              <w:jc w:val="left"/>
              <w:rPr>
                <w:b w:val="0"/>
                <w:sz w:val="16"/>
              </w:rPr>
            </w:pPr>
            <w:r>
              <w:rPr>
                <w:b w:val="0"/>
                <w:sz w:val="16"/>
              </w:rPr>
              <w:t>T20: работни места, разкрити в подпомогнатите проекти (област с поставен акцент 6А)</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3 500,00</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39 869 844,10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M06, M21, M22</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6B</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T21: процент от населението в селските райони, обхванато от стратегии за местно развитие (област с поставен акцент 6Б)</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22,91</w:t>
            </w:r>
            <w:r>
              <w:rPr>
                <w:b w:val="0"/>
                <w:sz w:val="16"/>
              </w:rPr>
              <w:t>%</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944 291 397,10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M07, M19</w:t>
            </w:r>
          </w:p>
        </w:tc>
      </w:tr>
      <w:tr>
        <w:tblPrEx>
          <w:tblW w:w="5000" w:type="pct"/>
          <w:tblCellMar>
            <w:left w:w="108" w:type="dxa"/>
            <w:right w:w="108" w:type="dxa"/>
          </w:tblCellMar>
        </w:tblPrEx>
        <w:tc>
          <w:tcPr>
            <w:tcW w:w="12000" w:type="dxa"/>
            <w:vMerge/>
            <w:shd w:val="clear" w:color="auto" w:fill="FFFFFF"/>
            <w:noWrap w:val="0"/>
            <w:tcMar>
              <w:top w:w="20" w:type="dxa"/>
              <w:bottom w:w="20" w:type="dxa"/>
            </w:tcMar>
            <w:vAlign w:val="center"/>
          </w:tcPr>
          <w:p>
            <w:pPr>
              <w:spacing w:before="20" w:after="20"/>
              <w:jc w:val="center"/>
              <w:rPr>
                <w:b w:val="0"/>
                <w:sz w:val="16"/>
              </w:rPr>
            </w:pP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T22: процент от населението в селските райони, което се възползва от подобрените услуги/инфраструктура (област с поставен акцент 6Б)</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33,36</w:t>
            </w:r>
            <w:r>
              <w:rPr>
                <w:b w:val="0"/>
                <w:sz w:val="16"/>
              </w:rPr>
              <w:t>%</w:t>
            </w:r>
          </w:p>
        </w:tc>
        <w:tc>
          <w:tcPr>
            <w:tcW w:w="12000" w:type="dxa"/>
            <w:vMerge/>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tcW w:w="12000" w:type="dxa"/>
            <w:vMerge/>
            <w:shd w:val="clear" w:color="auto" w:fill="FFFFFF"/>
            <w:noWrap w:val="0"/>
            <w:tcMar>
              <w:top w:w="20" w:type="dxa"/>
              <w:bottom w:w="20" w:type="dxa"/>
            </w:tcMar>
            <w:vAlign w:val="center"/>
          </w:tcPr>
          <w:p>
            <w:pPr>
              <w:spacing w:before="20" w:after="20"/>
              <w:jc w:val="center"/>
              <w:rPr>
                <w:b w:val="0"/>
                <w:sz w:val="16"/>
              </w:rPr>
            </w:pP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T23: работни места, разкрити в подпомогнатите проекти (Leader) (област с поставен акцент 6Б)</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600,00</w:t>
            </w:r>
          </w:p>
        </w:tc>
        <w:tc>
          <w:tcPr>
            <w:tcW w:w="12000" w:type="dxa"/>
            <w:vMerge/>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6C</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T24: процент от населението в селските райони, което се възползва от нови или подобрени услуги/инфраструктура (ИКТ) (област с поставен акцент 6В)</w:t>
            </w:r>
          </w:p>
        </w:tc>
        <w:tc>
          <w:tcPr>
            <w:tcW w:w="12000" w:type="dxa"/>
            <w:shd w:val="clear" w:color="auto" w:fill="FFFFFF"/>
            <w:noWrap w:val="0"/>
            <w:tcMar>
              <w:top w:w="20" w:type="dxa"/>
              <w:bottom w:w="20" w:type="dxa"/>
            </w:tcMar>
            <w:vAlign w:val="center"/>
          </w:tcPr>
          <w:p>
            <w:pPr>
              <w:spacing w:before="20" w:after="20"/>
              <w:jc w:val="right"/>
              <w:rPr>
                <w:b w:val="0"/>
                <w:sz w:val="16"/>
              </w:rPr>
            </w:pPr>
          </w:p>
        </w:tc>
        <w:tc>
          <w:tcPr>
            <w:tcW w:w="12000" w:type="dxa"/>
            <w:shd w:val="clear" w:color="auto" w:fill="FFFFFF"/>
            <w:noWrap w:val="0"/>
            <w:tcMar>
              <w:top w:w="20" w:type="dxa"/>
              <w:bottom w:w="20" w:type="dxa"/>
            </w:tcMar>
            <w:vAlign w:val="center"/>
          </w:tcPr>
          <w:p>
            <w:pPr>
              <w:spacing w:before="20" w:after="20"/>
              <w:jc w:val="right"/>
              <w:rPr>
                <w:b w:val="0"/>
                <w:sz w:val="16"/>
              </w:rPr>
            </w:pPr>
          </w:p>
        </w:tc>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M07</w:t>
            </w:r>
          </w:p>
        </w:tc>
      </w:tr>
    </w:tbl>
    <w:p>
      <w:pPr>
        <w:sectPr>
          <w:pgMar w:top="900" w:right="900" w:bottom="900" w:left="900" w:header="720" w:footer="720"/>
          <w:cols w:space="720"/>
        </w:sectPr>
      </w:pPr>
    </w:p>
    <w:p>
      <w:pPr>
        <w:pStyle w:val="Heading2"/>
      </w:pPr>
      <w:bookmarkStart w:id="99" w:name="_Toc256000099"/>
      <w:r>
        <w:t>Описание на капацитета за предоставяне на консултации, за да се гарантира подходящо консултиране и подкрепа за нормативните изисквания и за действията във връзка с иновациите, за да се демонстрират предприетите мерки, както се изисква в член 8, параграф 1, буква в), подточка vi) от Регламент (ЕС) № 1305/2013</w:t>
      </w:r>
      <w:bookmarkEnd w:id="9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осигуряване на достатъчно консултантски капацитет относно нормативните изисквания и иновационни дейности се планират различни мерки и  дейности. Ще се проведат обучения на служители на УО на ПРСР (2014-2020) (Дирекция РСР), ДФЗ – РА, регионалните структури на МЗХГ, НССЗ и БАБХ в т.ч.:</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специални ежегодни обучения на всички служители на УО на ПРСР 2014-2020  (Дирекция РСР) и централно управление на ДФЗ - РА относно нормативните изисквания свързани с прилагането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специално обучение на всички служители на Управляващия орган на ПРСР 2014-2020 (Дирекция РСР) и централно управление на ДФЗ - РА относно същността на иновациите и тяхното приложение в земеделието.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ежегодни обучения на регионалните структури на ДФЗ - РА относно нормативните изисквания свързани с прилагането на ПРСР (2014-2020).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ежегодни обучения на териториалните областни офиси на НССЗ, на областните дирекции „Земеделие” и общинските служби по земеделие относно нормативните изисквания свързани с прилагането на ПРСР (2014-2020).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обучения на регионалните структури на БАБХ относно ролята на Агенцията и изискваните документи при кандидатстване по ПРСР (2014-2020), за които тя е отговорна.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Други планирани дейности 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Опростяване на прилагането на ПРСР 2014-2020, което подробно е описано в т. 15.5. „Гарантиране на ефективно, ефикасно и координирано прилагане на ЕЗФРСР и дейности за постигане намаляването на административната тежест на бенефициентите”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Определяне на поне един експерт във всяка една регионална структура на ДФЗ-РА, който да отговаря за комуникацията с потенциалните бенефициенти по ПРСР (2014-2020) и със съветническите и консултантски организации относно нормативните изисквания по Програмата и възможностите за подкрепа на иновации. При възникване на въпроси от страна на потенциалните бенефициенти и съветническите и консултантските организации във връзка с подготовката за кандидатстване по ПРСР (2014-2020), те ще ги задават на този експерт. Той ще отговаря директно или ще организира своевременното изготвяне на отговорите. Така ще се опрости и улесни кандидатстването по Програмата, ще се намалят грешките по изготвянето на проектите и в крайна сметка ще се улесни нейното прилагане.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Укрепване и засилване на капацитета на НССЗ чрез създаване на мобилни общински центрове за консултантски услуги чрез подмярка 2.2 „Създаване на консултантски услуги” във връзка с тематичната подпрограма за развитие на малките стопанства. Потенциалните бенефициенти по Програмата ще могат във всеки един от териториалните областни офиси на НССЗ да получат консултации относно нормативните изисквания свързани с прилагането на ПРСР (2014-2020). За гарантиране на изпълнението на ангажиментите си по ПРСР 2014-2020 в т.ч. по мярка 2, НССЗ ще използва и допълнителен експертен персонал, чрез наемане на външни експерти на трудов договор за определен период от време в рамките на срока на прилагане на Програмата, както и чрез сключване на граждански договори между НССЗ и външни експерти, за изпълнение от тяхна страна на определени дейности за даден период от време. НССЗ ще подпомага и изграждането на административен капацитет на малките земеделски стопанства като ще предоставя консултации по отношение на целите и изисквания на мерките, необходими документи, подготовка на бизнес-план и процедури за прилагане на тематичната под-програма за малките стопанства. НССЗ ще организира в различни населени места информационни мероприятия (семинари, срещи дискусии, изнесени приемни), на които потенциалните бенефициенти по Програмата ще бъдат запознати с нормативните изисквания свързани с нейното прилагане.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Съобразявайки се със спецификата на селските райони, които включват много планински и труднодостъпни места, ще бъдат създадени мобилни групи на колела, които ще имат задача да разпространяват информация за мерките от Програмата в населени места със слаб информационен достъп. Тези групи ще се финансират по техническа помощ на ПРСР (2014-2020).  В тези групи ще участват представители на регионалните структури на ДФЗ – РА, МЗХГ, НССЗ и БАБХ.</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Освен горепосочените, Управляващият орган ще организира и други информационни дейности с цел да информира потенциалните бенефициенти за възможностите за финансиране по ПРСР (2014-2020) и да ги насърчи да се възползват от предоставеното подпомагане.  Ще се планират специализирани информационни срещи по общини към потенциални кандидати по мерките на ПРСР от уязвими групи и роми.  Подробна информация е представена в т. 15.3. „Информираност и публичност”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поне веднъж на две години на специални проучвания на потребностите от съвети и консултации относно нормативните изисквания свързани с прилагането на ПРСР (2014-2020), както и относно иновациите и тяхното приложение в земеделието. Изготвяне и актуализиране на план за действие за посрещане на потребностите.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в т.ч. чрез подмярка 2.3. „Подкрепа за обучение на консултанти” на обучения на публични и частни консултантски организации относно нормативните изисквания свързани с прилагането на ПРСР (2014-2020), както и относно същността на иновациите и тяхното приложение в земеделието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 отношение на осигуряване на достатъчно консултантски капацитет относно иновациите се планират следните мерки и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o   </w:t>
            </w:r>
            <w:r>
              <w:rPr>
                <w:rFonts w:ascii="Times New Roman" w:eastAsia="Times New Roman" w:hAnsi="Times New Roman" w:cs="Times New Roman"/>
                <w:b/>
                <w:bCs/>
                <w:szCs w:val="24"/>
              </w:rPr>
              <w:t>Създаване на Координационно звено за иновации (КЗИ) по ПРСР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КЗИ по ПРСР  2014 – 2020 г. се предвижда да бъде Звеното за управление на Националната селска мрежа(НСМ). КЗИ се планира да извършва следните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и поддържане на електронна информационна система с база данни за резултатите и постиженията в областта на иновациите в аграрния сектор.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Организиране на семинари, кръгли маси и открити дни по сектори и направления с цел подкрепа за прилагане на интерактивния иновационен модел в рамките на Европейското партньорство за иновации (ЕПИ) за селскостопанска производителност и устойчивост – най-малко по две събития на година.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Систематизиране и подготовка на информационни материали и публикации за иновационни решения, в резултат от научни изследвания, както и примери за реализирани партньорства по ЕПИ в рамките на Програмата и в държавите-членки на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Информационните канали, които ще бъдат използвани от КЗИ за разпространение на резултатите от посочените дейности са следните: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Специална рубрика за иновации на електронните страници на НСМ и ПРСР, като за целта ще бъде изработено лого на иновационните процеси в отрасъла.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Информационните канали на Националната селска мрежа.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Публикации в електронни и печатни специализирани медии.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Книжки, брошури, диплянки и други печатни тематични информационни материали.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Информационните канали на Националната служба за съвети в земеделието.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o   </w:t>
            </w:r>
            <w:r>
              <w:rPr>
                <w:rFonts w:ascii="Times New Roman" w:eastAsia="Times New Roman" w:hAnsi="Times New Roman" w:cs="Times New Roman"/>
                <w:b/>
                <w:bCs/>
                <w:szCs w:val="24"/>
              </w:rPr>
              <w:t>Създаване и функциониране на Съвет за иновации в аграрния сектор към Министъра на земеделието, храните и горите.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o   </w:t>
            </w:r>
            <w:r>
              <w:rPr>
                <w:rFonts w:ascii="Times New Roman" w:eastAsia="Times New Roman" w:hAnsi="Times New Roman" w:cs="Times New Roman"/>
                <w:b/>
                <w:bCs/>
                <w:szCs w:val="24"/>
              </w:rPr>
              <w:t>Провеждане на информационни дейности и мероприятия в т.ч. на КЗИ  и на НССЗ за представяне на различни иновации, иновационни модели и новости в областта на земеделието. Тези мероприятия ще се финансират с национални и европейски средства в т.ч. със средства по техническата помощ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оглед на качественото предоставяне на консултантските услуги за малките стопанства, както и с цел подкрепа за младите земеделски стопани по първия прием на заявления по подмярка 6.1., НССЗ е определена за директен бенефициент по мярка 2 „Консултантски услуги, управление на стопанството и услуги по заместване в стопанството” за предоставяне на пакетите консултантски услуги по подмярка  2.1.2 “Консултантски услуги за малки земеделски стопани” и за представяне на пакет А2Б на младите фермери подмярка 2.1.1. „Консултантски услуги за земеделски и горски стопани”. НССЗ е избрана, чрез прилагане на процедурата на вътрешно изключване, съгласно правилата за възлагане на обществени поръчки, като са спазени двете кумулативни условия за прилагане на тази процедура. По първото условие: НССЗ е второстепенен разпоредител с бюджетни кредити към министъра на земеделието, храните и горите и съгласно чл. 3 и чл. 4 на Правилника за устройството и дейността на НССЗ, Министърът на земеделието, храните и горите упражнява контрол върху Службата, както върху всяка една дирекция в министерството. По второто условие: Всички дейности които извършва НССЗ са на база Правилника за устройството и дейността на НССЗ и Наредба 10/03.04.2008г. за прилагане на мярка 143 от ПРСР. И двата документа са издадени от Министерството на земеделието и храните и съответно показват, че всички дейности, които извършва НССЗ се възлагат  от Министерството.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НССЗ е единствената организация в структурата на МЗХГ, специализирана в предоставянето на консултантски услуги на българските фермери, като консултациите обхващат широка проблематика. </w:t>
            </w:r>
            <w:r>
              <w:rPr>
                <w:rFonts w:ascii="Times New Roman" w:eastAsia="Times New Roman" w:hAnsi="Times New Roman" w:cs="Times New Roman"/>
                <w:b/>
                <w:bCs/>
                <w:szCs w:val="24"/>
              </w:rPr>
              <w:t>НССЗ предлага комплексен пакет от консултантски услуги, включващ консултации от създаването на фермата до нейното пълно обслужване в агрономически, животновъден и агроикономически аспект.</w:t>
            </w:r>
            <w:r>
              <w:rPr>
                <w:rFonts w:ascii="Times New Roman" w:eastAsia="Times New Roman" w:hAnsi="Times New Roman" w:cs="Times New Roman"/>
                <w:szCs w:val="24"/>
              </w:rPr>
              <w:t xml:space="preserve"> НССЗ работи главно с малки и средни земеделски стопанства, които обикновено не са целева група на частните консултантски фирми, като има своето запазено място като структура подпомагаща развитието на земеделието. Общият брой на служителите, работещи на щат към 01.10.2014г. в НССЗ е 80 (вкл. изпълнителния директор). Организационно, НССЗ извършва дейност на територията на всички области, тъй като има офиси във всеки областен град. Във всеки офис работят двама, трима или четирима съветници, специализирани в следните области – животновъдство, растениевъдство и аграрна икономика. Изграждането на капацитета на НССЗ започва с нейното създаване през 2000г. и продължава интензивно по време на осъществените проекти по международни и национални програми и чрез обучения през Центъра за професионално обучение на НССЗ. Всички експерти на специализираната администрация преминават през процес на непрекъснато обучение и професионално усъвършенстване.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Допълнителна информация относно описание на структурата и дейността на НССЗ е представена в Приложение 2 към Раздел 5.5. </w:t>
            </w:r>
          </w:p>
          <w:p>
            <w:pPr>
              <w:pStyle w:val="BodyText"/>
              <w:jc w:val="both"/>
            </w:pPr>
          </w:p>
        </w:tc>
      </w:tr>
    </w:tbl>
    <w:p>
      <w:pPr>
        <w:sectPr>
          <w:type w:val="nextPage"/>
          <w:pgMar w:top="900" w:right="900" w:bottom="900" w:left="900" w:header="720" w:footer="720"/>
          <w:cols w:space="720"/>
        </w:sectPr>
      </w:pPr>
    </w:p>
    <w:p>
      <w:pPr>
        <w:pStyle w:val="Heading1"/>
      </w:pPr>
      <w:bookmarkStart w:id="100" w:name="_Toc256000100"/>
      <w:r>
        <w:t>Оценка на предварителните условия</w:t>
      </w:r>
      <w:bookmarkEnd w:id="100"/>
    </w:p>
    <w:p>
      <w:pPr>
        <w:pStyle w:val="Heading2"/>
      </w:pPr>
      <w:bookmarkStart w:id="101" w:name="_Toc256000101"/>
      <w:r>
        <w:t>Допълнителна информация</w:t>
      </w:r>
      <w:bookmarkEnd w:id="10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sectPr>
          <w:pgMar w:top="900" w:right="900" w:bottom="900" w:left="900" w:header="720" w:footer="720"/>
          <w:cols w:space="720"/>
        </w:sectPr>
      </w:pPr>
    </w:p>
    <w:p>
      <w:pPr>
        <w:pStyle w:val="Heading2"/>
      </w:pPr>
      <w:r>
        <w:t xml:space="preserve"> </w:t>
      </w:r>
      <w:bookmarkStart w:id="102" w:name="_Toc256000102"/>
      <w:r>
        <w:t>Предварителни условия</w:t>
      </w:r>
      <w:bookmarkEnd w:id="10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851"/>
        <w:gridCol w:w="2851"/>
        <w:gridCol w:w="2851"/>
        <w:gridCol w:w="2851"/>
        <w:gridCol w:w="285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50" w:type="pc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000" w:type="pct"/>
            <w:shd w:val="clear" w:color="auto" w:fill="C0C0C0"/>
            <w:noWrap w:val="0"/>
            <w:tcMar>
              <w:top w:w="20" w:type="dxa"/>
              <w:bottom w:w="20" w:type="dxa"/>
            </w:tcMar>
            <w:vAlign w:val="center"/>
          </w:tcPr>
          <w:p>
            <w:pPr>
              <w:jc w:val="center"/>
              <w:rPr>
                <w:b/>
                <w:sz w:val="16"/>
              </w:rPr>
            </w:pPr>
            <w:r>
              <w:rPr>
                <w:b/>
                <w:sz w:val="16"/>
              </w:rPr>
              <w:t>Приложимото предварително условие е изпълнено: Да/Не/Частично</w:t>
            </w:r>
          </w:p>
        </w:tc>
        <w:tc>
          <w:tcPr>
            <w:tcW w:w="1250" w:type="pct"/>
            <w:shd w:val="clear" w:color="auto" w:fill="C0C0C0"/>
            <w:noWrap w:val="0"/>
            <w:tcMar>
              <w:top w:w="20" w:type="dxa"/>
              <w:bottom w:w="20" w:type="dxa"/>
            </w:tcMar>
            <w:vAlign w:val="center"/>
          </w:tcPr>
          <w:p>
            <w:pPr>
              <w:jc w:val="center"/>
              <w:rPr>
                <w:b/>
                <w:sz w:val="16"/>
              </w:rPr>
            </w:pPr>
            <w:r>
              <w:rPr>
                <w:b/>
                <w:sz w:val="16"/>
              </w:rPr>
              <w:t>Оценка на неговото изпълнение</w:t>
            </w:r>
          </w:p>
        </w:tc>
        <w:tc>
          <w:tcPr>
            <w:tcW w:w="1000" w:type="pct"/>
            <w:shd w:val="clear" w:color="auto" w:fill="C0C0C0"/>
            <w:noWrap w:val="0"/>
            <w:tcMar>
              <w:top w:w="20" w:type="dxa"/>
              <w:bottom w:w="20" w:type="dxa"/>
            </w:tcMar>
            <w:vAlign w:val="center"/>
          </w:tcPr>
          <w:p>
            <w:pPr>
              <w:jc w:val="center"/>
              <w:rPr>
                <w:b/>
                <w:sz w:val="16"/>
              </w:rPr>
            </w:pPr>
            <w:r>
              <w:rPr>
                <w:b/>
                <w:sz w:val="16"/>
              </w:rPr>
              <w:t xml:space="preserve">Приоритети/области с поставен акцент </w:t>
            </w:r>
          </w:p>
        </w:tc>
        <w:tc>
          <w:tcPr>
            <w:tcW w:w="500" w:type="pct"/>
            <w:shd w:val="clear" w:color="auto" w:fill="C0C0C0"/>
            <w:noWrap w:val="0"/>
            <w:tcMar>
              <w:top w:w="20" w:type="dxa"/>
              <w:bottom w:w="20" w:type="dxa"/>
            </w:tcMar>
            <w:vAlign w:val="center"/>
          </w:tcPr>
          <w:p>
            <w:pPr>
              <w:jc w:val="center"/>
              <w:rPr>
                <w:b w:val="0"/>
                <w:sz w:val="16"/>
              </w:rPr>
            </w:pPr>
            <w:r>
              <w:rPr>
                <w:b/>
                <w:sz w:val="16"/>
              </w:rPr>
              <w:t>Мерки</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P3.1) Превенция и управление на риска: наличие на национални или регионални оценки на риска с оглед управлението на бедствия, като се отчита адаптирането към изменението на климата</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no</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3B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M17, M08</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P4.1) Добро земеделско и екологично състояние (ДЗЕС): на национално ниво са въведени стандарти за добро земеделско и екологично състояние на земята, посочени в дял VI, глава I от Регламент (ЕС) № 1306/2013</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5E, 5D</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M12, M10, M11</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P4.2) Минимални изисквания за употребата на торове и продукти за растителна защита: на национално равнище са установени минималните изисквания за употребата на торове и продукти за растителна защита, посочени в дял III, глава І, член 28 от Регламент (ЕС) № 1305/2013</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5D, 5E</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M10, M11</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P5.1) Енергийна ефективност: предприети са действия за насърчаване на икономически ефективни подобрения в ефективността на крайното потребление, както и икономически ефективни инвестиции в енергийна ефективност при строителството или санирането на сгради.</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6A, 5B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M04, M07</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P5.2) Воден сектор: Наличие на а)  политика за определяне на цените на водата, която осигурява на потребителите подходящи стимули да използват водните ресурси ефективно, и б) адекватен принос на различните потребители на вода към възстановяването на разходите за водни услуги на равнище, определено в одобрения план за управление на речните басейни за инвестициите, подкрепени от програмите.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no</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M04, M07</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P5.3) Енергия от ВЕИ: предприети са мерки за насърчаване на производството и разпространението на възобновяеми енергийни източници</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M04, M06</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P6.1) Инфраструктура за мрежи за достъп от следващо поколение (NGN): наличие на национални или регионални планове за достъп от следващо поколение, които вземат под внимание регионалните дейности, за да се постигнат целите на Съюза във връзка с достъпа до високоскоростен Интернет, съсредоточавайки се върху областите, в които пазарът не осигурява отворена инфраструктура на приемлива цена и с качество, съответстващо на правилата на Съюза за конкуренцията и държавните помощи, и за предоставяне на достъпни услуги за уязвимите групи.</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no</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6B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M07</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G1) Борба с дискриминацията: наличие на административен капацитет за въвеждането и прилагането на правото и политиката на Съюза за борба с дискриминацията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1B, 5C, 6A, 5E, 6C, 6B, 1A, 3A, 5A, 2A, 5B, 2B, 5D, 1C, 3B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M13, M06, M01, M15, M16, M04, M10, M14, M12, M19, M11, M08, M02, M07, M09</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G2) Равенство между половете: наличие на административен капацитет за въвеждането и прилагането на правото и политиката на Съюза за равенството между половете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5A, 3B, 1C, 6A, 3A, 5D, 2B, 6C, 5B, 1A, 5C, 6B, 1B, 2A, 5E</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M11, M12, M15, M14, M10, M08, M02, M07, M13, M06, M04, M16, M01, M09, M19</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G3) Увреждания: наличие на административен капацитет за въвеждането и прилагането на Конвенцията на ООН за правата на хората с увреждания в областта на европейските структурни и инвестиционни фондове в съответствие с Решение на Съвета 2010/48/ЕО</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5E, 6C, 6A, 6B, 1B, 1A, 3A, 5B, 5C, 5A, 1C, 3B, 2B, 2A, 5D</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M11, M02, M13, M10, M07, M09, M15, M12, M04, M19, M08, M14, M06, M01, M16</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G4) Обществени поръчки: наличие на уредба за ефективното прилагане на законодателството на Съюза за обществените поръчки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partially</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5C, 2A, 5A, 6B, 5B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M04, M02, M08, M07, M19</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G5) Държавни помощи: наличие на уредба за ефективното прилагане на правилата на Съюза за държавните помощи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6C, 6A, 5A, 2A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M02, M07, M15, M16, M06, M01, M08, M04, M19</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G6) Законодателство в областта на околната среда във връзка с оценката на въздействието върху околната среда (ОВОС) и стратегическата оценка на околната среда (СООС): наличие на уредба за ефективното прилагане на законодателството на Съюза относно околната среда, свързано с ОВОС и СООС.</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6B, 5A, 5C, 2A, 5B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M08, M19, M07, M04, M16, M02</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G7) Статистически системи и показатели за резултатите: наличие на статистическа база, необходима за оценяване на ефективността и въздействието на програмите. Наличие на система от показатели за резултатите, необходими за подбора на действия, които най-ефективно допринасят за постигане на желаните резултати, за наблюдение на напредъка към постигане на резултатите и за извършване на оценка на въздействието.</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partially</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5A, 6B, 3A, 2A, 3B, 5E, 1A, 6C, 5C, 5D, 1C, 1B, 6A, 5B, 2B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M01, M04, M07, M10, M06, M08, M09, M02, M15, M11, M12, M14, M19, M16</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bl>
    <w:p>
      <w:pPr>
        <w:rPr>
          <w:b/>
        </w:rPr>
      </w:pPr>
      <w:r>
        <w:rPr>
          <w:b/>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851"/>
        <w:gridCol w:w="2851"/>
        <w:gridCol w:w="2851"/>
        <w:gridCol w:w="2851"/>
        <w:gridCol w:w="285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50" w:type="pct"/>
            <w:vMerge w:val="restar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250" w:type="pct"/>
            <w:shd w:val="clear" w:color="auto" w:fill="C0C0C0"/>
            <w:noWrap w:val="0"/>
            <w:tcMar>
              <w:top w:w="20" w:type="dxa"/>
              <w:bottom w:w="20" w:type="dxa"/>
            </w:tcMar>
            <w:vAlign w:val="center"/>
          </w:tcPr>
          <w:p>
            <w:pPr>
              <w:jc w:val="center"/>
              <w:rPr>
                <w:b/>
                <w:sz w:val="16"/>
              </w:rPr>
            </w:pPr>
            <w:r>
              <w:rPr>
                <w:b/>
                <w:sz w:val="16"/>
              </w:rPr>
              <w:t>Критерии</w:t>
            </w:r>
          </w:p>
        </w:tc>
        <w:tc>
          <w:tcPr>
            <w:tcW w:w="500" w:type="pct"/>
            <w:shd w:val="clear" w:color="auto" w:fill="C0C0C0"/>
            <w:noWrap w:val="0"/>
            <w:tcMar>
              <w:top w:w="20" w:type="dxa"/>
              <w:bottom w:w="20" w:type="dxa"/>
            </w:tcMar>
            <w:vAlign w:val="center"/>
          </w:tcPr>
          <w:p>
            <w:pPr>
              <w:jc w:val="center"/>
              <w:rPr>
                <w:b/>
                <w:sz w:val="16"/>
              </w:rPr>
            </w:pPr>
            <w:r>
              <w:rPr>
                <w:b/>
                <w:sz w:val="16"/>
              </w:rPr>
              <w:t>Изпълнени критерии (Да/Не)</w:t>
            </w:r>
          </w:p>
        </w:tc>
        <w:tc>
          <w:tcPr>
            <w:tcW w:w="1000" w:type="pct"/>
            <w:shd w:val="clear" w:color="auto" w:fill="C0C0C0"/>
            <w:noWrap w:val="0"/>
            <w:tcMar>
              <w:top w:w="20" w:type="dxa"/>
              <w:bottom w:w="20" w:type="dxa"/>
            </w:tcMar>
            <w:vAlign w:val="center"/>
          </w:tcPr>
          <w:p>
            <w:pPr>
              <w:jc w:val="center"/>
              <w:rPr>
                <w:b/>
                <w:sz w:val="16"/>
              </w:rPr>
            </w:pPr>
            <w:r>
              <w:rPr>
                <w:b/>
                <w:sz w:val="16"/>
              </w:rPr>
              <w:t>Позоваване/препратка (ако е изпълнено) [препратка към стратегии, правни актове или други имащи отношение документи]</w:t>
            </w:r>
          </w:p>
        </w:tc>
        <w:tc>
          <w:tcPr>
            <w:tcW w:w="1000" w:type="pct"/>
            <w:shd w:val="clear" w:color="auto" w:fill="C0C0C0"/>
            <w:noWrap w:val="0"/>
            <w:tcMar>
              <w:top w:w="20" w:type="dxa"/>
              <w:bottom w:w="20" w:type="dxa"/>
            </w:tcMar>
            <w:vAlign w:val="center"/>
          </w:tcPr>
          <w:p>
            <w:pPr>
              <w:jc w:val="center"/>
              <w:rPr>
                <w:b w:val="0"/>
                <w:sz w:val="16"/>
              </w:rPr>
            </w:pPr>
            <w:r>
              <w:rPr>
                <w:b/>
                <w:sz w:val="16"/>
              </w:rPr>
              <w:t>Оценка на неговото изпълнение</w:t>
            </w: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P3.1) Превенция и управление на риска: наличие на национални или регионални оценки на риска с оглед управлението на бедствия, като се отчита адаптирането към изменението на климата</w:t>
            </w:r>
          </w:p>
        </w:tc>
        <w:tc>
          <w:tcPr>
            <w:tcW w:w="1250" w:type="pct"/>
            <w:shd w:val="clear" w:color="auto" w:fill="FFFFFF"/>
            <w:noWrap w:val="0"/>
            <w:tcMar>
              <w:top w:w="20" w:type="dxa"/>
              <w:bottom w:w="20" w:type="dxa"/>
            </w:tcMar>
            <w:vAlign w:val="center"/>
          </w:tcPr>
          <w:p>
            <w:pPr>
              <w:jc w:val="left"/>
              <w:rPr>
                <w:b w:val="0"/>
                <w:sz w:val="12"/>
              </w:rPr>
            </w:pPr>
            <w:r>
              <w:rPr>
                <w:b w:val="0"/>
                <w:sz w:val="12"/>
              </w:rPr>
              <w:t>P3.1.a) Въведена е национална или регионална оценка на риска със следните елементи: описание на процеса, методологията, методите и неповерителните данни, използвани за оценка на риска, както и на основаните на риска критерии за определяне на приоритетите по отношение на инвестициите;</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numPr>
                <w:ilvl w:val="0"/>
                <w:numId w:val="107"/>
              </w:numPr>
              <w:spacing w:before="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Стратегия за намаляване на риска от бедствия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Приета с Решение по т. 19 с Протокол № 15 от заседанието на Министерския съвет на 16 април 2014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http://www.nspbzn.mvr.bg/Strategicheski_dokumenti/default.htm</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Министерският съвет възлага на Консултативния съвет за подпомагане на Министерския съвет при формиране на държавната политика в областта на защитата при бедствия координацията по изпълнението на Стратегията.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08"/>
              </w:numPr>
              <w:spacing w:before="15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програма за защита при бедствия 2014-2018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http://www.nspbzn.mvr.bg/Norm_uredba/drugi.htm</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Програмата и Планът за 2014 г. за нейното изпълнение са приети с РМС №270/07.05.2014.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Наредбата за условията, реда и органите за извършване на анализ, оценка и картографиране на рисковете от бедствия е приета от МС с Постановление № 264/25.10.2012 г. и публикувана в ДВ бр. 84 от 02.11.2012 г., изменена с Постановление на МС № 6 от 21 януари 2014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http://www.nspbzn.mvr.bg/Norm_uredba/naredba_bedstvia.htm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09"/>
              </w:numPr>
              <w:spacing w:before="15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Съществуват национални и областни оценки на риска в националния и областните планове за защита при бедствия, както и в Националната програма за защита при бедствия 2009 – 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http://www.strategy.bg/StrategicDocuments/View.aspx?lang=bg-BG&amp;Id=550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Национален план за защита при бедствия: Част 1 Защита при земетресение; Част 2 Защита при наводнение; Част 3 Външен авариен план на АЕЦ “Козлодуй”</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http://www.strategy.bg/StrategicDocuments/View.aspx?lang=bg-BG&amp;Id=664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Областните планове за защита при бедствия са публикувани на интернет-страниците на областните администрации.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Предварителна оценка на риска от наводнения в Дунавски район за басейново управление, достъпна в Интернет на адрес:</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http://www.bddunav.org/content/upravlenie-na-vodite/upravlenie-na-riska-ot-navodneniia/predvaritelna-ocenka-na-riska-ot-navodneniia-v-dunavski-rayon-za-baseynovo-upravlenie/porn-v-dunavski-rayon/</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http://www.strategy.bg/Links.aspx?lang=bg-BG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Предварителна оценка на риска от наводнения в  Черноморски район за басейново управление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http://www.bsbd.org/UserFiles//File/Copy%20of%20BSBD_PFRA_v2.pdf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Предварителна оценка на риска от наводнения за Източнобеломорски район, достъпна в Интернет на адрес:</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http://www.bdibr.org/details.php?p_id=243&amp;id=276;</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Предварителна оценка на риска от наводнения в  Западнобеломорски район за басейново управление, достъпна в Интернет на адрес: http://www.wabd.bg/bg/index.php?option=com_content&amp;task=view&amp;id=987&amp;Itemid=72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Национална стратегия за развитие на горския сектор в Република България за периода 2013-2020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Приета на заседание на МС на 27.11.2013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http://www.mzh.government.bg/MZH/bg/ShortLinks/cross.compliance/Gorskisector.aspx.</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Програма от мерки за адаптиране на горите в Република България и смекчаване на негативното влияние на климатичните промени върху тях http://www.iag.bg/data/docs/Programa_ot_merki.pdf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Наредба №8  за условията и реда за защита на горските територии от пожари,   издадена от министъра на вътрешните работи и министъра на земеделието и храните, обн., ДВ, бр. 38 от 18.05.2012 г., в сила от 18.05.2012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http://www.nug.bg/docs/lang/1/cat/3/index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Наредба № 6 за устройство на горите и земите от горския фонд и на ловностопанските райони в Р България, издадена от Министерство на земеделието и горите, Обн. ДВ. бр.27 от 1 април 2004г., изм. ДВ. бр.80 от 7.10.2005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http://www.nug.bg/docs/lang/1/cat/3/index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Стратегия за опазване на горите от пожари /Приета на заседание на Колегиум на МЗГ от 09.12.2003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http://www.farmer.bg/news_view.php?id=1905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Трети национален план за действие по изменение на климата за периода 2013-2020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http://www.strategy.bg/StrategicDocuments/View.aspx?lang=bg-BG&amp;Id=760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Анализ и оценка на риска и уязвимостта на секторите в българската икономика от климатичните промени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http://www.moew.government.bg/?show=html&amp;hid=180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Анализ на риска от свлачища на територията на България, приет през месец юни 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Картографиране на свлачищата в страната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Методика за приоритизиране на свлачищата на територията на България, одобрена със заповед на министъра на регионалното развитие № РД-02-14-951/02.10.2013 г.</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P3.1.b) Въведена е национална или регионална оценка на риска със следните елементи: описание на сценарии с един риск и множество рискове;</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P3.1.c) Въведена е национална или регионална оценка на риска със следните елементи: когато е уместно, отчитане на националните стратегии за адаптиране към изменението на климата,</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P4.1) Добро земеделско и екологично състояние (ДЗЕС): на национално ниво са въведени стандарти за добро земеделско и екологично състояние на земята, посочени в дял VI, глава I от Регламент (ЕС) № 1306/2013</w:t>
            </w:r>
          </w:p>
        </w:tc>
        <w:tc>
          <w:tcPr>
            <w:tcW w:w="1250" w:type="pct"/>
            <w:shd w:val="clear" w:color="auto" w:fill="FFFFFF"/>
            <w:noWrap w:val="0"/>
            <w:tcMar>
              <w:top w:w="20" w:type="dxa"/>
              <w:bottom w:w="20" w:type="dxa"/>
            </w:tcMar>
            <w:vAlign w:val="center"/>
          </w:tcPr>
          <w:p>
            <w:pPr>
              <w:jc w:val="left"/>
              <w:rPr>
                <w:b w:val="0"/>
                <w:sz w:val="12"/>
              </w:rPr>
            </w:pPr>
            <w:r>
              <w:rPr>
                <w:b w:val="0"/>
                <w:sz w:val="12"/>
              </w:rPr>
              <w:t>P4.1.a) В националното законодателство са установени стандарти за ДЗЕС и те са посочени в програмите;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националното законодателство са установени стандарти за ДЗЕС и те са посочени в програмите;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http://www.mzh.government.bg/MZH/bg/ShortLinks/cross_compliance.aspx</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P4.2) Минимални изисквания за употребата на торове и продукти за растителна защита: на национално равнище са установени минималните изисквания за употребата на торове и продукти за растителна защита, посочени в дял III, глава І, член 28 от Регламент (ЕС) № 1305/2013</w:t>
            </w:r>
          </w:p>
        </w:tc>
        <w:tc>
          <w:tcPr>
            <w:tcW w:w="1250" w:type="pct"/>
            <w:shd w:val="clear" w:color="auto" w:fill="FFFFFF"/>
            <w:noWrap w:val="0"/>
            <w:tcMar>
              <w:top w:w="20" w:type="dxa"/>
              <w:bottom w:w="20" w:type="dxa"/>
            </w:tcMar>
            <w:vAlign w:val="center"/>
          </w:tcPr>
          <w:p>
            <w:pPr>
              <w:jc w:val="left"/>
              <w:rPr>
                <w:b w:val="0"/>
                <w:sz w:val="12"/>
              </w:rPr>
            </w:pPr>
            <w:r>
              <w:rPr>
                <w:b w:val="0"/>
                <w:sz w:val="12"/>
              </w:rPr>
              <w:t>P4.2.a) В програмите са указани минималните изисквания за употребата на торове и продукти за растителна защита, посочени в дял III, глава I от Регламент (ЕС) № 1305/2013;</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Правилата за добра земеделска практика и относимото актуално законодателство се намират 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http://www.mzh.government.bg/MZH/bg/ShortLinks/DobraZemedelskaPraktika.aspx</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P5.1) Енергийна ефективност: предприети са действия за насърчаване на икономически ефективни подобрения в ефективността на крайното потребление, както и икономически ефективни инвестиции в енергийна ефективност при строителството или санирането на сгради.</w:t>
            </w:r>
          </w:p>
        </w:tc>
        <w:tc>
          <w:tcPr>
            <w:tcW w:w="1250" w:type="pct"/>
            <w:shd w:val="clear" w:color="auto" w:fill="FFFFFF"/>
            <w:noWrap w:val="0"/>
            <w:tcMar>
              <w:top w:w="20" w:type="dxa"/>
              <w:bottom w:w="20" w:type="dxa"/>
            </w:tcMar>
            <w:vAlign w:val="center"/>
          </w:tcPr>
          <w:p>
            <w:pPr>
              <w:jc w:val="left"/>
              <w:rPr>
                <w:b w:val="0"/>
                <w:sz w:val="12"/>
              </w:rPr>
            </w:pPr>
            <w:r>
              <w:rPr>
                <w:b w:val="0"/>
                <w:sz w:val="12"/>
              </w:rPr>
              <w:t>P5.1.a) Мерки, които да гарантират, че са въведени минималните изисквания във връзка с енергийните характеристики на сградите съгласно членове 3, 4 и 5 от Директива 2010/31/ЕС на Европейския парламент и на Съвета;</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България е приела методология за изчисляване на енергийните характеристики на сградите, която е регламентирана в чл.15 от Закон за енергийната ефективност, обн. в ДВ 24, от 12.03.2013 г., както и в разпоредбите на Наредба № РД-16-1058 за показателите за разход на енергия и енергийните характеристики на сградите на МИЕ и МРР и в разпоредбите на Наредба № 7 за енергийна ефективност, топлосъхранение и икономия на енергия в сгради на МИП, както и Приложение № 3 от Наредба № 7.</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http://www.seea.government.bg/index.php?option=com_content&amp;view=article&amp;id=9250&amp;Itemid=227&amp;lang=bg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http://www.seea.government.bg/documents/Naredba%207.pdf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P5.1.b) Мерки, необходими за въвеждане на система за сертифициране на енергийните характеристики на сградите съгласно член 11 от Директива 2010/31/ЕС;</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Раздел ІІ от Закон за енергийната ефективност, обн. ДВ 24, 12.03.2013 г. е регламентирана системата за сертифициране на енергийните характеристики на сгради „Обследване за енергийна ефективност и сертифициране на сгради“, както и в Наредба №16-1594 от 13.11.2013 г. за обследване за енергийна ефективност, сертифициране и оценка на енергийните спестявания на сгради, с приложенията към нея.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http://www.seea.government.bg/index.php?option=com_content&amp;view=article&amp;id=9250&amp;Itemid=227&amp;lang=bg</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P5.1.c) Мерки за осигуряване на стратегическото планиране в областта на енергийната ефективност съгласно член 3 от Директива 2012/27/ЕС на Европейския парламент и на Съвета;</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Стратегическото планиране на енергийната ефективност е осъществено с Енергийната стратегия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http://www.mi.government.bg/bg/themes/energiina-strategiya-na-republika-balgariya-do-2020-g-147-295.html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 отношение на жилищните сгради има действащи Национална жилищна стратегия и Национална програма за обновяване на жилищни сгради в Република България</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P5.1.d) Мерки съгласно член 13 от Директива 2006/32/ЕО на Европейския парламент и на Съвета относно ефективността при крайното потребление на енергия и осъществяване на енергийни услуги, с цел да се осигури предоставянето на индивидуални измерителни уреди на крайните клиенти, доколкото това е технически възможно, разумно от финансова гледна точка и съразмерно на потенциалните икономии на енергия.</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Нормативните актове, свързани с мерките по Член 13 на Директива 2006/32/EC са: Закон за енергетиката (ЗЕ) и Наредба № 16-334 за топлоснабдяването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http://www.mi.government.bg/bg/library/zakon-za-energetikata-256-c25-m258-2.html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http://www.mi.government.bg/bg/library/naredba-16-334-ot-6-april-2007-g-za-toplosnabdyavaneto-404-c78-m260-3.html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ел. енергията – чл. 120 от ЗЕ;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новоизграждани многофамилни сгради - Наредба № 15 от 28.07.2005 г. за технически правила и нормативи за проектиране, изграждане и експлоатация на обектите и съоръженията за производство, пренос и разпределение на топлинна енергия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централизираното топлоснабдяване – чл. 139, ал. 1; чл. 140, ал. 1; чл. 140а до чл. 145 и чл. 156 от ЗЕ; чл. 43; чл. 52, ал. от 1 до 5; чл. 62 и Методика за разпределение на топлинната енергия за сгради – етажна собственост, приложение към чл. 61 от Наредба № 16-334.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http://www.mi.government.bg/bg/library/naredba-15-ot-28-07-2005-g-za-tehnicheski-pravila-i-normativi-za-proektirane-izgrajdane-i-eksploa-405-c78-m260-3.html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Регулаторната рамка относно фактурирането от дистрибуторите на енергия е в чл. 38 от Закона за енергийната ефективност (ЗЕЕ)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http://www.seea.government.bg/index.php?option=com_content&amp;view=article&amp;id=9250&amp;Itemid=227&amp;lang=bg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Разпоредбите свързани с общите условия на договорите, одобрени от Държавната комисия за енергийно и водно регулиране, са разписани вчл. 150, ал. 1 и чл. 149б от ЗЕ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http://www.mi.government.bg/bg/library/zakon-za-energetikata-256-c25-m258-2.html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Останалата информация се съдържа в ежемесечните съобщения за фактури, предоставяни на клиентите на топлинна енергия от съответните топлофикационни дружества.</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P5.2) Воден сектор: Наличие на а)  политика за определяне на цените на водата, която осигурява на потребителите подходящи стимули да използват водните ресурси ефективно, и б) адекватен принос на различните потребители на вода към възстановяването на разходите за водни услуги на равнище, определено в одобрения план за управление на речните басейни за инвестициите, подкрепени от програмите.</w:t>
            </w:r>
          </w:p>
        </w:tc>
        <w:tc>
          <w:tcPr>
            <w:tcW w:w="1250" w:type="pct"/>
            <w:shd w:val="clear" w:color="auto" w:fill="FFFFFF"/>
            <w:noWrap w:val="0"/>
            <w:tcMar>
              <w:top w:w="20" w:type="dxa"/>
              <w:bottom w:w="20" w:type="dxa"/>
            </w:tcMar>
            <w:vAlign w:val="center"/>
          </w:tcPr>
          <w:p>
            <w:pPr>
              <w:jc w:val="left"/>
              <w:rPr>
                <w:b w:val="0"/>
                <w:sz w:val="12"/>
              </w:rPr>
            </w:pPr>
            <w:r>
              <w:rPr>
                <w:b w:val="0"/>
                <w:sz w:val="12"/>
              </w:rPr>
              <w:t>P5.2.a) В подпомаганите от ЕЗФРСР сектори държавата членка е осигурила участието на различните видове ползване на водите във възстановяването на разходите за водни услуги от отрасъла в съответствие с член 9, параграф 1, първо тире от Рамковата директива за водите, като се отчита по целесъобразност социалното, екологичното и икономическото въздействие на това възстановяване, както и географските и климатичните условия в засегнатия(те) регион(и).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Планове за управление на речните басейни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http://www3.moew.government.bg/?show=top&amp;cid=66&amp;lang=bg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Плановете са одобрени,  влезли в сила и докладвани на ЕК на 22.03.2010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водите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http://www3.moew.government.bg/files/file/Water/Legislation/Zakoni/ZAKON_za_vodite.pdf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Тарифа за таксите за водовземане, ползване на воден обект и замърсяване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http://www3.moew.government.bg/files/file/Water/Legislation/tarifi/Ttaksi_vodovz_polzv_zamyrs.pdf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Тарифата въвежда такси за водовземане за различни цели, с което частично осигурява принос на водоползвателите към възстановяване на разходите за водни услуги и частично – принципа „замърсителя плаща.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Законодателство в областта на водния сектор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http://www.moew.government.bg/?show=top&amp;cid=40</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P5.3) Енергия от ВЕИ: предприети са мерки за насърчаване на производството и разпространението на възобновяеми енергийни източници</w:t>
            </w:r>
          </w:p>
        </w:tc>
        <w:tc>
          <w:tcPr>
            <w:tcW w:w="1250" w:type="pct"/>
            <w:shd w:val="clear" w:color="auto" w:fill="FFFFFF"/>
            <w:noWrap w:val="0"/>
            <w:tcMar>
              <w:top w:w="20" w:type="dxa"/>
              <w:bottom w:w="20" w:type="dxa"/>
            </w:tcMar>
            <w:vAlign w:val="center"/>
          </w:tcPr>
          <w:p>
            <w:pPr>
              <w:jc w:val="left"/>
              <w:rPr>
                <w:b w:val="0"/>
                <w:sz w:val="12"/>
              </w:rPr>
            </w:pPr>
            <w:r>
              <w:rPr>
                <w:b w:val="0"/>
                <w:sz w:val="12"/>
              </w:rPr>
              <w:t>P5.3.a) Въведени са прозрачни схеми за подкрепа, приоритетен достъп до мрежата или гарантиран достъп и приоритет при разпределението, както и публично оповестени стандартни правила за поемането и поделянето на разходите за техническо приспособяване, съвместими с член 14, параграф 1 и член 16, параграфи 2 и 3 от Директива 2009/28/ЕО;</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52, чл. 54 от Закона за енергията от възобновяеми източници (ЗЕВИ) (Обн. ДВ. бр. 35/03.05.2011 г., посл. изм. и доп. ДВ бр. 109 от 2013 г., в сила от 1.01.2014 г http://www.mi.government.bg/bg/library/zakon-za-energiyata-ot-vazobnovyaemi-iztochnici-167-c25-m258-1.html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за набирането и предоставянето на информацията чрез Националната информационна система за потенциала, производството и потреблението на енергия от възобновяеми източници в Република България (Обн. ДВ бр.39/22.05.2012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u w:val="single"/>
              </w:rPr>
              <w:t>http://www.seea.government.bg/index.php?option=com_content&amp;view=article&amp;id=9359&amp;Itemid=120&amp;lang=bg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Държавата е въвела изискванията за прозрачни схеми за подпомагане. Изискването за предоставяне на информация на всички заинтересовани страни относно мерките за подпомагане е въведено в българското законодателство.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18, ал. 1, чл. 24, т. 1, чл. 26, ал. 3, ал. 4, ал. 5 и чл. 30, ал. 6, ал. 7 на ЗЕВИ;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50, чл. 52 от НАРЕДБА № 3 от 21.03.2013 г. за лицензиране на дейностите в енергетиката (обн., ДВ, бр. 33 от 5.04.2013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Правила за управление  на електроенергийната система Обн., ДВ, бр. 6 от 21.01.2014 г.Правила за управление на електроразпределителните мрежи (Обн. ДВ бр. 66 от 14.08.2007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http://dker.bg/docsbg.php?d=8&amp;subD=30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Изискването за предоставяне на гарантиран достъп до електрическите мрежи и приоритет при диспечиране на електрическата енергия от възобновяеми източници са въведени в българското законодателство.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22, чл. 23, чл. 27, чл. 29, чл. 52 на ЗЕВИ;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30, чл. 31 на Закона за енергетиката (Обн. ДВ. бр. 107 от  9.12.2003, посл изм. и доп. ДВ бр. 66 от 26.07.2013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 1 от 18.03.2013 г. за регулиране на цените на електрическата енергия  (Обн. ДВ бр. 33 от 05.04.2013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http://www.mi.government.bg/bg/library/zakon-za-energetikata-256-c25-m258-1.html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Методика за компенсиране на разходите на обществения доставчик и крайните снабдители, произтичащи от наложени им задължения към обществото за изкупуване на електрическа енергия по преференциални цени от възобновяеми енергийни източници и от високоефективно комбинирано производство на топлинна и електрическа енергия (Обн., ДВ, бр. 62 от 14.08.2012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http://dker.bg/docsbg.php?d=8&amp;subD=30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Държавата е изпълнила изискването за обществена достъпност на правилата за покриване и разпределяне на разходите, свързани с присъединяване към електрическите мрежи на енергийни обекти за производство на електрическа енергия от възобновяеми източници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P5.3.b) Държавата членка е приела национален план за действие в областта на енергията от ВЕИ в съответствие с член 4 от Директива 2009/28/ЕО</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Националният План за действие за енергията от възобновяеми източници (НПДЕВИ) е приет от Министерския съвет на Република България на 09 януари 2013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http://www.strategy.bg/StrategicDocuments/View.aspx?lang=bg-BG&amp;Id=781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P6.1) Инфраструктура за мрежи за достъп от следващо поколение (NGN): наличие на национални или регионални планове за достъп от следващо поколение, които вземат под внимание регионалните дейности, за да се постигнат целите на Съюза във връзка с достъпа до високоскоростен Интернет, съсредоточавайки се върху областите, в които пазарът не осигурява отворена инфраструктура на приемлива цена и с качество, съответстващо на правилата на Съюза за конкуренцията и държавните помощи, и за предоставяне на достъпни услуги за уязвимите групи.</w:t>
            </w:r>
          </w:p>
        </w:tc>
        <w:tc>
          <w:tcPr>
            <w:tcW w:w="1250" w:type="pct"/>
            <w:shd w:val="clear" w:color="auto" w:fill="FFFFFF"/>
            <w:noWrap w:val="0"/>
            <w:tcMar>
              <w:top w:w="20" w:type="dxa"/>
              <w:bottom w:w="20" w:type="dxa"/>
            </w:tcMar>
            <w:vAlign w:val="center"/>
          </w:tcPr>
          <w:p>
            <w:pPr>
              <w:jc w:val="left"/>
              <w:rPr>
                <w:b w:val="0"/>
                <w:sz w:val="12"/>
              </w:rPr>
            </w:pPr>
            <w:r>
              <w:rPr>
                <w:b w:val="0"/>
                <w:sz w:val="12"/>
              </w:rPr>
              <w:t>P6.1.a) Въведен е национален или регионален план за мрежова инфраструктура от следващо поколение, който включва: основан на икономически анализ план за инвестициите в инфраструктурата, в който се отчитат съществуващата частна и публична инфраструктура и планирани инвестиции;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 е Националния план за инфраструктура от следващо поколение, приет от МС с решение №435/20.06.2014г. - https://www.mtitc.government.bg/upload/docs/2014-07/Bulgarian_plan_for_NGA_Draft_9_June_.pdf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Извършен е икономически анализ на търсенето и предлагането на ИКТ услуги - https://www.mtitc.government.bg/upload/docs/2015-01/Ikonom__analiz_final_data1.pdf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Създадена е карта на съществуващата и планирана инфраструктура - https://www.mtitc.government.bg/page.php?category=619&amp;id=7391;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https://www.mtitc.government.bg/page.php?category=619&amp;id=7390.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P6.1.b) Въведен е национален или регионален план за мрежова инфраструктура от следващо поколение, който включва: модели за устойчиви инвестиции, които повишават конкуренцията и обезпечават достъп до отворени качествени инфраструктура и услуги на приемлива цена, които са готови за бъдещето;</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 е Националния план за инфраструктура от следващо поколение, приет от МС с решение №435/20.06.2014г. - https://www.mtitc.government.bg/upload/docs/2014-07/Bulgarian_plan_for_NGA_Draft_9_June_.pdf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Извършен е икономически анализ на търсенето и предлагането на ИКТ услуги - https://www.mtitc.government.bg/upload/docs/2015-01/Ikonom__analiz_final_data1.pdf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Създадена е карта на съществуващата и планирана инфраструктура - https://www.mtitc.government.bg/page.php?category=619&amp;id=7391;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https://www.mtitc.government.bg/page.php?category=619&amp;id=7390.</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P6.1.c) Въведен е национален или регионален план за мрежова инфраструктура от следващо поколение, който включва: мерки за стимулиране на частните инвестиции.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 е Националния план за инфраструктура от следващо поколение, приет от МС с решение №435/20.06.2014г. - https://www.mtitc.government.bg/upload/docs/2014-07/Bulgarian_plan_for_NGA_Draft_9_June_.pdf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Извършен е икономически анализ на търсенето и предлагането на ИКТ услуги - https://www.mtitc.government.bg/upload/docs/2015-01/Ikonom__analiz_final_data1.pdf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Създадена е карта на съществуващата и планирана инфраструктура - https://www.mtitc.government.bg/page.php?category=619&amp;id=7391;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https://www.mtitc.government.bg/page.php?category=619&amp;id=7390.</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G1) Борба с дискриминацията: наличие на административен капацитет за въвеждането и прилагането на правото и политиката на Съюза за борба с дискриминацията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G1.a) Уредба в съответствие с институционалната и правната рамка на държавите членки за осигуряване на участието на органите, отговарящи за насърчаването на равното третиране на всички лица, през цялото време на изготвянето и изпълнението на програмите, включително предоставянето на консултации по въпросите на равенството в рамките на дейностите, свързани с европейските структурни и инвестиционни фондове.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Законът за защита от дискриминация ((http://www.kzd-nondiscrimination.com/layout/index.php/layout-over-40-positions/normativni-dokumenti/zakon-za-zashtita-ot-diskriminacia) напълно транспонира европейските директиви за равенство: 2000/43/ЕО, 78/200/ЕС, 75/117/ЕИО, 97/80/ЕО и 76/207/ЕИО, и гарантира защитата на всички граждани на територията на Република България срещу формите на дискриминация, като едновременно с това съдейства за предотвратяването на дискриминацията и утвърждава мерки за равенство във възможностите.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-Комисия за защита от дискриминация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Според разпоредбата на чл.40 от Закона за защита от дискриминация, през 2005 г. е създадена  Комисия за защита от дискриминация, която е независим специализиран държавен орган за предотвратяване на дискриминация, защита от дискриминация и осигуряване на равенство във възможностите. Комисията осъществява контрол по прилагането и спазването на българските и международни антидискриминационни норми, уреждащи равенство в третирането, като за своята дейност тя се отчита пред върховния орган на законодателната власт – Народното събрание на Република България. Комисията за защита от дискриминация е акредитиран орган за защита правата на човека към ООН, със статут „Б”, във връзка с отговарянето на институцията на Парижките принципи.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-Като платформа за консултации и въвличане на органите отговорни за антидискриминацията, КЗД провежда ежегодно семинари с отговорни служители от централните държавни органи – МВР, МТСП, МК и др., от съдебната система – съдии и  прокурори, териториалните общински администрации, както и с представители на медиите и НПО.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улесняване на активното участие на КЗД в равнопоставеното отношение към всички хора при подготовката и прилагането на програми и дейности на ЕС, са приети и се прилагат Правила за производство пред КЗД. Изготвен е проект на Закон за изменение и допълнение на Закона за защита от дискриминация. Законопроектът е одобрен от Министерския съвет с Решение № 735 от 22.11.2013 г. и е внесен в Народно събрание на 25.11.2013 г. под № 302-01-46. Изменението ще определи нови облекчени минимални изисквания за сезиране на КЗД с оглед прилагане на принципа на равно третиране и за предотвратяване на проявите на дискриминация.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-Формата за осъществяване на консултации и въвличане е чрез участието в различните съгласувателни процедури съгласно УПМС и работни групи, като например РГ 13 „Социална политика и заетост” и т. н.</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чл.5.,ал.4 на ПМС 5 от 18 януари 2012 г. за разработване на стратегическите и програмните документи на Република България за управление на средствата от Фондовете по Общата стратегическа рамка на Европейския съюз за програмния период 2014-2020 г. в състава на тематичните работни групи за разработване на програмите за новия програмен период задължително участват представители на КЗД и национално представителните организации на и за хора с увреждания, признати от Министерския съвет по реда на Закона за интеграция на хората с увреждания;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 всички програми през новия програмен период ще залегнат и ще бъдат съблюдавани хоризонталните принципи на равенство на половете и недискриминация.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G1.b) Уредба за обучение на персонала на органите, които участват в управлението и контрола на европейските структурни и инвестиционни фондове, в областите на правото и политиката на Съюза за борба с дискриминацията.</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Този критерий се изпълнява на няколко равнища: чрез Плана за обучение на Учебния център на МТСП, проектните дейности на КЗД, които се осъществяват, дейностите на АХУ, Омбудсмана, НПО, социалните партньори и останалите заинтересовани страни, насочени към повишаване на осведомеността и капацитета в областта на законодателството и политиката за антидискриминацията.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КЗД ежегодно провежда обучение по европейското законодателство и политика за антидискриминация чрез тематични семинари, на които като гост-лектори участват и представители на институции на ЕС. Прилагането на Конвенцията за премахване на всички форми на дискриминация по отношение на жените и допълнителния протокол към нея е застъпено в обученията на Националния институт на правосъдието, посветени на гаранциите за защита от дискриминация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Проведена е публична лекция с участието на съдия в Съда на ЕС в Люксембург, на тема „Практиката на Съда на ЕС по приложението на Хартата на основните права в ЕС. Действието на Хартата по отношение на държавите- членки”. Програмата на събитието включва антидискриминационното законодателство, както и приложимата практика на Съда на ЕС. В публичната лекция са участвали 63 участници /48 съдии, 9 прокурори, 2-ма следователи, 2-ма представители на Комисията за  защита от дискриминация, 1 представител на СУ и 1 представител</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Съюза на юристите в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Семинарните обучения обхващат широк кръг отговорни служители от централни държавни органи – МВР, МТСП, МОН, МК и др., териториалните общински администрации, както и  представители на медиите и НПО. Проведени са пет семинара в рамките на проект „Борба с дискриминацията – за справедливо общество (JUST/2012/PROG/AG/AD/3710) по програма ПРОГРЕС (2007-2013).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В рамките на проектни дейности МТСП осъществява обучения по отношение на антидискриминационните политики и съответното законодателство. В това число се осъществяват обучения за социалните партньори, работодателските организации, структурите на АЗ, структурите на АСП, синдикатите, работодатели, НПО и т. н., като се цели реално въздействие и промяна върху пазара на труда в посока на намаляване на неравното третиране по всички дискриминационни признаци.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Друга сфера, в която работи МТСП е обучения за превенция на дискриминация в домовете за деца, лишени от родителски грижи. През март бяха подготвени и третата кръгла маса за Централен регион, както и обучителните семинари в гр. Пловдив и гр. Бургас за екипите, работещи с деца в институционална грижа.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През месец март и април 2014 г. бяха проведени две кръгли маси за Югозападен и Източен регион, в гр. Сандански и гр. Бургас с участието на работодатели, младежи напускащи институциите за деца, местната власт, регионалните структури на Агенция по заетостта и Агенция за социално подпомагане. Кръглите маси имат за цел промяна обществените нагласи и реализация на пазара на труда на младежи от домове за деца, които са в последната година на обучение.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През месец април 2014 г. бяха проведени двете Национални кампании за повишаване на осведомеността и подобряване на обществената чувствителност по отношение на директиви на Съвета 2000/43/ЕС и 2000/78/ЕС в гр. Кърджали и гр. Балчик. Проектните дейности приключиха с провеждането на Заключителна конференция в гр. София през месец май 2014 г.</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G2) Равенство между половете: наличие на административен капацитет за въвеждането и прилагането на правото и политиката на Съюза за равенството между половете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G2.a) Уредба в съответствие с институционалната и правната рамка на държавите членки за осигуряване на участието на органите, отговарящи за равенството между половете, през цялото време на изготвянето и изпълнението на програмите, включително предоставянето на консултации по въпросите на равенството между половете в рамките на дейностите, свързани с ЕСИ фондовете.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чл. 20 на Директива 2006/54/ЕК Комисията за защита от дискриминацията е определена за национален орган за равенство.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i/>
                <w:iCs/>
                <w:sz w:val="15"/>
                <w:szCs w:val="15"/>
              </w:rPr>
              <w:t>-</w:t>
            </w:r>
            <w:r>
              <w:rPr>
                <w:rFonts w:ascii="Times New Roman" w:eastAsia="Times New Roman" w:hAnsi="Times New Roman" w:cs="Times New Roman"/>
                <w:sz w:val="15"/>
                <w:szCs w:val="15"/>
              </w:rPr>
              <w:t>Законът за защита от дискриминация (в сила от 01.01.2004 г.) напълно транспонира европейските директиви за равенство: 2000/43/ЕО, 78/200/ЕС, 75/117/ЕИО, 97/80/ЕО и 76/207/ЕИО, и гарантира защитата на всички граждани на територията на Република България срещу формите на дискриминация, като едновременно с това съдейства за предотвратяването на дискриминацията и утвърждава мерки за равенство във възможностите. Според разпоредбата на чл.40 от Закона за защита от дискриминация, през 2005 г. е създадена  Комисия за защита от дискриминация, която е независим специализиран държавен орган за предотвратяване на дискриминация, защита от дискриминация и осигуряване на равенство във възможностите. Комисията осъществява контрол по прилагането и спазването на българските и международни антидискриминационни норми, уреждащи равенство в третирането, като за своята дейност тя се отчита пред върховния орган на законодателната власт – Народното събрание на Република България. Комисията за защита от дискриминация е акредитиран орган за защита правата на човека към ООН, със статут „Б”, във връзка с отговарянето на институцията на Парижките принципи.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Държавната политика на Република България в областта на равнопоставеността на жените и мъжете и недискриминацията по признак „пол” е хоризонтална политика, която се координира от Министерството на труда и социалната политика на национално ниво. Постигнат е устойчив модел за сътрудничество между институциите, както и със социалните партньори и гражданското общество чрез участието им в Националния съвет по равнопоставеността на жените и мъжете към Министерския съвет. Председател на този Съвет е министърът на труда и социалната политика. Стратегическият документ на българското правителство, определящ рамката на политиката е Национална стратегия за насърчаване на равнопоставеността на половете за периода 2009 – 2015 г., която е приета в съответствие с изпълнение на препоръките на Съвета на Европа, стратегическите документи на Европейския съюз и принципите, залегнали в конвенциите на ООН за правата на човека и правата на жените. В изпълнение на този основен стратегически документ, всяка година Министерството на труда и социалната политика разработва годишни национални планове за действие за насърчаване на равнопоставеността на жените и мъжете като въвлича в процеса на консултация всички отговорни органи за прилагането на равенството между половете. Чрез Националните планове се цели обединяване на усилията на всички институции за изпълнение на мерки и дейности за постигане на равнопоставеност между жените и мъжете във всички сфери на икономическия, политическия и обществения живот. В изпълнение на ангажиментите на Република България към международни и европейски договори, по които е страна, както и приетия от МС с Решение № 438 от 25 юли 2013 г. План за действие за изпълнение на заключителните препоръки към Република България, отправени от Комитета на ООН за премахване на дискриминацията по отношение на жените, ще бъде разработен Закон за равенство между половете. Целта е да се създадат нормативни гаранции, свързани с мерките за осигуряване на равни възможности на жените и мъжете и да бъде укрепен институционалния механизъм/ структури за провеждане на държавната политика в тази област. Планът за действие е разработен от Междуведомствена работна група с участието на представители на всички министерства, агенции, обществени органи, социални партньори, неправителствени организации, работещи в областта на равнопоставеността на половете и организации за защита на човешките права. В него са предвидени следните мерки в съответствие с отправените     препоръки, като:</w:t>
            </w:r>
          </w:p>
          <w:p>
            <w:pPr>
              <w:numPr>
                <w:ilvl w:val="0"/>
                <w:numId w:val="110"/>
              </w:numPr>
              <w:spacing w:before="15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изработване на проект на Закон за равенство между половете;</w:t>
            </w:r>
          </w:p>
          <w:p>
            <w:pPr>
              <w:numPr>
                <w:ilvl w:val="0"/>
                <w:numId w:val="110"/>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укрепване на Националния механизъм за осигуряване на равнопоставеност на половете;</w:t>
            </w:r>
          </w:p>
          <w:p>
            <w:pPr>
              <w:numPr>
                <w:ilvl w:val="0"/>
                <w:numId w:val="110"/>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дейности за преодоляване на стереотипи по пол и дискриминационни практики;</w:t>
            </w:r>
          </w:p>
          <w:p>
            <w:pPr>
              <w:numPr>
                <w:ilvl w:val="0"/>
                <w:numId w:val="110"/>
              </w:numPr>
              <w:spacing w:before="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тематични изследвания и анализи;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магистрати, разследващи полицаи, педагози и социални работници; дейности за насърчаване участието на жените в различни сфери на обществения живот и др.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G2.b) Уредба за обучение на персонала на органите, които участват в управлението и контрола на европейските структурни и инвестиционни фондове, в областите на правото и политиката на Съюза за равенството между половете, както и интегрирането на принципа на равенство между половете.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Плана за действие за изпълнение на заключителните препоръки към Република България, отправени от Комитета на ООН за премахване на дискриминацията по отношение на жените са предвидени следните мерки в съответствие с отправените препоръки, като:</w:t>
            </w:r>
          </w:p>
          <w:p>
            <w:pPr>
              <w:numPr>
                <w:ilvl w:val="0"/>
                <w:numId w:val="111"/>
              </w:numPr>
              <w:spacing w:before="15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обучения за повишаване на капацитета на служителите в държавната администрация по въпросите за равенството между половете, включително по закона и политиката за равенство между половете;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провеждане на разяснителни и информационни дейности, вкл. сред жените от групи в неравностойно положение с цел популяризиране на Конвенцията на ООН за премахване на всички форми на дискриминация по отношение на жените и др.</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G3) Увреждания: наличие на административен капацитет за въвеждането и прилагането на Конвенцията на ООН за правата на хората с увреждания в областта на европейските структурни и инвестиционни фондове в съответствие с Решение на Съвета 2010/48/ЕО</w:t>
            </w:r>
          </w:p>
        </w:tc>
        <w:tc>
          <w:tcPr>
            <w:tcW w:w="1250" w:type="pct"/>
            <w:shd w:val="clear" w:color="auto" w:fill="FFFFFF"/>
            <w:noWrap w:val="0"/>
            <w:tcMar>
              <w:top w:w="20" w:type="dxa"/>
              <w:bottom w:w="20" w:type="dxa"/>
            </w:tcMar>
            <w:vAlign w:val="center"/>
          </w:tcPr>
          <w:p>
            <w:pPr>
              <w:jc w:val="left"/>
              <w:rPr>
                <w:b w:val="0"/>
                <w:sz w:val="12"/>
              </w:rPr>
            </w:pPr>
            <w:r>
              <w:rPr>
                <w:b w:val="0"/>
                <w:sz w:val="12"/>
              </w:rPr>
              <w:t>G3.a) Уредба в съответствие с институционалната и правната рамка на държавите членки за консултиране и осигуряване на участието на органите, отговарящи за защитата на правата на хората с увреждания, или представителни организации на хората с увреждания и други заинтересовани страни през цялото време на изготвянето и изпълнението на програмите.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26.01.2012 г. Народното събрание на Република България прие Закон за ратификация на Конвенцията за правата на хората с увреждания, която е първият голям договор за човешки права на 21 век в областта на политиката за хората с увреждания.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 Решение № 868 от 19 октомври 2012 г., Министерския съвет прие План за действие, съдържащ мерки за привеждане от Република България на нормативната уредба и политики в областта на хората с увреждания в съответствие с разпоредбите на Конвенцията за правата на хората с увреждания (2013-2014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Планът за действие цели предприемане на реални стъпки за прилагането на Конвенцията за правата на хората с увреждания:</w:t>
            </w:r>
          </w:p>
          <w:p>
            <w:pPr>
              <w:numPr>
                <w:ilvl w:val="0"/>
                <w:numId w:val="112"/>
              </w:numPr>
              <w:spacing w:before="15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Идентифициране на ключовите области, нуждаещи се от правна реформа и предприемане на последователни стъпки по въвеждане на изискванията на Конвенцията;</w:t>
            </w:r>
          </w:p>
          <w:p>
            <w:pPr>
              <w:numPr>
                <w:ilvl w:val="0"/>
                <w:numId w:val="112"/>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Определяне и въвеждане на координационен механизъм и механизъм за мониторинг по прилагането на конвенцията, с ясно определени функции, задачи и отговорности на ангажираните институции;</w:t>
            </w:r>
          </w:p>
          <w:p>
            <w:pPr>
              <w:numPr>
                <w:ilvl w:val="0"/>
                <w:numId w:val="112"/>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Изграждане на капацитет сред държавни служители и експерти от различни сфери за правилно прилагане разпоредбите на Конвенцията;</w:t>
            </w:r>
          </w:p>
          <w:p>
            <w:pPr>
              <w:numPr>
                <w:ilvl w:val="0"/>
                <w:numId w:val="112"/>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Широко популяризиране на принципите на Конвенцията сред обществеността и включване на гражданското общество в процеса на нейното прилагане;</w:t>
            </w:r>
          </w:p>
          <w:p>
            <w:pPr>
              <w:numPr>
                <w:ilvl w:val="0"/>
                <w:numId w:val="112"/>
              </w:numPr>
              <w:spacing w:before="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Осигуряване на периодично актуализиране на дейностите по изпълнение на Конвенцията и мониторинг на прилагане разпоредбите на Конвенцията.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G3.b) Уредба за обучение на персонала на органите, които участват в управлението и контрола на европейските структурни и инвестиционни фондове, в областите на приложимите право и политика на Съюза и на държавите членки, включително достъпността и практическото прилагане на Конвенцията на ООН за правата на хората с увреждания, както е отразена в законодателството на Съюза и на държавите членки, по целесъобразност.</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плана за действие, с оглед прилагане на чл. 8 от Конвенцията „“Повишаване на общественото съзнание и промяна на нагласите по правата на хората с увреждания“  е заложена оперативна цел „Повишаване на капацитета на местната, областната и централната администрация и др. относно разпоредбите на Конвенцията на ООН“. В тази връзка са заложени семинари за служители на държавната администрация, правосъдната система, лекари и медицински специалисти, семинари за педагогически персонал, форми за хора с увреждания и пр.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11-12 ноември 2013 г. в София се проведе Семинар с международно участие на тема „ Конвенция за правата на хората с увреждания на ООН и План за действие за нейното прилагане. Осъществи се обмен на опит и добри практики в международен аспект и да се представи българския опит в прилагане на Конвенцията за правата на хората с увреждания на ООН. Инициативата  предостави възможност за повишаване на капацитета на представителите на администрацията относно тенденциите в политиката за хора с увреждания в контекста на прилагане на Конвенцията за правата на хората с увреждания в Европа и ще осигури изпълнение на мерките в Двугодишния план за действие за прилагане на Конвенцията. Разшириха се  знанията за националната институционална рамка за прилагане на Конвенцията за правата на хората с увреждания на ООН – механизъм за координация, мониторинг и независим мониторинг; Проучи се и обмени чуждестранен опит в докладването пред Комитета на ООН за правата на хората с увреждания – принципи, подходи, източници на информация, начини за обработване на данни, анализи; Получи се изчерпателна информация за насоките за изготвяне на националните доклади, както и усвояване на практически знания и умения за подходите и техниките за изготвяне на националните доклади. На 12 и 13 юни 2014 г., в Центъра за развитие на човешките ресурси и регионални инициативи на МТСП, се проведе обучение на служители от местната, областната и централната администрация и експерти от НПО работещи по проблемите на и за хората с увреждания  тема „Прилагане на Конвенцията на ООН за правата на хората с увреждания и участието на местната, областната и централната администрация". Целта на обучението бе повишаване на капацитета на служителите от местната, областната и централната администрация, относно разпоредбите на Конвенцията за правата на хората с увреждания и актуализиране на знанията свързани с политиката за интеграция на хората с увреждания.</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G3.c) Уредба за осигуряване на мониторинг на изпълнението на член 9 от Конвенцията на ООН за правата на хората с увреждания във връзка с европейските структурни и инвестиционни фондове през цялото време на изготвянето и изпълнението на програмите.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плана за действие, с оглед прилагане на чл. 8 от Конвенцията „“Повишаване на общественото съзнание и промяна на нагласите по правата на хората с увреждания“  е заложена оперативна цел „Повишаване на капацитета на местната, областната и централната администрация и др. относно разпоредбите на Конвенцията на ООН“. В тази връзка са заложени семинари за служители на държавната администрация, правосъдната система, лекари и медицински специалисти, семинари за педагогически персонал, форми за хора с увреждания и пр.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11-12 ноември 2013 г. в София се проведе Семинар с международно участие на тема „ Конвенция за правата на хората с увреждания на ООН и План за действие за нейното прилагане. Осъществи се обмен на опит и добри практики в международен аспект и да се представи българския опит в прилагане на Конвенцията за правата на хората с увреждания на ООН. Инициативата  предостави възможност за повишаване на капацитета на представителите на администрацията относно тенденциите в политиката за хора с увреждания в контекста на прилагане на Конвенцията за правата на хората с увреждания в Европа и ще осигури изпълнение на мерките в Двугодишния план за действие за прилагане на Конвенцията. Разшириха се  знанията за националната институционална рамка за прилагане на Конвенцията за правата на хората с увреждания на ООН – механизъм за координация, мониторинг и независим мониторинг; Проучи се и обмени чуждестранен опит в докладването пред Комитета на ООН за правата на хората с увреждания – принципи, подходи, източници на информация, начини за обработване на данни, анализи; Получи се изчерпателна информация за насоките за изготвяне на националните доклади, както и усвояване на практически знания и умения за подходите и техниките за изготвяне на националните доклади.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G4) Обществени поръчки: наличие на уредба за ефективното прилагане на законодателството на Съюза за обществените поръчки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G4.a) Уредба за ефективното прилагане на правилата на Съюза за обществените поръчки посредством подходящи механизми.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стратегия за развитие на сектора на обществените поръчки в България за периода 2014- 2020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http://www.government.bg/cgi-bin/e-cms/vis/vis.pl?s=001&amp;p=0211&amp;n=99&amp;g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Приета с РМС № 498/11.07.2014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Стратегията са предвидени мерки за повишаване ефективността при възлагане на обществени поръчки и създаване на гаранции за спазване законодателството на Съюза в областта.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Законодателството на ЕС в областта на обществените поръчки (Директиви 2004/18/ЕО, 2004/17/ЕО, Директиви 89/665/ЕИО, 92/13/ЕИО и 2007/66/ЕО и 2009/81/ЕО, както и регламентите, свързани с тяхното прилагане) е изцяло въведено в ЗОП. Освен закона нормативната уредба по обществени поръчки се съдържа: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прилагане на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за провеждане на конкурси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за проекти в устройственото планиране и инвестиционното проектиране, приета с ПМС № 75 от 2009 г., обн. ДВ. бр.26 от 2009г.;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по чл. 13, ал. 3 от Закона за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обществените поръчки (ЗОП) за критериите и редът за определяне наличието на основни национални интереси в областта на сигурността и отбраната по смисъла на чл. 346 от Договора за функционирането на Европейския съюз (ДФЕС) и реда за сключване на договори; приета с ПМС № 180 от 22.08.2013 г., обн. ДВ. бр.75 от 2013г.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http://www.aop.bg/fckedit2/user/File/bg/Normativna%20baza/ZOP_15_02_2013.pdf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http://www.aop.bg/fckedit2/user/File/bg/Normativna%20baza/PPZOP_09032012.pdf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http://www.aop.bg/fckedit2/user/File/bg/Normativna%20baza/Naredba_konkursi.pdf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http://www.aop.bg/fckedit2/user/File/bg/Normativna%20baza/Naredba_27082013.pdf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Относно промени в законодателството по обществени поръчки - действащият ЗОП е приет през 2004 г. Оттогава до настоящия момент са направени пет значителни изменения в него. С три от тях са въведени приложимите европейски директиви (Директива 2004/17/ЕО и Директива 2004/18/ЕО, Директива 2007/66/ЕО, както и Директива 2009/81/ЕО), а с останалите две - предварителният контрол, осъществяван от АОП и приета правителствена Концепция за промени в законодателството по обществени поръчки. Освен тези изменения са направени редица промени, които обхващат отделни разпоредби на закона.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Дефинирането на публичноправната организация в ЗОП е в пълно съответствие с приложимите директиви. Публичноправните организации са изрично регламентирани в чл. 7, т. 3 от ЗОП, като понятието е дефинирано в § 1, т. 21 от ДР на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 отношение на институционалната уредба – създадени са няколко органа, които имат функции в областта на обществените поръчки. Това са: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•АОП - национален орган, който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подпомага министъра на икономиката и енергетиката при осъществяване на политиката в областта на обществените поръчки, издава методически указания по ЗОП, осъществява предварителен контрол на определени процедури и др.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•УО на ОП, които също осъществяват</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контрол на процедурите за възлагане на обществени поръчки и дават указания на възложителите – бенефициенти по оперативните програми.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•Сметна палата и АДФИ – органи за извършване на последващ контрол на изпълнението на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КЗК и ВАС - органи по обжалване, които разглеждат спорове по законосъобразността на процедурите за обществени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Въпреки някои механизми за налагане на единна практика е необходимо да се работи за еднородно тълкуване на законодателството от тези органи.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Въведени са различни форми на контрол на всички етапи от възлагане на поръчките, вкл. и на етапа на тяхното изпълнение, както и процедури за налагане на единна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От 2009 г. АОП осъществява предварителен контрол на процедури за възлагане на обществени поръчки, финансирани напълно или частично със средства от европейските фондове (чл. 19, ал. 2, т. 22 и чл. 20а от ЗОП). С промените в ЗОП, в сила от 26.02.2012 г., този контрол се осъществява на два етапа – преди и след обявяване на процедурата, като е въведен и механизъм за обратна връзка чрез проследяване изпълнението на направените препоръки.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основание чл. 19, ал. 2, т. 1 от ЗОП изпълнителният директор на АОП издава общи методически указания по прилагане на закона и правилника за неговото прилагане. Когато тези указания се съгласуват с контролните органи по закона – Сметна палата и Агенцията за държавна финансова инспекция (АДФИ), те стават задължителни за тях при извършване на проверките им. Методическите указания се публикуват на Портала за обществени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чл. 123, ал. 1 от ЗОП е предвидено органите на Сметна палата и АДФИ да осъществяват последващ контрол върху възложените обществени поръчки. В ЗОП е уредена административно наказателна част (чл. 127-чл. 133 от ЗОП). В нея са предвидени нарушения, за които на възложителите се налагат глоби или имуществени санкции.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http://www.aop.bg/fckedit2/user/File/bg/Normativna%20baza/ZOP_15_02_2013.pdf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 всеки УО на ОП е предвиден ред за осъществяване на предварителен, текущ и последващ контрол, касаещ процедурите за възлагане на обществени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Предприети са мерки, които адресират основните видове грешки, установени при възлагане на обществените поръчки, както следва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 Постановление № 134 на МС от 5.07.2010 г. е въведена Методология за определяне на финансови корекции, които се прилагат спрямо разходите, свързани с изпълнението на оперативните програми, съфинансирани от структурните инструменти на Европейския съюз, Европейския земеделски фонд за развитие на селските райони и Европейския фонд за рибарство. Отговорните органи по прилагането на Методологията са договарящите органи (УО/МЗ) по оперативните програми, финансирани от СКФ, ПРСР, ОП „Рибарство“, както и одитните органи по СКФ, ЕЗФР и ЕФР.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 Постановление № 18 на МС от 4.02.2003 г. е създаден Съвет за координация в борбата с правонарушенията, засягащи финансовите интереси на Европейския съюз.</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 ПМС № 285 от 30.11.2009 г. е приета Наредба за определяне на процедурите за администриране на нередности по фондове, инструменти и програми, съфинансирани от Европейския съюз. http://www.eufunds.bg/bg/page/119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Указание на министъра на финансите - ДНФ 7/22.12.2010 г. е регламентиран процеса свързан с отписването и възстановяването на недължимо платени и надплатени суми, както и на неправомерно получени или неправомерно усвоени средства по проекти, съфинансирани от Структурните и Кохезионния фондове на Европейския съюз. Указанието е публикувано на: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http://www.minfin.bg/bg/page/10?q=%D0%94%D0%9D%D0%A4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УО на ОП водят отчет за наложените финансови корекции при провеждане на процедури за обществени поръчки. Във всеки УО има определени служители, които имат в длъжностните си характеристики отговорности по въпросите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Със ЗИДЗОП, обн. ДВ, бр. 40 от 2014 г., в сила от 01.07.2014 г., се разширява обхвата на предварителния контрол, осъществяван от АОП по отношение на  процедурите за обществени поръчки за строителство, които се финансират със средства от националния бюджет и са над определен праг.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ЗОП е уредено двуинстанционно производство по обжалване на решенията на възложителите, издадени във връзка с процедурите за възлагане на обществени поръчки. Първа инстанция е Комисията за защита на конкуренцията, която е административен орган, а втора и окончателна инстанция е Върховния административен съд. Предвиден е двумесечен срок за произнасяне общо на двете институции. По отношение на КЗК – няма забавяне при разглеждане на делата. По отношение на ВАС има известно забавяне, като се отчита, че законоустановеният едномесечен срок за произнасяне не е съобразен с процедурните правила за разглеждане на делата на този съд.</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http://www.aop.bg/fckedit2/user/File/bg/Normativna%20baza/ZOP_15_02_2013.pdf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Получени са писма от отговорните институции (КЗК и ВАС) с предложения за оптимизиране на системата за обжалване. С направените предложения ще бъде отчетено изпълнението на дейност 14.1, по мярка 14 от Плана за изпълнение на Националната стратегия за развитие на сектора обществени поръчки в България за периода 2014 – 2020 година. Предложенията на КЗК и ВАС ще бъдат обсъдени във връзка с изготвянето на новото законодателство в областта на обществените поръчки.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G4.b) Уредба, гарантираща прозрачни процедури за възлагане на договори.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http://rop3-app1.aop.bg:7778/portal/page?_pageid=93,408251&amp;_dad=portal&amp;_schema=PORTAL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http://rop3-app1.aop.bg:7778/portal/page?_pageid=93,1488254&amp;_dad=portal&amp;_schema=PORTAL&amp;url=687474703A2F2F7777772E616F702E62672F657365617263685F7070322E706870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http://www.aop.bg/fckedit2/user/File/bg/Normativna%20baza/ZOP_15_02_2013.pdf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http://www.aop.bg/fckedit2/user/File/bg/Normativna%20baza/PPZOP_09032012.pdf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Поръчките на стойности под праговете, за които се прилагат европейските директиви, се възлагат по ред, регламентиран в ЗОП (чл. 14, ал. 1 от ЗОП). Редът е аналогичен на този, уреден в европейските директиви, с някои облекчения.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възлагането на поръчките на много ниски стойности в ЗОП е уреден ред, който осигурява спазването на принципа за публичност и прозрачност ( чл. 101а-101 ж от ЗОП). Съгласно този ред възложителите са длъжни да събират оферти като публикуват публични покани на Портала за обществени поръчки, който се поддържа от АОП. Осигурен е минимален срок за публичен достъп до поканата, който не може да бъде по-кратък от 7 дни. По този начин всички заинтересовани лица има възможност да се информират поръчките, които възложителите възнамеряват да възложат.</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Постановление № 69 ОТ 11 МАРТ 2013Г. урежда условията и редът за определяне на изпълнител от страна на кандидати за безвъзмездна финансова помощ или бенефициенти на договорена безвъзмездна финансова помощ от Структурните фондове и Кохезионния фонд на Европейския съюз, Съвместната оперативна програма "Черноморски басейн 2007 - 2013 г.", съфинансирана от Европейския инструмент за добросъседство и партньорство, Финансовия механизъм на Европейското икономическо пространство и Норвежкия финансов механизъм.</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Принципът на публичност и прозрачност се гарантира и от Регистъра на обществените поръчки (РОП), който се поддържа от Агенцията по обществени поръчки (чл. 21-22а от ЗОП). Регистърът е част от Портала за обществени поръчки и представлява единна електронна база данни, в която се съдържа информация за всички открити процедури за обществени поръчки, резултатите от тяхното възлагане и изпълнение. Освен задължителната информация съгласно европейските директиви и регламенти (обявление за ОП, информация за сключен договор и др.) в РОП се публикува и такава, която произтича от националните изисквания (информация за изпълнението на договора, решението за договаряне без обявление, информация за хода на производството по обжалване). http://rop3-app1.aop.bg:7778/portal/page?_pageid=93,158263&amp;_dad=portal&amp;_schema=PORTAL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Портала на обществените поръчки се публикуват публични покани, въз основа на които възложителите събират оферти по реда на чл. 101а-101ж от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http://rop3-app1.aop.bg:7778/portal/page?_pageid=93,1488254&amp;_dad=portal&amp;_schema=PORTAL&amp;url=687474703A2F2F7777772E616F702E62672F657365617263685F7070322E706870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Възложителите имат възможност да предоставят чрез Портала за обществени поръчки документацията електронно, да разменят въпроси и отговори с участниците по електронен път и да публикуват разяснения. Чрез Портала за обществени поръчки е предоставена възможността за изцяло електронна форма на комуникация между участниците и възложителите, до етапа на подготовка и подаване на офертата.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ЗОП са регламентирани редица допълнителни мерки, свързани с осигуряване на публичност и прозрачност. Част от тях са свързани с: възможността за привличане като членове на комисиите на външни лица, които са от списък, поддържан от АОП, публичното отваряне както на офертите, така и на пликовете с предложена цена, обявяването на оценките на офертите по другите показатели - при критерий “икономически най-изгодна оферта”, публикуване на информация за откриване на процедурите на договаряне без обявление и за тяхното възлагане, публикуване на становищата за осъществения контрол на процедурите на договаряне без обявление и на информация за изпълнението на сключените договори и др.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http://rop3-app1.aop.bg:7778/portal/page?_pageid=93,1488254&amp;_dad=portal&amp;_schema=PORTAL&amp;url=687474703A2F2F7777772E616F702E62672F657365617263685F7070322E706870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последните изменения и допълнения в ЗОП, обн. ДВ, бр. 40 от 2014 г., възложителите имат задължението да публикуват на своя профил на купувача всички документи, свързани с провежданите от тях процедури, договорите за обществени поръчки, допълнителните споразумения към тях, информация за всяка извършено плащани,  публичните покани, становищата на изпълнителния директор на агенцията по запитвания на възложителя и друга полезна информация. Задължението за публикуване на посочените документи е уредено в чл. 22б от закона и влиза в сила от 01.10.2014 г.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G4.c) Уредба за обучение на персонала, който участва в привеждането на европейските структурни и инвестиционни фондове в действие, и за разпространение на информация до този персонал.</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справки на АОП и УО на ОП се осигуряват редица подходящи обучения за експертите от структурите на УО, свързани с ефективното прилагане на законодателството в областта на обществените поръчки, избягване на риска от налагане на финансови корекции и административно наказателни санкции при провеждане на процедурите по възлагане.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справка от УО на ОП чрез своите интернет страници предоставят на заинтересованите лица необходимата информация, вкл. и под формата на разработени документи, наръчници, указания, ръководства и др., в сферата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Националната стратегия за развитие на сектора на обществените поръчки в България за периода 2014- 2020 г. се предвиждат мерки, свързани с обучения на лицата, заети с подготовката и провеждането на процедури за обществени поръчки, както и на служителите на АОП и на УО на 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Агенцията по обществени поръчки поддържа централизирана информационна система (Портал за обществени поръчки), която дава достъп до всички аспекти на обществените поръчки. Чрез него се предоставя информация за: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нормативната уредба в областта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Регистъра на обществените поръчки (РОП);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издадените общи методически указания по прилагане на закона;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издадените практически указания, свързани с попълване на образци на документи, създаване на партида и уникален номер в РОП, изпращане на информация до агенцията и т.н.;</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списъка на лицата, които възложителите могат да ползват като външни експерти;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публикуваните публични покани;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становищата от предварителния контрол върху процедури на договаряне без обявление;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друга информация.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Националната стратегия за развитие на сектора на обществените поръчки в България за периода 2014- 2020 г. се предвиждат мерки за ефективно сътрудничество между органите, натоварени с функции в областта на методологията и контрола на обществените поръчки с цел налагане на единна практика.</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G4.d) Уредба, гарантираща административния капацитет за въвеждане и прилагане на правилата на Съюза за обществените поръчки.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http://rop3-app1.aop.bg:7778/portal/page?_pageid=93,168247&amp;_dad=portal&amp;_schema=PORTAL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Агенцията по обществени поръчки е създадена със Закона за обществените поръчки (обн. ДВ. бр. 28 от 2004 г., в сила от 01.10.2004 г.). Тя е юридическо лице със статут на изпълнителна агенция към министъра на икономиката и енергетиката и го подпомага при осъществяване на държавната политика в областта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Функциите на агенцията са разписани в чл. 19, ал. 2 от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По-важните от тях са: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изготвяне на проекти на нормативни актове в областта на обществените поръчки за въвеждане на европейските директиви и регламенти и на националните правила;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оказване на методическа помощ чрез предоставяне на становища по запитвания на възложители;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издаване на общи методически указания по прилагане на ЗОП и ППЗОП;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осъществяване на предварителен контрол върху процедури за възлагане на обществени поръчки, финансирани напълно или частично със средства от европейските фондове;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осъществяване на предварителен контрол върху процедури на договаряне без обявление;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поддържане на Регистъра на обществените поръчки (РОП) и Портала за обществени поръчки и др.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 всеки УО има определени служители, които имат в длъжностните си характеристики отговорности по въпросите на обществените поръчки. Осигуряват  се подходящи обучения по различни теми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разработваната Национална стратегия за развитие на сектора на обществените поръчки в България за периода 2014- 2020 г. се предвиждат мерки за укрепване и стабилитет на административния капацитет на АОП.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чл. 19, ал. 2, т. 1 и 2 от ЗОП Агенцията по обществени поръчки издава общи методически указания за уеднаквяване на практиката по прилагането на ЗОП и ППЗОП и оказва на методическа помощ на възложители чрез предоставяне на становища по техни запитвания. Методическите указания се публикуват на Портала за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АОП поддържа със съдействието на професионалните сдружение и организации в съответния бранш списък на лица, които възложителите могат да ползват като външни експерти при подготовка и провеждане на процедури за обществени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справка от УО на ОП чрез своите интернет страници предоставят на заинтересованите лица необходимата информация, вкл. и под формата на разработени документи, наръчници, указания, ръководства и др., в сферата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разработваната Национална стратегия за развитие на сектора на обществените поръчки в България за периода 2014- 2020 г.  се предвиждат мерки за осигуряване на техническа помощ на лицата, които прилагат правилата за възлагане на обществени поръчки.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http://rop3-app1.aop.bg:7778/portal/page?_pageid=93,168247&amp;_dad=portal&amp;_schema=PORTAL</w:t>
            </w:r>
          </w:p>
          <w:p>
            <w:pPr>
              <w:jc w:val="left"/>
              <w:rPr>
                <w:b w:val="0"/>
                <w:sz w:val="12"/>
              </w:rPr>
            </w:pPr>
            <w:r>
              <w:rPr>
                <w:b w:val="0"/>
                <w:sz w:val="12"/>
              </w:rPr>
              <w:t xml:space="preserve">Агенцията по обществени поръчки е създадена със Закона за обществените поръчки (обн. ДВ. бр. 28 от 2004 г., в сила от 01.10.2004 г.). Тя е юридическо лице със статут на изпълнителна агенция към министъра на икономиката и енергетиката и го подпомага при осъществяване на държавната политика в областта на обществените поръчки. </w:t>
            </w:r>
          </w:p>
          <w:p>
            <w:pPr>
              <w:jc w:val="left"/>
              <w:rPr>
                <w:b w:val="0"/>
                <w:sz w:val="12"/>
              </w:rPr>
            </w:pPr>
            <w:r>
              <w:rPr>
                <w:b w:val="0"/>
                <w:sz w:val="12"/>
              </w:rPr>
              <w:t>Функциите на агенцията са разписани в чл. 19, ал. 2 от ЗОП.</w:t>
            </w:r>
          </w:p>
          <w:p>
            <w:pPr>
              <w:jc w:val="left"/>
              <w:rPr>
                <w:b w:val="0"/>
                <w:sz w:val="12"/>
              </w:rPr>
            </w:pPr>
            <w:r>
              <w:rPr>
                <w:b w:val="0"/>
                <w:sz w:val="12"/>
              </w:rPr>
              <w:t>По-важните от тях са:</w:t>
            </w:r>
          </w:p>
          <w:p>
            <w:pPr>
              <w:jc w:val="left"/>
              <w:rPr>
                <w:b w:val="0"/>
                <w:sz w:val="12"/>
              </w:rPr>
            </w:pPr>
            <w:r>
              <w:rPr>
                <w:b w:val="0"/>
                <w:sz w:val="12"/>
              </w:rPr>
              <w:t>•</w:t>
              <w:tab/>
              <w:t>изготвяне на проекти на нормативни актове в областта на обществените поръчки за въвеждане на европейските директиви и регламенти и на националните правила;</w:t>
            </w:r>
          </w:p>
          <w:p>
            <w:pPr>
              <w:jc w:val="left"/>
              <w:rPr>
                <w:b w:val="0"/>
                <w:sz w:val="12"/>
              </w:rPr>
            </w:pPr>
            <w:r>
              <w:rPr>
                <w:b w:val="0"/>
                <w:sz w:val="12"/>
              </w:rPr>
              <w:t>•</w:t>
              <w:tab/>
              <w:t>оказване на методическа помощ чрез предоставяне на становища по запитвания на възложители;</w:t>
            </w:r>
          </w:p>
          <w:p>
            <w:pPr>
              <w:jc w:val="left"/>
              <w:rPr>
                <w:b w:val="0"/>
                <w:sz w:val="12"/>
              </w:rPr>
            </w:pPr>
            <w:r>
              <w:rPr>
                <w:b w:val="0"/>
                <w:sz w:val="12"/>
              </w:rPr>
              <w:t>•</w:t>
              <w:tab/>
              <w:t>издаване на общи методически указания по прилагане на ЗОП и ППЗОП;</w:t>
            </w:r>
          </w:p>
          <w:p>
            <w:pPr>
              <w:jc w:val="left"/>
              <w:rPr>
                <w:b w:val="0"/>
                <w:sz w:val="12"/>
              </w:rPr>
            </w:pPr>
            <w:r>
              <w:rPr>
                <w:b w:val="0"/>
                <w:sz w:val="12"/>
              </w:rPr>
              <w:t>•</w:t>
              <w:tab/>
              <w:t>осъществяване на предварителен контрол върху процедури за възлагане на обществени поръчки, финансирани напълно или частично със средства от европейските фондове;</w:t>
            </w:r>
          </w:p>
          <w:p>
            <w:pPr>
              <w:jc w:val="left"/>
              <w:rPr>
                <w:b w:val="0"/>
                <w:sz w:val="12"/>
              </w:rPr>
            </w:pPr>
            <w:r>
              <w:rPr>
                <w:b w:val="0"/>
                <w:sz w:val="12"/>
              </w:rPr>
              <w:t>•</w:t>
              <w:tab/>
              <w:t>осъществяване на предварителен контрол върху процедури на договаряне без обявление;</w:t>
            </w:r>
          </w:p>
          <w:p>
            <w:pPr>
              <w:jc w:val="left"/>
              <w:rPr>
                <w:b w:val="0"/>
                <w:sz w:val="12"/>
              </w:rPr>
            </w:pPr>
            <w:r>
              <w:rPr>
                <w:b w:val="0"/>
                <w:sz w:val="12"/>
              </w:rPr>
              <w:t>•</w:t>
              <w:tab/>
              <w:t>поддържане на Регистъра на обществените поръчки (РОП) и Портала за обществени поръчки и др.</w:t>
            </w:r>
          </w:p>
          <w:p>
            <w:pPr>
              <w:jc w:val="left"/>
              <w:rPr>
                <w:b w:val="0"/>
                <w:sz w:val="12"/>
              </w:rPr>
            </w:pPr>
          </w:p>
          <w:p>
            <w:pPr>
              <w:jc w:val="left"/>
              <w:rPr>
                <w:b w:val="0"/>
                <w:sz w:val="12"/>
              </w:rPr>
            </w:pPr>
            <w:r>
              <w:rPr>
                <w:b w:val="0"/>
                <w:sz w:val="12"/>
              </w:rPr>
              <w:t>Във всеки УО има определени служители, които имат в длъжностните си характеристики отговорности по въпросите на обществените поръчки. Осигуряват  се подходящи обучения по различни теми</w:t>
            </w:r>
          </w:p>
          <w:p>
            <w:pPr>
              <w:jc w:val="left"/>
              <w:rPr>
                <w:b w:val="0"/>
                <w:sz w:val="12"/>
              </w:rPr>
            </w:pPr>
            <w:r>
              <w:rPr>
                <w:b w:val="0"/>
                <w:sz w:val="12"/>
              </w:rPr>
              <w:t>В разработваната Национална стратегия за развитие на сектора на обществените поръчки в България за периода 2014- 2020 г. се предвиждат мерки за укрепване и стабилитет на административния капацитет на АОП.</w:t>
            </w:r>
          </w:p>
          <w:p>
            <w:pPr>
              <w:jc w:val="left"/>
              <w:rPr>
                <w:b w:val="0"/>
                <w:sz w:val="12"/>
              </w:rPr>
            </w:pPr>
            <w:r>
              <w:rPr>
                <w:b w:val="0"/>
                <w:sz w:val="12"/>
              </w:rPr>
              <w:t>Съгласно чл. 19, ал. 2, т. 1 и 2 от ЗОП Агенцията по обществени поръчки издава общи методически указания за уеднаквяване на практиката по прилагането на ЗОП и ППЗОП и оказва на методическа помощ на възложители чрез предоставяне на становища по техни запитвания. Методическите указания се публикуват на Портала за обществените поръчки.</w:t>
            </w:r>
          </w:p>
          <w:p>
            <w:pPr>
              <w:jc w:val="left"/>
              <w:rPr>
                <w:b w:val="0"/>
                <w:sz w:val="12"/>
              </w:rPr>
            </w:pPr>
          </w:p>
          <w:p>
            <w:pPr>
              <w:jc w:val="left"/>
              <w:rPr>
                <w:b w:val="0"/>
                <w:sz w:val="12"/>
              </w:rPr>
            </w:pPr>
            <w:r>
              <w:rPr>
                <w:b w:val="0"/>
                <w:sz w:val="12"/>
              </w:rPr>
              <w:t>АОП поддържа със съдействието на професионалните сдружение и организации в съответния бранш списък на лица, които възложителите могат да ползват като външни експерти при подготовка и провеждане на процедури за обществени поръчки.</w:t>
            </w:r>
          </w:p>
          <w:p>
            <w:pPr>
              <w:jc w:val="left"/>
              <w:rPr>
                <w:b w:val="0"/>
                <w:sz w:val="12"/>
              </w:rPr>
            </w:pPr>
          </w:p>
          <w:p>
            <w:pPr>
              <w:jc w:val="left"/>
              <w:rPr>
                <w:b w:val="0"/>
                <w:sz w:val="12"/>
              </w:rPr>
            </w:pPr>
            <w:r>
              <w:rPr>
                <w:b w:val="0"/>
                <w:sz w:val="12"/>
              </w:rPr>
              <w:t>Съгласно справка от УО на ОП чрез своите интернет страници предоставят на заинтересованите лица необходимата информация, вкл. и под формата на разработени документи, наръчници, указания, ръководства и др., в сферата на обществените поръчки.</w:t>
            </w:r>
          </w:p>
          <w:p>
            <w:pPr>
              <w:jc w:val="left"/>
              <w:rPr>
                <w:b w:val="0"/>
                <w:sz w:val="12"/>
              </w:rPr>
            </w:pPr>
            <w:r>
              <w:rPr>
                <w:b w:val="0"/>
                <w:sz w:val="12"/>
              </w:rPr>
              <w:t>В разработваната Национална стратегия за развитие на сектора на обществените поръчки в България за периода 2014- 2020 г.  се предвиждат мерки за осигуряване на техническа помощ на лицата, които прилагат правилата за възлагане на обществени поръчки.</w:t>
            </w:r>
          </w:p>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G5) Държавни помощи: наличие на уредба за ефективното прилагане на правилата на Съюза за държавните помощи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G5.a) Уредба за ефективното прилагане на правилата на Съюза за държавните помощи.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Национално законодателство във връзка с Държавните помощи е достъпно 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http://stateaid.minfin.bg/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13"/>
              </w:numPr>
              <w:spacing w:before="150" w:after="15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държавните помощи (ЗДП) – чл.. 5, 7, 9, 11, 12, 13; (ПМС 86/2006 в сила от  1.1.2007, изм. ПМС 16/2008)</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14"/>
              </w:numPr>
              <w:spacing w:before="150" w:after="15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Правила за прилагане на ЗДП – процедури за уведомяване;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(ПМС  26/2007, изм. ПМС 97/2007, ПМС 10/2009, ПМС 3/2010)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15"/>
              </w:numPr>
              <w:spacing w:before="150" w:after="15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Процедура за осигуряване на прозрачност на финансовите взаимоотношения между държавните органи и органите за местно самоуправление и държавните и общинските предприятия и прозрачност в рамките на определените предприятия – транспонират на директива 2006/111(EC) (ПМС 99/2006, в сила от 1.1.2007)</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Действащият ЗДП урежда националните процедури за прилагане на чл. 107 и чл. 108 от ДФЕС, както и правомощията на МФ и на министъра на земеделието и храните, същността на процедурите, обмена на информация и координация. Той създава рамката за спазване на режима на национално ниво, вкл. по отношение на помощите подлежащи на уведомяване, помощите освободени от уведомяване и помощите de minimis.</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G5.b) Уредба за обучение на персонала, който участва в привеждането на европейските структурни и инвестиционни фондове в действие, и за разпространение на информация до този персонал</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Източници на специализирана информация:</w:t>
            </w:r>
          </w:p>
          <w:p>
            <w:pPr>
              <w:numPr>
                <w:ilvl w:val="0"/>
                <w:numId w:val="116"/>
              </w:numPr>
              <w:spacing w:before="150" w:after="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http://stateaid.minfin.bg/ </w:t>
            </w:r>
          </w:p>
          <w:p>
            <w:pPr>
              <w:numPr>
                <w:ilvl w:val="0"/>
                <w:numId w:val="116"/>
              </w:numPr>
              <w:spacing w:before="0" w:after="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http://minimis.minfin.bg/ </w:t>
            </w:r>
          </w:p>
          <w:p>
            <w:pPr>
              <w:numPr>
                <w:ilvl w:val="0"/>
                <w:numId w:val="116"/>
              </w:numPr>
              <w:spacing w:before="0" w:after="15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http://www.minfin.bg/en/page/12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Всички УО са преминали обучения по държавни помощи, в Школата за публични финанси към Министерството на финансите, а част от тях и в рамките на техническата помощ на програмите.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Школата за публични финанси към МФ (http://www.minfin.bg/bg/page/12) организира обучения по заявка в областта на държавните помощи няколко пъти годишно. Програмата за всяко обучение се формира съобразно целите и нуждите на обучаващите се. Обученията са безплатни.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Поддържането на информация и осигуряването на публичност на държавните помощи се осъществява чрез 2 информационни канала:</w:t>
            </w:r>
          </w:p>
          <w:p>
            <w:pPr>
              <w:numPr>
                <w:ilvl w:val="0"/>
                <w:numId w:val="117"/>
              </w:numPr>
              <w:spacing w:before="15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общ - специализирана интернет страница за законодателството по държавните помощиhttp://stateaid.minfin.bg/и в рамките на РГ 6 към СЕВ.</w:t>
            </w:r>
          </w:p>
          <w:p>
            <w:pPr>
              <w:numPr>
                <w:ilvl w:val="0"/>
                <w:numId w:val="117"/>
              </w:numPr>
              <w:spacing w:before="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тематично от страна на МФ, при необходимост и съобразно възникналите казуси като уведомяването се извършва чрез официална кореспонденция или по ел. поща, както и чрез системата за Въпроси и отговори на страницата за държавните помощи;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Системата за обмен на информация по държавни помощи на нивото на всеки администратор (УО) се осъществява съобразно спецификата на дейността му - например чрез вътрешни правила.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МФ може да издаде тематични указания по различни теми, имаши за цел да разяснят конкретна проблематика.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релевантен УО (ОПРЧР, ОПОС, ОПРР, ОПРКБИ) има определени експерти, които имат в длъжностните си характеристики отговорности по въпросите на държавните помощи.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G5.c) Уредба, гарантираща административния капацитет за въвеждане и прилагане на правилата на Съюза за държавните помощи.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Националното и европейското законодателство във връзка с държавните помощи е достъпно 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http://stateaid.minfin.bg/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Съгласно националната правна рамка МФ е националният орган, който отговаря за наблюдението, прозрачността и координацията на държавните помощи на национално, областно и общинско равнище, с изключение на схеми на помощ или индивидуални помощи в областта на земеделието и рибарството, където компетентността е на МЗХ.</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     Компетенциите на МФ регламентират издаването на конкретни становища и предварителното съгласуване на мерки за помощ.</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    В проект на нов ЗДП се планира прецизиране на функциите на координационното звено чрез изготвяне на методически указания и предприемане на мерки за развитие на режима в областта на държавните помощи.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    МФ има опит в издаването на публикации, ръководство и указания в полза на администраторите на помощ, в т.ч. УО.  Извън регулярните становища на звеното по държавни помощи в МФ от 2007 се издават/актуализират и тематични насоки в полза на УО. Всички актуални национални ръководства и публикации на ЕС, които биха били полезни на администраторите се публикуват на специализирана интернет страница.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В проект за изменение на  ЗДП се предвижда и въвеждане на конкретно задължение за администраторите на помощ (в т.ч. УО на ОП) да изградят, поддържат и осигурят достатъчен капацитет за планиране, разработване, уведомяване, управление, докладване и контрол на предоставяните държавни и минимални помощи. Мерките за изпълнение на това се определят индивидуално от всеки администратор на помощ.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 релевантен УО (ОПРЧР, ОПОС, ОПРР, ОПРКБИ) има определени експерти, които имат в длъжностните си характеристики отговорности по въпросите на държавните помощи.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G6) Законодателство в областта на околната среда във връзка с оценката на въздействието върху околната среда (ОВОС) и стратегическата оценка на околната среда (СООС): наличие на уредба за ефективното прилагане на законодателството на Съюза относно околната среда, свързано с ОВОС и СООС.</w:t>
            </w:r>
          </w:p>
        </w:tc>
        <w:tc>
          <w:tcPr>
            <w:tcW w:w="1250" w:type="pct"/>
            <w:shd w:val="clear" w:color="auto" w:fill="FFFFFF"/>
            <w:noWrap w:val="0"/>
            <w:tcMar>
              <w:top w:w="20" w:type="dxa"/>
              <w:bottom w:w="20" w:type="dxa"/>
            </w:tcMar>
            <w:vAlign w:val="center"/>
          </w:tcPr>
          <w:p>
            <w:pPr>
              <w:jc w:val="left"/>
              <w:rPr>
                <w:b w:val="0"/>
                <w:sz w:val="12"/>
              </w:rPr>
            </w:pPr>
            <w:r>
              <w:rPr>
                <w:b w:val="0"/>
                <w:sz w:val="12"/>
              </w:rPr>
              <w:t>G6.a) Уредба за ефективното прилагане на Директива 2011/92/ЕС на Европейския парламент и на Съвета (ОВОС) и на Директива 2001/42/ЕО на Европейския парламент и на Съвета (СООС);</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опазване на околната среда (Обн., ДВ, бр. 91 от 25.09.2002 г., изм. и доп.);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http://www3.moew.government.bg/files/file/Industry/Legislation/Zakoni/ZOOS.pdf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за условията и реда за извършване на оценка на въздействието върху околната среда (посл. изм. ДВ, бр. 94 от 30.11.2012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http://www3.moew.government.bg/files/file/Legislation/Naredbi/NAREDBA_za_usloviqta_i_reda_za_izvyrsvane_na_ocenka_na_vyzdejstvieto_vyrhu_okolnata_sreda_Zagl_izm_D.pdf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за условията и реда за извършване на екологична оценка (посл. изм. ДВ, бр. 94 от 30.11.2012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http://www3.moew.government.bg/files/file/Industry/Legislation/Naredbi/NAREDBA_za_usloviqta_i_reda_za_izvyrsvane_na_ekologicna_ocenka_na_planove_i_programi_Zagl_izm_DV_br_.pdf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G6.b) Уредба за обучение на персонала, който участва в прилагането на директивите за ОВОС и СООС, и за разпространение на информация до този персонал.</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http://www.moew.government.bg/?show=top&amp;cid=233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Писмо изх. № 05-08-7258/13.11.2013 г. на МОСВ, относно информация за данни на експертите по ОВОС и ЕО за създаване на електронна мрежа.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Изготвените по проекта на JASPERS ръководства са публикувани на страницата на МОСВ на адреси, както следва:  http://www.moew.government.bg/?show=top&amp;cid=233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http://www.moew.government.bg/?show=top&amp;cid=233&amp;lang=en</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Проведени са обучения, работни срещи, семинари. Изготвени са указания. Осигурен е достъп до указанията и издадените ръководства по електронен път и официална поща.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Създадена е електронна мрежа на експертите по ОВОС и ЕО в системата на МОСВ, в т.ч. на регионално ниво, за обмяна на информация, опит и за разпространяване на информация и документация по електронен път.</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 е общ електронен адрес 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експертите по ОВОС и ЕО в системата на МОСВ, за обмяна на информация, опит и за разпространяване на информация и документация по електронен път.</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страницата на МОСВ е публикувано указание относно прилагане на разпоредбите на чл. 2а от Наредбата за условията и реда за извършване на оценка на въздействието върху околната среда, чл. 7а от Наредбата за условията и реда за извършване на екологична оценка на планове и програми и чл. 13, ал. 3 от Наредбата за условията и реда за извършване на оценка за съвместимостта на планове, програми, проекти и инвестиционни предложения с предмета и целите на опазване на защитените зони за определяне на допустимостта на инвестиционни предложения, планове, програми и проекти спрямо забраните в Националния план за действие за енергията от възобновяеми източници до 2020 г., произтичащи от Становище по екологична оценка № 1-2/2012 г. на министъра на околната среда и водите.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http://www.moew.government.bg/?show=top&amp;cid=233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G6.c) Уредба за осигуряване на достатъчен административен капацитет.</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16-те РИОСВ, като компетентни органи по околна среда по процедурата по ОВОС и ЕО, има създадени структурни звена по ОВОС и ЕО с назначени експерти, чиито длъжностни характеристики включват координиране на процедурата по ОВОС и ЕО.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http://www.moew.government.bg/?show=164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G7) Статистически системи и показатели за резултатите: наличие на статистическа база, необходима за оценяване на ефективността и въздействието на програмите. Наличие на система от показатели за резултатите, необходими за подбора на действия, които най-ефективно допринасят за постигане на желаните резултати, за наблюдение на напредъка към постигане на резултатите и за извършване на оценка на въздействието.</w:t>
            </w:r>
          </w:p>
        </w:tc>
        <w:tc>
          <w:tcPr>
            <w:tcW w:w="1250" w:type="pct"/>
            <w:shd w:val="clear" w:color="auto" w:fill="FFFFFF"/>
            <w:noWrap w:val="0"/>
            <w:tcMar>
              <w:top w:w="20" w:type="dxa"/>
              <w:bottom w:w="20" w:type="dxa"/>
            </w:tcMar>
            <w:vAlign w:val="center"/>
          </w:tcPr>
          <w:p>
            <w:pPr>
              <w:jc w:val="left"/>
              <w:rPr>
                <w:b w:val="0"/>
                <w:sz w:val="12"/>
              </w:rPr>
            </w:pPr>
            <w:r>
              <w:rPr>
                <w:b w:val="0"/>
                <w:sz w:val="12"/>
              </w:rPr>
              <w:t>G7.a) Въведена е уредба за своевременно събиране и агрегиране на статистически данни със следните елементи: идентифициране на източници и механизми за осигуряване на статистическо валидиране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http://www.nsi.bg/files/Quality/1.1.%20CoP_ALL_BG.pdf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http://www.nsi.bg/files/Quality/QUALITY_NSI_Declaration.pdf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статистиката: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http://www.nsi.bg/dokument.php?P=64&amp;SP=102&amp;NSP=1#cont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G7.b) Въведена е уредба за своевременно събиране и агрегиране на статистически данни със следните елементи: уредба относно публикуването и публичната достъпност на агрегираните данни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http://www.nsi.bg/files/Quality/1.1.%20CoP_ALL_BG.pdf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http://www.nsi.bg/files/Quality/QUALITY_NSI_Declaration.pdf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статистиката: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http://www.nsi.bg/dokument.php?P=64&amp;SP=102&amp;NSP=1#cont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G7.c) Ефективна система от показатели за резултатите, включително: подбор на показатели за резултатите за всяка програма, които предоставят информация за обосновката на подбора на свързани с политиката действия, финансирани от програмата</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Списък на стандартните статистически показатели: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http://www.nsi.bg/img/uplf/StdInd2013.pdf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http://www.nsi.bg/img/uplf_e/StdInd2013_en.pdf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G7.d) Ефективна система от показатели за резултатите, включително: определяне на цели за тези показатели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http://www.nsi.bg/files/Quality/1.1.%20CoP_ALL_BG.pdf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http://www.nsi.bg/files/Quality/QUALITY_NSI_Declaration.pdf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статистиката: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http://www.nsi.bg/dokument.php?P=64&amp;SP=102&amp;NSP=1#cont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G7.e) Ефективна система от показатели за резултатите, включително: съгласуваност на всеки показател със следните реквизити: солидност и статистическо валидиране, яснота на тълкуванието на нормите, реагиране на предприетите мерки на ниво политика, своевременно събиране на данните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http://www.nsi.bg/files/Quality/1.1.%20CoP_ALL_BG.pdf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http://www.nsi.bg/files/Quality/QUALITY_NSI_Declaration.pdf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статистиката: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http://www.nsi.bg/dokument.php?P=64&amp;SP=102&amp;NSP=1#cont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G7.f) Въведени са процедури, които гарантират, че всички операции, финансирани от програмата, възприемат ефективна система от показатели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bl>
    <w:p>
      <w:pPr>
        <w:pStyle w:val="Heading3"/>
        <w:jc w:val="left"/>
        <w:rPr>
          <w:b w:val="0"/>
        </w:rPr>
      </w:pPr>
      <w:r>
        <w:rPr>
          <w:b/>
        </w:rPr>
        <w:br w:type="page"/>
      </w:r>
      <w:bookmarkStart w:id="103" w:name="_Toc256000103"/>
      <w:r>
        <w:rPr>
          <w:b w:val="0"/>
        </w:rPr>
        <w:t>Списък на действията, които да бъдат предприети за общите предварителни условия</w:t>
      </w:r>
      <w:bookmarkEnd w:id="10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851"/>
        <w:gridCol w:w="2851"/>
        <w:gridCol w:w="2851"/>
        <w:gridCol w:w="2851"/>
        <w:gridCol w:w="285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000" w:type="pct"/>
            <w:shd w:val="clear" w:color="auto" w:fill="C0C0C0"/>
            <w:noWrap w:val="0"/>
            <w:tcMar>
              <w:top w:w="20" w:type="dxa"/>
              <w:bottom w:w="20" w:type="dxa"/>
            </w:tcMar>
            <w:vAlign w:val="center"/>
          </w:tcPr>
          <w:p>
            <w:pPr>
              <w:jc w:val="center"/>
              <w:rPr>
                <w:b/>
                <w:sz w:val="16"/>
              </w:rPr>
            </w:pPr>
            <w:r>
              <w:rPr>
                <w:b/>
                <w:sz w:val="16"/>
              </w:rPr>
              <w:t>Критерии, които не са изпълнени</w:t>
            </w:r>
          </w:p>
        </w:tc>
        <w:tc>
          <w:tcPr>
            <w:tcW w:w="1000" w:type="pct"/>
            <w:shd w:val="clear" w:color="auto" w:fill="C0C0C0"/>
            <w:noWrap w:val="0"/>
            <w:tcMar>
              <w:top w:w="20" w:type="dxa"/>
              <w:bottom w:w="20" w:type="dxa"/>
            </w:tcMar>
            <w:vAlign w:val="center"/>
          </w:tcPr>
          <w:p>
            <w:pPr>
              <w:jc w:val="center"/>
              <w:rPr>
                <w:b/>
                <w:sz w:val="16"/>
              </w:rPr>
            </w:pPr>
            <w:r>
              <w:rPr>
                <w:b/>
                <w:sz w:val="16"/>
              </w:rPr>
              <w:t>Action to be taken</w:t>
            </w:r>
          </w:p>
        </w:tc>
        <w:tc>
          <w:tcPr>
            <w:tcW w:w="1000" w:type="pct"/>
            <w:shd w:val="clear" w:color="auto" w:fill="C0C0C0"/>
            <w:noWrap w:val="0"/>
            <w:tcMar>
              <w:top w:w="20" w:type="dxa"/>
              <w:bottom w:w="20" w:type="dxa"/>
            </w:tcMar>
            <w:vAlign w:val="center"/>
          </w:tcPr>
          <w:p>
            <w:pPr>
              <w:jc w:val="center"/>
              <w:rPr>
                <w:b/>
                <w:sz w:val="16"/>
              </w:rPr>
            </w:pPr>
            <w:r>
              <w:rPr>
                <w:b/>
                <w:sz w:val="16"/>
              </w:rPr>
              <w:t>Deadline</w:t>
            </w:r>
          </w:p>
        </w:tc>
        <w:tc>
          <w:tcPr>
            <w:tcW w:w="1000" w:type="pct"/>
            <w:shd w:val="clear" w:color="auto" w:fill="C0C0C0"/>
            <w:noWrap w:val="0"/>
            <w:tcMar>
              <w:top w:w="20" w:type="dxa"/>
              <w:bottom w:w="20" w:type="dxa"/>
            </w:tcMar>
            <w:vAlign w:val="center"/>
          </w:tcPr>
          <w:p>
            <w:pPr>
              <w:jc w:val="center"/>
              <w:rPr>
                <w:b w:val="0"/>
                <w:sz w:val="16"/>
              </w:rPr>
            </w:pPr>
            <w:r>
              <w:rPr>
                <w:b/>
                <w:sz w:val="16"/>
              </w:rPr>
              <w:t>Bodies responsible for fulfillment</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G4) Обществени поръчки: наличие на уредба за ефективното прилагане на законодателството на Съюза за обществените поръчки в областта на европейските структурни и инвестиционни фондове.</w:t>
            </w:r>
          </w:p>
        </w:tc>
        <w:tc>
          <w:tcPr>
            <w:tcW w:w="1000" w:type="pct"/>
            <w:shd w:val="clear" w:color="auto" w:fill="FFFFFF"/>
            <w:noWrap w:val="0"/>
            <w:tcMar>
              <w:top w:w="20" w:type="dxa"/>
              <w:bottom w:w="20" w:type="dxa"/>
            </w:tcMar>
            <w:vAlign w:val="center"/>
          </w:tcPr>
          <w:p>
            <w:pPr>
              <w:jc w:val="left"/>
              <w:rPr>
                <w:b w:val="0"/>
                <w:sz w:val="12"/>
              </w:rPr>
            </w:pPr>
            <w:r>
              <w:rPr>
                <w:b w:val="0"/>
                <w:sz w:val="12"/>
              </w:rPr>
              <w:t>G4.a) Уредба за ефективното прилагане на правилата на Съюза за обществените поръчки посредством подходящи механизми.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Установяване на кодифицирано, устойчиво и опростено законодателство в областта на обществените поръчки чрез приемане на нов Закон за обществените поръчки и подзаконови актове по прилагането му.</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Въвеждане на мерки за засилване на системите за управление и контрол на европейските фондове, вкл. ефективно сътрудничество с цел гарантиране на съгласуваност между действията при предварителния и последващия контрол</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Преглед на системата за обжалване и предложения за нейното оптимизиране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вж. Приложение 3, р-л 6.3 )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Специфични действия по ПРСР във връзка с въвеждане на мерки за засилване на системите за управление и контрол на европейските фондове, включващи предварителния и последващия контрол.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Извършване на предварителен контрол на планираните обществени поръчки съобразно Указанията към бенефициентите и ЗОП. Звената в УО и РА, извършващи контрол върху обществените поръчки, ще бъдат определени за контактни точки.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Извършване последващ контрол на вече проведени обществени поръчки. Срок 30.09.2015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31-01-2016</w:t>
            </w:r>
          </w:p>
        </w:tc>
        <w:tc>
          <w:tcPr>
            <w:tcW w:w="1000" w:type="pct"/>
            <w:shd w:val="clear" w:color="auto" w:fill="FFFFFF"/>
            <w:noWrap w:val="0"/>
            <w:tcMar>
              <w:top w:w="20" w:type="dxa"/>
              <w:bottom w:w="20" w:type="dxa"/>
            </w:tcMar>
            <w:vAlign w:val="center"/>
          </w:tcPr>
          <w:p>
            <w:pPr>
              <w:jc w:val="left"/>
              <w:rPr>
                <w:b w:val="0"/>
                <w:sz w:val="12"/>
              </w:rPr>
            </w:pPr>
            <w:r>
              <w:rPr>
                <w:b w:val="0"/>
                <w:sz w:val="12"/>
              </w:rPr>
              <w:t>МИЕ</w:t>
            </w:r>
          </w:p>
          <w:p>
            <w:pPr>
              <w:jc w:val="left"/>
              <w:rPr>
                <w:b w:val="0"/>
                <w:sz w:val="12"/>
              </w:rPr>
            </w:pPr>
            <w:r>
              <w:rPr>
                <w:b w:val="0"/>
                <w:sz w:val="12"/>
              </w:rPr>
              <w:t>АОП</w:t>
            </w:r>
          </w:p>
          <w:p>
            <w:pPr>
              <w:jc w:val="left"/>
              <w:rPr>
                <w:b w:val="0"/>
                <w:sz w:val="12"/>
              </w:rPr>
            </w:pPr>
            <w:r>
              <w:rPr>
                <w:b w:val="0"/>
                <w:sz w:val="12"/>
              </w:rPr>
              <w:t>ИПА</w:t>
            </w:r>
          </w:p>
          <w:p>
            <w:pPr>
              <w:jc w:val="left"/>
              <w:rPr>
                <w:b w:val="0"/>
                <w:sz w:val="12"/>
              </w:rPr>
            </w:pPr>
            <w:r>
              <w:rPr>
                <w:b w:val="0"/>
                <w:sz w:val="12"/>
              </w:rPr>
              <w:t xml:space="preserve">УО </w:t>
            </w:r>
          </w:p>
          <w:p>
            <w:pPr>
              <w:jc w:val="left"/>
              <w:rPr>
                <w:b w:val="0"/>
                <w:sz w:val="12"/>
              </w:rPr>
            </w:pPr>
            <w:r>
              <w:rPr>
                <w:b w:val="0"/>
                <w:sz w:val="12"/>
              </w:rPr>
              <w:t>АОП</w:t>
            </w:r>
          </w:p>
          <w:p>
            <w:pPr>
              <w:jc w:val="left"/>
              <w:rPr>
                <w:b w:val="0"/>
                <w:sz w:val="12"/>
              </w:rPr>
            </w:pPr>
            <w:r>
              <w:rPr>
                <w:b w:val="0"/>
                <w:sz w:val="12"/>
              </w:rPr>
              <w:t>КЗК</w:t>
            </w:r>
          </w:p>
          <w:p>
            <w:pPr>
              <w:jc w:val="left"/>
              <w:rPr>
                <w:b w:val="0"/>
                <w:sz w:val="12"/>
              </w:rPr>
            </w:pPr>
            <w:r>
              <w:rPr>
                <w:b w:val="0"/>
                <w:sz w:val="12"/>
              </w:rPr>
              <w:t>ВАС</w:t>
            </w:r>
          </w:p>
          <w:p>
            <w:pPr>
              <w:jc w:val="left"/>
              <w:rPr>
                <w:b w:val="0"/>
                <w:sz w:val="12"/>
              </w:rPr>
            </w:pP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G4.c) Уредба за обучение на персонала, който участва в привеждането на европейските структурни и инвестиционни фондове в действие, и за разпространение на информация до този персонал.</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Поддържане и повишаване на капацитета и експертизата на УО на ПРСР и ДФЗ чрез провеждане на редовни срещи, обучения и семинари по ЗОП между УО, ДФЗ, АОП и бенефициентите по ПРСР. –  срока на прилагане на ПРСР 2014-2020. (действието е в съответствие с План за действие за намаляване на нивото на грешка по ПРСР)</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Органите съгласно Стратегията.</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G4.d) Уредба, гарантираща административния капацитет за въвеждане и прилагане на правилата на Съюза за обществените поръчки.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Осигуряване на техническа помощ за лицата, които прилагат правилата за възлагане на обществени поръчки чрез организиране и провеждане на текущи обучения и други необходими мерки/действия, определени след проучване и консултация със съответните целеви групи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b/>
                <w:bCs/>
                <w:sz w:val="15"/>
                <w:szCs w:val="15"/>
              </w:rPr>
              <w:t>Специфични действия за ПРСР: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Изготвяне на указания към бенефициентите по ПРСР за прилагане на Закона за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Информиране на потенциалните бенефициенти за Указанията.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Разработване на стандартизирани критерии за възлагане по видове и типове инвестиционни дейности за прилагане на процедурите по ЗОП, които да бъдат допълнени към Указанията.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ИПА, УО, АОП</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G7) Статистически системи и показатели за резултатите: наличие на статистическа база, необходима за оценяване на ефективността и въздействието на програмите. Наличие на система от показатели за резултатите, необходими за подбора на действия, които най-ефективно допринасят за постигане на желаните резултати, за наблюдение на напредъка към постигане на резултатите и за извършване на оценка на въздействието.</w:t>
            </w:r>
          </w:p>
        </w:tc>
        <w:tc>
          <w:tcPr>
            <w:tcW w:w="1000" w:type="pct"/>
            <w:shd w:val="clear" w:color="auto" w:fill="FFFFFF"/>
            <w:noWrap w:val="0"/>
            <w:tcMar>
              <w:top w:w="20" w:type="dxa"/>
              <w:bottom w:w="20" w:type="dxa"/>
            </w:tcMar>
            <w:vAlign w:val="center"/>
          </w:tcPr>
          <w:p>
            <w:pPr>
              <w:jc w:val="left"/>
              <w:rPr>
                <w:b w:val="0"/>
                <w:sz w:val="12"/>
              </w:rPr>
            </w:pPr>
            <w:r>
              <w:rPr>
                <w:b w:val="0"/>
                <w:sz w:val="12"/>
              </w:rPr>
              <w:t>G7.c) Ефективна система от показатели за резултатите, включително: подбор на показатели за резултатите за всяка програма, които предоставят информация за обосновката на подбора на свързани с политиката действия, финансирани от програмата</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Избор на показатели за резултатите за всяка оперативна програма.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Показателите за изпълнение и резултат да са относими и обвързани с тематичните оси, цели и мерки по 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целите на статистическото валидиране ще се приложи унифицирана система за изискванията по събирането на микроданни, за приложимите методологии и дефиниции за техния обхват и за приложимата процедура за обработка за и обобщаване на данните. Рамката за статистическо валидиране ще се разработи в съответствие с European Code of Practice и методологическите изисквания на статистическите регламенти на ЕК и Парламента.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Сформирана е целева работна група в НСИ за работа по подготовката и мониторинга по оперативните програми.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01-12-2016</w:t>
            </w:r>
          </w:p>
        </w:tc>
        <w:tc>
          <w:tcPr>
            <w:tcW w:w="1000" w:type="pct"/>
            <w:shd w:val="clear" w:color="auto" w:fill="FFFFFF"/>
            <w:noWrap w:val="0"/>
            <w:tcMar>
              <w:top w:w="20" w:type="dxa"/>
              <w:bottom w:w="20" w:type="dxa"/>
            </w:tcMar>
            <w:vAlign w:val="center"/>
          </w:tcPr>
          <w:p>
            <w:pPr>
              <w:jc w:val="left"/>
              <w:rPr>
                <w:b w:val="0"/>
                <w:sz w:val="12"/>
              </w:rPr>
            </w:pPr>
            <w:r>
              <w:rPr>
                <w:b w:val="0"/>
                <w:sz w:val="12"/>
              </w:rPr>
              <w:t>НСИ, УО</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G7.f) Въведени са процедури, които гарантират, че всички операции, финансирани от програмата, възприемат ефективна система от показатели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Проверка относно спазване на изискванията за всеки индикатор по отношение на неговата устойчивост, яснота на тълкуването, своевременност на събиране на данните и отзивчивост към политиката.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Проверка относно спазване на изискванията за всеки индикатор по отношение на неговата устойчивост, яснота на тълкуването, своевременност на събиране на данните и отзивчивост към политиката.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Изпратена е информация към НСИ за индикаторите, за които следва да се събира информация относно  ПРСР.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01-12-2016</w:t>
            </w:r>
          </w:p>
        </w:tc>
        <w:tc>
          <w:tcPr>
            <w:tcW w:w="1000" w:type="pct"/>
            <w:shd w:val="clear" w:color="auto" w:fill="FFFFFF"/>
            <w:noWrap w:val="0"/>
            <w:tcMar>
              <w:top w:w="20" w:type="dxa"/>
              <w:bottom w:w="20" w:type="dxa"/>
            </w:tcMar>
            <w:vAlign w:val="center"/>
          </w:tcPr>
          <w:p>
            <w:pPr>
              <w:jc w:val="left"/>
              <w:rPr>
                <w:b w:val="0"/>
                <w:sz w:val="12"/>
              </w:rPr>
            </w:pPr>
            <w:r>
              <w:rPr>
                <w:b w:val="0"/>
                <w:sz w:val="12"/>
              </w:rPr>
              <w:t>НСИ, УО</w:t>
            </w:r>
          </w:p>
        </w:tc>
      </w:tr>
    </w:tbl>
    <w:p>
      <w:pPr>
        <w:pStyle w:val="Heading3"/>
        <w:jc w:val="left"/>
        <w:rPr>
          <w:b w:val="0"/>
        </w:rPr>
      </w:pPr>
      <w:r>
        <w:rPr>
          <w:b/>
        </w:rPr>
        <w:br w:type="page"/>
      </w:r>
      <w:bookmarkStart w:id="104" w:name="_Toc256000104"/>
      <w:r>
        <w:rPr>
          <w:b w:val="0"/>
        </w:rPr>
        <w:t>Списък на действията, които да бъдат предприети  предварителните условия, свързани с приоритети</w:t>
      </w:r>
      <w:bookmarkEnd w:id="1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851"/>
        <w:gridCol w:w="2851"/>
        <w:gridCol w:w="2851"/>
        <w:gridCol w:w="2851"/>
        <w:gridCol w:w="285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000" w:type="pct"/>
            <w:shd w:val="clear" w:color="auto" w:fill="C0C0C0"/>
            <w:noWrap w:val="0"/>
            <w:tcMar>
              <w:top w:w="20" w:type="dxa"/>
              <w:bottom w:w="20" w:type="dxa"/>
            </w:tcMar>
            <w:vAlign w:val="center"/>
          </w:tcPr>
          <w:p>
            <w:pPr>
              <w:jc w:val="center"/>
              <w:rPr>
                <w:b/>
                <w:sz w:val="16"/>
              </w:rPr>
            </w:pPr>
            <w:r>
              <w:rPr>
                <w:b/>
                <w:sz w:val="16"/>
              </w:rPr>
              <w:t>Критерии, които не са изпълнени</w:t>
            </w:r>
          </w:p>
        </w:tc>
        <w:tc>
          <w:tcPr>
            <w:tcW w:w="1000" w:type="pct"/>
            <w:shd w:val="clear" w:color="auto" w:fill="C0C0C0"/>
            <w:noWrap w:val="0"/>
            <w:tcMar>
              <w:top w:w="20" w:type="dxa"/>
              <w:bottom w:w="20" w:type="dxa"/>
            </w:tcMar>
            <w:vAlign w:val="center"/>
          </w:tcPr>
          <w:p>
            <w:pPr>
              <w:jc w:val="center"/>
              <w:rPr>
                <w:b/>
                <w:sz w:val="16"/>
              </w:rPr>
            </w:pPr>
            <w:r>
              <w:rPr>
                <w:b/>
                <w:sz w:val="16"/>
              </w:rPr>
              <w:t>Action to be taken</w:t>
            </w:r>
          </w:p>
        </w:tc>
        <w:tc>
          <w:tcPr>
            <w:tcW w:w="1000" w:type="pct"/>
            <w:shd w:val="clear" w:color="auto" w:fill="C0C0C0"/>
            <w:noWrap w:val="0"/>
            <w:tcMar>
              <w:top w:w="20" w:type="dxa"/>
              <w:bottom w:w="20" w:type="dxa"/>
            </w:tcMar>
            <w:vAlign w:val="center"/>
          </w:tcPr>
          <w:p>
            <w:pPr>
              <w:jc w:val="center"/>
              <w:rPr>
                <w:b/>
                <w:sz w:val="16"/>
              </w:rPr>
            </w:pPr>
            <w:r>
              <w:rPr>
                <w:b/>
                <w:sz w:val="16"/>
              </w:rPr>
              <w:t>Deadline</w:t>
            </w:r>
          </w:p>
        </w:tc>
        <w:tc>
          <w:tcPr>
            <w:tcW w:w="1000" w:type="pct"/>
            <w:shd w:val="clear" w:color="auto" w:fill="C0C0C0"/>
            <w:noWrap w:val="0"/>
            <w:tcMar>
              <w:top w:w="20" w:type="dxa"/>
              <w:bottom w:w="20" w:type="dxa"/>
            </w:tcMar>
            <w:vAlign w:val="center"/>
          </w:tcPr>
          <w:p>
            <w:pPr>
              <w:jc w:val="center"/>
              <w:rPr>
                <w:b w:val="0"/>
                <w:sz w:val="16"/>
              </w:rPr>
            </w:pPr>
            <w:r>
              <w:rPr>
                <w:b/>
                <w:sz w:val="16"/>
              </w:rPr>
              <w:t>Bodies responsible for fulfillment</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P3.1) Превенция и управление на риска: наличие на национални или регионални оценки на риска с оглед управлението на бедствия, като се отчита адаптирането към изменението на климата</w:t>
            </w:r>
          </w:p>
        </w:tc>
        <w:tc>
          <w:tcPr>
            <w:tcW w:w="1000" w:type="pct"/>
            <w:shd w:val="clear" w:color="auto" w:fill="FFFFFF"/>
            <w:noWrap w:val="0"/>
            <w:tcMar>
              <w:top w:w="20" w:type="dxa"/>
              <w:bottom w:w="20" w:type="dxa"/>
            </w:tcMar>
            <w:vAlign w:val="center"/>
          </w:tcPr>
          <w:p>
            <w:pPr>
              <w:jc w:val="left"/>
              <w:rPr>
                <w:b w:val="0"/>
                <w:sz w:val="12"/>
              </w:rPr>
            </w:pPr>
            <w:r>
              <w:rPr>
                <w:b w:val="0"/>
                <w:sz w:val="12"/>
              </w:rPr>
              <w:t>P3.1.a) Въведена е национална или регионална оценка на риска със следните елементи: описание на процеса, методологията, методите и неповерителните данни, използвани за оценка на риска, както и на основаните на риска критерии за определяне на приоритетите по отношение на инвестициите;</w:t>
            </w:r>
          </w:p>
        </w:tc>
        <w:tc>
          <w:tcPr>
            <w:tcW w:w="1000" w:type="pct"/>
            <w:shd w:val="clear" w:color="auto" w:fill="FFFFFF"/>
            <w:noWrap w:val="0"/>
            <w:tcMar>
              <w:top w:w="20" w:type="dxa"/>
              <w:bottom w:w="20" w:type="dxa"/>
            </w:tcMar>
            <w:vAlign w:val="center"/>
          </w:tcPr>
          <w:p>
            <w:pPr>
              <w:spacing w:before="0" w:after="150"/>
              <w:ind w:left="34"/>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 Приемане на планове за управление на риска от наводнения, включително национален каталог от мерки и национални приоритети за управление на риска от наводнения.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2.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Изготвяне на методика за извършване на оценка на риска от горски пожари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3.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Описание на основаните на риска критерии за определяне на приоритетите по отношение на инвестициите - в оценката на риска, изготвяна съгласно чл. 4, ал. 1 от Наредбата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4.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Определяне на ясни и координирани отговорности на различните държавни органи при реализирането на необходимите инвестиции в широк спектър от сектори;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5.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Картографиране на рисковете от бедствия.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Картографирането на риска от наводнение от МОСВ е с по-ранен срок: 22 декември 2015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31-12-2016</w:t>
            </w:r>
          </w:p>
        </w:tc>
        <w:tc>
          <w:tcPr>
            <w:tcW w:w="1000" w:type="pct"/>
            <w:shd w:val="clear" w:color="auto" w:fill="FFFFFF"/>
            <w:noWrap w:val="0"/>
            <w:tcMar>
              <w:top w:w="20" w:type="dxa"/>
              <w:bottom w:w="20" w:type="dxa"/>
            </w:tcMar>
            <w:vAlign w:val="center"/>
          </w:tcPr>
          <w:p>
            <w:pPr>
              <w:jc w:val="left"/>
              <w:rPr>
                <w:b w:val="0"/>
                <w:sz w:val="12"/>
              </w:rPr>
            </w:pPr>
            <w:r>
              <w:rPr>
                <w:b w:val="0"/>
                <w:sz w:val="12"/>
              </w:rPr>
              <w:t>МВР</w:t>
            </w:r>
          </w:p>
          <w:p>
            <w:pPr>
              <w:jc w:val="left"/>
              <w:rPr>
                <w:b w:val="0"/>
                <w:sz w:val="12"/>
              </w:rPr>
            </w:pPr>
            <w:r>
              <w:rPr>
                <w:b w:val="0"/>
                <w:sz w:val="12"/>
              </w:rPr>
              <w:t>МОСВ</w:t>
            </w:r>
          </w:p>
          <w:p>
            <w:pPr>
              <w:jc w:val="left"/>
              <w:rPr>
                <w:b w:val="0"/>
                <w:sz w:val="12"/>
              </w:rPr>
            </w:pPr>
            <w:r>
              <w:rPr>
                <w:b w:val="0"/>
                <w:sz w:val="12"/>
              </w:rPr>
              <w:t>МРР</w:t>
            </w:r>
          </w:p>
          <w:p>
            <w:pPr>
              <w:jc w:val="left"/>
              <w:rPr>
                <w:b w:val="0"/>
                <w:sz w:val="12"/>
              </w:rPr>
            </w:pPr>
            <w:r>
              <w:rPr>
                <w:b w:val="0"/>
                <w:sz w:val="12"/>
              </w:rPr>
              <w:t>МЗХ</w:t>
            </w:r>
          </w:p>
          <w:p>
            <w:pPr>
              <w:jc w:val="left"/>
              <w:rPr>
                <w:b w:val="0"/>
                <w:sz w:val="12"/>
              </w:rPr>
            </w:pPr>
          </w:p>
          <w:p>
            <w:pPr>
              <w:jc w:val="left"/>
              <w:rPr>
                <w:b w:val="0"/>
                <w:sz w:val="12"/>
              </w:rPr>
            </w:pP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P3.1.b) Въведена е национална или регионална оценка на риска със следните елементи: описание на сценарии с един риск и множество рискове;</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Описание на сценарии с един риск и множество рискове - в оценката на риска, изготвяна съгласно чл. 4, ал. 1 от Наредбата</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31-12-2016</w:t>
            </w:r>
          </w:p>
        </w:tc>
        <w:tc>
          <w:tcPr>
            <w:tcW w:w="1000" w:type="pct"/>
            <w:shd w:val="clear" w:color="auto" w:fill="FFFFFF"/>
            <w:noWrap w:val="0"/>
            <w:tcMar>
              <w:top w:w="20" w:type="dxa"/>
              <w:bottom w:w="20" w:type="dxa"/>
            </w:tcMar>
            <w:vAlign w:val="center"/>
          </w:tcPr>
          <w:p>
            <w:pPr>
              <w:jc w:val="left"/>
              <w:rPr>
                <w:b w:val="0"/>
                <w:sz w:val="12"/>
              </w:rPr>
            </w:pPr>
            <w:r>
              <w:rPr>
                <w:b w:val="0"/>
                <w:sz w:val="12"/>
              </w:rPr>
              <w:t>МВР</w:t>
            </w:r>
          </w:p>
          <w:p>
            <w:pPr>
              <w:jc w:val="left"/>
              <w:rPr>
                <w:b w:val="0"/>
                <w:sz w:val="12"/>
              </w:rPr>
            </w:pPr>
            <w:r>
              <w:rPr>
                <w:b w:val="0"/>
                <w:sz w:val="12"/>
              </w:rPr>
              <w:t>МОСВ</w:t>
            </w:r>
          </w:p>
          <w:p>
            <w:pPr>
              <w:jc w:val="left"/>
              <w:rPr>
                <w:b w:val="0"/>
                <w:sz w:val="12"/>
              </w:rPr>
            </w:pPr>
            <w:r>
              <w:rPr>
                <w:b w:val="0"/>
                <w:sz w:val="12"/>
              </w:rPr>
              <w:t>МРР</w:t>
            </w:r>
          </w:p>
          <w:p>
            <w:pPr>
              <w:jc w:val="left"/>
              <w:rPr>
                <w:b w:val="0"/>
                <w:sz w:val="12"/>
              </w:rPr>
            </w:pPr>
            <w:r>
              <w:rPr>
                <w:b w:val="0"/>
                <w:sz w:val="12"/>
              </w:rPr>
              <w:t>МЗХ</w:t>
            </w:r>
          </w:p>
          <w:p>
            <w:pPr>
              <w:jc w:val="left"/>
              <w:rPr>
                <w:b w:val="0"/>
                <w:sz w:val="12"/>
              </w:rPr>
            </w:pPr>
          </w:p>
          <w:p>
            <w:pPr>
              <w:jc w:val="left"/>
              <w:rPr>
                <w:b w:val="0"/>
                <w:sz w:val="12"/>
              </w:rPr>
            </w:pP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P3.1.c) Въведена е национална или регионална оценка на риска със следните елементи: когато е уместно, отчитане на националните стратегии за адаптиране към изменението на климата,</w:t>
            </w:r>
          </w:p>
        </w:tc>
        <w:tc>
          <w:tcPr>
            <w:tcW w:w="1000" w:type="pct"/>
            <w:shd w:val="clear" w:color="auto" w:fill="FFFFFF"/>
            <w:noWrap w:val="0"/>
            <w:tcMar>
              <w:top w:w="20" w:type="dxa"/>
              <w:bottom w:w="20" w:type="dxa"/>
            </w:tcMar>
            <w:vAlign w:val="center"/>
          </w:tcPr>
          <w:p>
            <w:pPr>
              <w:spacing w:before="0" w:after="150"/>
              <w:ind w:left="34"/>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 Приемане на планове за управление на риска от наводнения, включително национален каталог от мерки и национални приоритети за управление на риска от наводнения.</w:t>
            </w:r>
          </w:p>
          <w:p>
            <w:pPr>
              <w:spacing w:before="150" w:after="150"/>
              <w:ind w:left="317"/>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Междинни стъпки:</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Оценка на риска от наводнения, извършена на ниво район за басейново управление.</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Разработване на методика за анализ на разходите и ползите за целите на оценка мерките в планове за управление на риска от наводнения – 2015 г.</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Определяне на целите и приоритетите за всеки РБУ, съгласуване с ПУРБ и разработване на проект на ПУРН – 2015 г.</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Проект на програма от мерки за всеки РБУ – 2015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Екологична оценка на ПУРН – 2015 г. Междинни стъпки: МВР координира разработването на оценките и картографирането на рисковете. Осъществява се редовна комуникация със съответните компетентни органи и се организират работни срещи за осигуряване на своевременното изпълнение на ангажиментите.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31-12-2015</w:t>
            </w:r>
          </w:p>
        </w:tc>
        <w:tc>
          <w:tcPr>
            <w:tcW w:w="1000" w:type="pct"/>
            <w:shd w:val="clear" w:color="auto" w:fill="FFFFFF"/>
            <w:noWrap w:val="0"/>
            <w:tcMar>
              <w:top w:w="20" w:type="dxa"/>
              <w:bottom w:w="20" w:type="dxa"/>
            </w:tcMar>
            <w:vAlign w:val="center"/>
          </w:tcPr>
          <w:p>
            <w:pPr>
              <w:jc w:val="left"/>
              <w:rPr>
                <w:b w:val="0"/>
                <w:sz w:val="12"/>
              </w:rPr>
            </w:pPr>
            <w:r>
              <w:rPr>
                <w:b w:val="0"/>
                <w:sz w:val="12"/>
              </w:rPr>
              <w:t>МВР</w:t>
            </w:r>
          </w:p>
          <w:p>
            <w:pPr>
              <w:jc w:val="left"/>
              <w:rPr>
                <w:b w:val="0"/>
                <w:sz w:val="12"/>
              </w:rPr>
            </w:pPr>
            <w:r>
              <w:rPr>
                <w:b w:val="0"/>
                <w:sz w:val="12"/>
              </w:rPr>
              <w:t>МОСВ</w:t>
            </w:r>
          </w:p>
          <w:p>
            <w:pPr>
              <w:jc w:val="left"/>
              <w:rPr>
                <w:b w:val="0"/>
                <w:sz w:val="12"/>
              </w:rPr>
            </w:pPr>
            <w:r>
              <w:rPr>
                <w:b w:val="0"/>
                <w:sz w:val="12"/>
              </w:rPr>
              <w:t>МРР</w:t>
            </w:r>
          </w:p>
          <w:p>
            <w:pPr>
              <w:jc w:val="left"/>
              <w:rPr>
                <w:b w:val="0"/>
                <w:sz w:val="12"/>
              </w:rPr>
            </w:pPr>
            <w:r>
              <w:rPr>
                <w:b w:val="0"/>
                <w:sz w:val="12"/>
              </w:rPr>
              <w:t>МЗХ</w:t>
            </w:r>
          </w:p>
          <w:p>
            <w:pPr>
              <w:jc w:val="left"/>
              <w:rPr>
                <w:b w:val="0"/>
                <w:sz w:val="12"/>
              </w:rPr>
            </w:pPr>
          </w:p>
          <w:p>
            <w:pPr>
              <w:jc w:val="left"/>
              <w:rPr>
                <w:b w:val="0"/>
                <w:sz w:val="12"/>
              </w:rPr>
            </w:pP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P5.2) Воден сектор: Наличие на а)  политика за определяне на цените на водата, която осигурява на потребителите подходящи стимули да използват водните ресурси ефективно, и б) адекватен принос на различните потребители на вода към възстановяването на разходите за водни услуги на равнище, определено в одобрения план за управление на речните басейни за инвестициите, подкрепени от програмите.</w:t>
            </w:r>
          </w:p>
        </w:tc>
        <w:tc>
          <w:tcPr>
            <w:tcW w:w="1000" w:type="pct"/>
            <w:shd w:val="clear" w:color="auto" w:fill="FFFFFF"/>
            <w:noWrap w:val="0"/>
            <w:tcMar>
              <w:top w:w="20" w:type="dxa"/>
              <w:bottom w:w="20" w:type="dxa"/>
            </w:tcMar>
            <w:vAlign w:val="center"/>
          </w:tcPr>
          <w:p>
            <w:pPr>
              <w:jc w:val="left"/>
              <w:rPr>
                <w:b w:val="0"/>
                <w:sz w:val="12"/>
              </w:rPr>
            </w:pPr>
            <w:r>
              <w:rPr>
                <w:b w:val="0"/>
                <w:sz w:val="12"/>
              </w:rPr>
              <w:t>P5.2.a) В подпомаганите от ЕЗФРСР сектори държавата членка е осигурила участието на различните видове ползване на водите във възстановяването на разходите за водни услуги от отрасъла в съответствие с член 9, параграф 1, първо тире от Рамковата директива за водите, като се отчита по целесъобразност социалното, екологичното и икономическото въздействие на това възстановяване, както и географските и климатичните условия в засегнатия(те) регион(и).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допълнителна информация Виж приложение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Разработване на Анализ за възстановяването на разходите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Приемане на ЗИД на ЗВ за определяне на таксата за замърсяване.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Изменение на Тарифата за таксите за водовземане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Приемане на Наредба за нормите за водопотребление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5.</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Въвеждане на различни цени на услугата водоснабдяване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6.</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Национално проучване за изменение на климата и въздействието му върху водите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7.</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Икономически анализ на водоползването във вторите ПУРБ</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8.</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Приемане на законодателни промени в регулаторната рамка в отрасъл ВиК</w:t>
            </w:r>
          </w:p>
          <w:p>
            <w:pPr>
              <w:spacing w:before="150" w:after="150"/>
              <w:ind w:left="34"/>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b/>
                <w:bCs/>
                <w:sz w:val="15"/>
                <w:szCs w:val="15"/>
              </w:rPr>
              <w:t> Хидромелиорации: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Разработване на ЗИД на Закон за сдружения за напояване, законова рамка за въвеждането на Методиката по 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Разработване на Методика за определяне на цената на услугата за водоподаване за напояване в резултат на Стратегията за хидромелиоративния сектор. В методиката ще бъдат отразени изискванията на  чл.9, пар.1, първо тире от Рамковата директива за водите.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31-12-2015</w:t>
            </w:r>
          </w:p>
        </w:tc>
        <w:tc>
          <w:tcPr>
            <w:tcW w:w="1000" w:type="pct"/>
            <w:shd w:val="clear" w:color="auto" w:fill="FFFFFF"/>
            <w:noWrap w:val="0"/>
            <w:tcMar>
              <w:top w:w="20" w:type="dxa"/>
              <w:bottom w:w="20" w:type="dxa"/>
            </w:tcMar>
            <w:vAlign w:val="center"/>
          </w:tcPr>
          <w:p>
            <w:pPr>
              <w:jc w:val="left"/>
              <w:rPr>
                <w:b w:val="0"/>
                <w:sz w:val="12"/>
              </w:rPr>
            </w:pPr>
            <w:r>
              <w:rPr>
                <w:b w:val="0"/>
                <w:sz w:val="12"/>
              </w:rPr>
              <w:t>МОСВ, МЗХ, ДКЕВР, МРР</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P6.1) Инфраструктура за мрежи за достъп от следващо поколение (NGN): наличие на национални или регионални планове за достъп от следващо поколение, които вземат под внимание регионалните дейности, за да се постигнат целите на Съюза във връзка с достъпа до високоскоростен Интернет, съсредоточавайки се върху областите, в които пазарът не осигурява отворена инфраструктура на приемлива цена и с качество, съответстващо на правилата на Съюза за конкуренцията и държавните помощи, и за предоставяне на достъпни услуги за уязвимите групи.</w:t>
            </w:r>
          </w:p>
        </w:tc>
        <w:tc>
          <w:tcPr>
            <w:tcW w:w="1000" w:type="pct"/>
            <w:shd w:val="clear" w:color="auto" w:fill="FFFFFF"/>
            <w:noWrap w:val="0"/>
            <w:tcMar>
              <w:top w:w="20" w:type="dxa"/>
              <w:bottom w:w="20" w:type="dxa"/>
            </w:tcMar>
            <w:vAlign w:val="center"/>
          </w:tcPr>
          <w:p>
            <w:pPr>
              <w:jc w:val="left"/>
              <w:rPr>
                <w:b w:val="0"/>
                <w:sz w:val="12"/>
              </w:rPr>
            </w:pPr>
            <w:r>
              <w:rPr>
                <w:b w:val="0"/>
                <w:sz w:val="12"/>
              </w:rPr>
              <w:t>P6.1.a) Въведен е национален или регионален план за мрежова инфраструктура от следващо поколение, който включва: основан на икономически анализ план за инвестициите в инфраструктурата, в който се отчитат съществуващата частна и публична инфраструктура и планирани инвестиции;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 w:val="15"/>
                <w:szCs w:val="15"/>
              </w:rPr>
              <w:t>Изменение на Националния план за инфраструктура от следващо поколение, с оглед конкретизиране на областите на интервенция и достъ</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МТИТС, ЕСМИС, МЗХ</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P6.1.b) Въведен е национален или регионален план за мрежова инфраструктура от следващо поколение, който включва: модели за устойчиви инвестиции, които повишават конкуренцията и обезпечават достъп до отворени качествени инфраструктура и услуги на приемлива цена, които са готови за бъдещето;</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Изменение на Националния план за инфраструктура от следващо поколение с оглед определяне на инвестиционните модели, които ще се прилагат.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b/>
                <w:bCs/>
                <w:sz w:val="15"/>
                <w:szCs w:val="15"/>
              </w:rPr>
              <w:t>Подробен план за действие по ПРСР е в Приложение.</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МТИТС, ЕСМИС, МЗХ</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P6.1.c) Въведен е национален или регионален план за мрежова инфраструктура от следващо поколение, който включва: мерки за стимулиране на частните инвестиции.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Приемане на Актуализирана политика в областта на електронните съобщения на Република България 2015-2018 г., насочена към стимулиране на инвестициите;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Свободен радио-честотния спектър с цел развитие на безжични широколентови услуги като регулатора периодично проверява интереса от страна на бизнеса.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https://www.mtitc.government.bg/page.php?category=466&amp;id=7725</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b/>
                <w:bCs/>
                <w:sz w:val="15"/>
                <w:szCs w:val="15"/>
              </w:rPr>
              <w:t>Подробен план за действие по ПРСР е в Приложение.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МТИТС, ЕСМИС, МЗХ</w:t>
            </w:r>
          </w:p>
        </w:tc>
      </w:tr>
    </w:tbl>
    <w:p>
      <w:pPr>
        <w:rPr>
          <w:b/>
        </w:rPr>
        <w:sectPr>
          <w:type w:val="nextPage"/>
          <w:pgSz w:w="15840" w:h="12240" w:orient="landscape"/>
          <w:pgMar w:top="900" w:right="900" w:bottom="900" w:left="900" w:header="720" w:footer="720"/>
          <w:cols w:space="720"/>
        </w:sectPr>
      </w:pPr>
    </w:p>
    <w:p>
      <w:pPr>
        <w:pStyle w:val="Heading1"/>
      </w:pPr>
      <w:bookmarkStart w:id="105" w:name="_Toc256000105"/>
      <w:r>
        <w:t>Описание на рамката на изпълнението</w:t>
      </w:r>
      <w:bookmarkEnd w:id="105"/>
    </w:p>
    <w:p>
      <w:pPr>
        <w:pStyle w:val="Heading2"/>
      </w:pPr>
      <w:bookmarkStart w:id="106" w:name="_Toc256000106"/>
      <w:r>
        <w:t>Показатели</w:t>
      </w:r>
      <w:bookmarkEnd w:id="10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037"/>
        <w:gridCol w:w="2037"/>
        <w:gridCol w:w="2037"/>
        <w:gridCol w:w="2037"/>
        <w:gridCol w:w="2037"/>
        <w:gridCol w:w="2037"/>
        <w:gridCol w:w="203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20" w:type="dxa"/>
              <w:bottom w:w="20" w:type="dxa"/>
            </w:tcMar>
            <w:vAlign w:val="center"/>
          </w:tcPr>
          <w:p>
            <w:pPr>
              <w:rPr>
                <w:b/>
              </w:rPr>
            </w:pPr>
            <w:r>
              <w:rPr>
                <w:b/>
              </w:rPr>
              <w:t>Приоритет</w:t>
            </w:r>
          </w:p>
        </w:tc>
        <w:tc>
          <w:tcPr>
            <w:tcW w:w="1000" w:type="pct"/>
            <w:shd w:val="clear" w:color="auto" w:fill="C0C0C0"/>
            <w:noWrap w:val="0"/>
            <w:tcMar>
              <w:top w:w="20" w:type="dxa"/>
              <w:bottom w:w="20" w:type="dxa"/>
            </w:tcMar>
            <w:vAlign w:val="center"/>
          </w:tcPr>
          <w:p>
            <w:pPr>
              <w:rPr>
                <w:b/>
              </w:rPr>
            </w:pPr>
            <w:r>
              <w:rPr>
                <w:b/>
              </w:rPr>
              <w:t>Applicable</w:t>
            </w:r>
          </w:p>
        </w:tc>
        <w:tc>
          <w:tcPr>
            <w:tcW w:w="1000" w:type="pct"/>
            <w:shd w:val="clear" w:color="auto" w:fill="C0C0C0"/>
            <w:noWrap w:val="0"/>
            <w:tcMar>
              <w:top w:w="20" w:type="dxa"/>
              <w:bottom w:w="20" w:type="dxa"/>
            </w:tcMar>
            <w:vAlign w:val="center"/>
          </w:tcPr>
          <w:p>
            <w:pPr>
              <w:jc w:val="left"/>
              <w:rPr>
                <w:b/>
              </w:rPr>
            </w:pPr>
            <w:r>
              <w:rPr>
                <w:b/>
              </w:rPr>
              <w:t>Показател и мерна единица, когато е целесъобразно</w:t>
            </w:r>
          </w:p>
        </w:tc>
        <w:tc>
          <w:tcPr>
            <w:tcW w:w="1000" w:type="pct"/>
            <w:shd w:val="clear" w:color="auto" w:fill="C0C0C0"/>
            <w:noWrap w:val="0"/>
            <w:tcMar>
              <w:top w:w="20" w:type="dxa"/>
              <w:bottom w:w="20" w:type="dxa"/>
            </w:tcMar>
            <w:vAlign w:val="center"/>
          </w:tcPr>
          <w:p>
            <w:pPr>
              <w:jc w:val="left"/>
              <w:rPr>
                <w:b/>
              </w:rPr>
            </w:pPr>
            <w:r>
              <w:rPr>
                <w:b/>
              </w:rPr>
              <w:t>Цел за 2025 г. (а)</w:t>
            </w:r>
          </w:p>
        </w:tc>
        <w:tc>
          <w:tcPr>
            <w:tcW w:w="1000" w:type="pct"/>
            <w:shd w:val="clear" w:color="auto" w:fill="C0C0C0"/>
            <w:noWrap w:val="0"/>
            <w:tcMar>
              <w:top w:w="20" w:type="dxa"/>
              <w:bottom w:w="20" w:type="dxa"/>
            </w:tcMar>
            <w:vAlign w:val="center"/>
          </w:tcPr>
          <w:p>
            <w:pPr>
              <w:jc w:val="left"/>
              <w:rPr>
                <w:b/>
              </w:rPr>
            </w:pPr>
            <w:r>
              <w:rPr>
                <w:b/>
              </w:rPr>
              <w:t>Корекции за допълнителни плащания (б)</w:t>
            </w:r>
          </w:p>
        </w:tc>
        <w:tc>
          <w:tcPr>
            <w:tcW w:w="1000" w:type="pct"/>
            <w:shd w:val="clear" w:color="auto" w:fill="C0C0C0"/>
            <w:noWrap w:val="0"/>
            <w:tcMar>
              <w:top w:w="20" w:type="dxa"/>
              <w:bottom w:w="20" w:type="dxa"/>
            </w:tcMar>
            <w:vAlign w:val="center"/>
          </w:tcPr>
          <w:p>
            <w:pPr>
              <w:jc w:val="left"/>
              <w:rPr>
                <w:b/>
              </w:rPr>
            </w:pPr>
            <w:r>
              <w:rPr>
                <w:b/>
              </w:rPr>
              <w:t>Корекция EURI (B)</w:t>
            </w:r>
          </w:p>
        </w:tc>
        <w:tc>
          <w:tcPr>
            <w:tcW w:w="1000" w:type="pct"/>
            <w:shd w:val="clear" w:color="auto" w:fill="C0C0C0"/>
            <w:noWrap w:val="0"/>
            <w:tcMar>
              <w:top w:w="20" w:type="dxa"/>
              <w:bottom w:w="20" w:type="dxa"/>
            </w:tcMar>
            <w:vAlign w:val="center"/>
          </w:tcPr>
          <w:p>
            <w:pPr>
              <w:jc w:val="left"/>
              <w:rPr>
                <w:b w:val="0"/>
              </w:rPr>
            </w:pPr>
            <w:r>
              <w:rPr>
                <w:b/>
              </w:rPr>
              <w:t>Целева абсолютна стойност (A—Б—В)</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на земеделски стопанства с подпомагане от ПРСР за инвестиции в преструктуриране и модернизация (област с поставен акцент 2А) + стопанства с бизнес план за развитие/инвестиция за млади земеделски стопани, подпомагани по линия на ПРСР (област с поставен акцент 2Б)</w:t>
            </w:r>
          </w:p>
        </w:tc>
        <w:tc>
          <w:tcPr>
            <w:tcW w:w="800" w:type="pct"/>
            <w:shd w:val="clear" w:color="auto" w:fill="FFFFFF"/>
            <w:noWrap w:val="0"/>
            <w:tcMar>
              <w:top w:w="20" w:type="dxa"/>
              <w:bottom w:w="20" w:type="dxa"/>
            </w:tcMar>
            <w:vAlign w:val="center"/>
          </w:tcPr>
          <w:p>
            <w:pPr>
              <w:jc w:val="right"/>
            </w:pPr>
            <w:r>
              <w:t>5 700,00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1 000,00</w:t>
            </w:r>
          </w:p>
        </w:tc>
        <w:tc>
          <w:tcPr>
            <w:tcW w:w="800" w:type="pct"/>
            <w:shd w:val="clear" w:color="auto" w:fill="FFFFFF"/>
            <w:noWrap w:val="0"/>
            <w:tcMar>
              <w:top w:w="20" w:type="dxa"/>
              <w:bottom w:w="20" w:type="dxa"/>
            </w:tcMar>
            <w:vAlign w:val="center"/>
          </w:tcPr>
          <w:p>
            <w:pPr>
              <w:jc w:val="right"/>
            </w:pPr>
            <w:r>
              <w:t>4 700,00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П2 (в евро)</w:t>
            </w:r>
          </w:p>
        </w:tc>
        <w:tc>
          <w:tcPr>
            <w:tcW w:w="800" w:type="pct"/>
            <w:shd w:val="clear" w:color="auto" w:fill="FFFFFF"/>
            <w:noWrap w:val="0"/>
            <w:tcMar>
              <w:top w:w="20" w:type="dxa"/>
              <w:bottom w:w="20" w:type="dxa"/>
            </w:tcMar>
            <w:vAlign w:val="center"/>
          </w:tcPr>
          <w:p>
            <w:pPr>
              <w:jc w:val="right"/>
            </w:pPr>
            <w:r>
              <w:t>753 543 593,40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32 605 000,00</w:t>
            </w:r>
          </w:p>
        </w:tc>
        <w:tc>
          <w:tcPr>
            <w:tcW w:w="800" w:type="pct"/>
            <w:shd w:val="clear" w:color="auto" w:fill="FFFFFF"/>
            <w:noWrap w:val="0"/>
            <w:tcMar>
              <w:top w:w="20" w:type="dxa"/>
              <w:bottom w:w="20" w:type="dxa"/>
            </w:tcMar>
            <w:vAlign w:val="center"/>
          </w:tcPr>
          <w:p>
            <w:pPr>
              <w:jc w:val="right"/>
            </w:pPr>
            <w:r>
              <w:t>720 938 593,40</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П3 (в евро)</w:t>
            </w:r>
          </w:p>
        </w:tc>
        <w:tc>
          <w:tcPr>
            <w:tcW w:w="800" w:type="pct"/>
            <w:shd w:val="clear" w:color="auto" w:fill="FFFFFF"/>
            <w:noWrap w:val="0"/>
            <w:tcMar>
              <w:top w:w="20" w:type="dxa"/>
              <w:bottom w:w="20" w:type="dxa"/>
            </w:tcMar>
            <w:vAlign w:val="center"/>
          </w:tcPr>
          <w:p>
            <w:pPr>
              <w:jc w:val="right"/>
            </w:pPr>
            <w:r>
              <w:t>429 248 846,50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78 611 861,00</w:t>
            </w:r>
          </w:p>
        </w:tc>
        <w:tc>
          <w:tcPr>
            <w:tcW w:w="800" w:type="pct"/>
            <w:shd w:val="clear" w:color="auto" w:fill="FFFFFF"/>
            <w:noWrap w:val="0"/>
            <w:tcMar>
              <w:top w:w="20" w:type="dxa"/>
              <w:bottom w:w="20" w:type="dxa"/>
            </w:tcMar>
            <w:vAlign w:val="center"/>
          </w:tcPr>
          <w:p>
            <w:pPr>
              <w:jc w:val="right"/>
            </w:pPr>
            <w:r>
              <w:t>350 636 985,50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 xml:space="preserve">Брой на земеделските стопанства, получаващи подпомагане по схеми за качество, за местни пазари/ къси вериги на доставки и групи на производителите (област с поставен акцент 3A) </w:t>
            </w:r>
          </w:p>
        </w:tc>
        <w:tc>
          <w:tcPr>
            <w:tcW w:w="800" w:type="pct"/>
            <w:shd w:val="clear" w:color="auto" w:fill="FFFFFF"/>
            <w:noWrap w:val="0"/>
            <w:tcMar>
              <w:top w:w="20" w:type="dxa"/>
              <w:bottom w:w="20" w:type="dxa"/>
            </w:tcMar>
            <w:vAlign w:val="center"/>
          </w:tcPr>
          <w:p>
            <w:pPr>
              <w:jc w:val="right"/>
            </w:pPr>
            <w:r>
              <w:t>145,00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145,00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на земеделските стопанства, които участват в схеми за управление на риска (област с поставен акцент 3Б)</w:t>
            </w:r>
          </w:p>
        </w:tc>
        <w:tc>
          <w:tcPr>
            <w:tcW w:w="800" w:type="pct"/>
            <w:shd w:val="clear" w:color="auto" w:fill="FFFFFF"/>
            <w:noWrap w:val="0"/>
            <w:tcMar>
              <w:top w:w="20" w:type="dxa"/>
              <w:bottom w:w="20" w:type="dxa"/>
            </w:tcMar>
            <w:vAlign w:val="center"/>
          </w:tcPr>
          <w:p>
            <w:pPr>
              <w:jc w:val="right"/>
            </w:pPr>
            <w:r>
              <w:t>60,00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60,00</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P4: Възстановяване, опазване и укрепване на екосистемите, свързани със селското и горското стопанство</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П4 (в евро)</w:t>
            </w:r>
          </w:p>
        </w:tc>
        <w:tc>
          <w:tcPr>
            <w:tcW w:w="800" w:type="pct"/>
            <w:shd w:val="clear" w:color="auto" w:fill="FFFFFF"/>
            <w:noWrap w:val="0"/>
            <w:tcMar>
              <w:top w:w="20" w:type="dxa"/>
              <w:bottom w:w="20" w:type="dxa"/>
            </w:tcMar>
            <w:vAlign w:val="center"/>
          </w:tcPr>
          <w:p>
            <w:pPr>
              <w:jc w:val="right"/>
            </w:pPr>
            <w:r>
              <w:t>1 096 795 403,40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41 732 349,00</w:t>
            </w:r>
          </w:p>
        </w:tc>
        <w:tc>
          <w:tcPr>
            <w:tcW w:w="800" w:type="pct"/>
            <w:shd w:val="clear" w:color="auto" w:fill="FFFFFF"/>
            <w:noWrap w:val="0"/>
            <w:tcMar>
              <w:top w:w="20" w:type="dxa"/>
              <w:bottom w:w="20" w:type="dxa"/>
            </w:tcMar>
            <w:vAlign w:val="center"/>
          </w:tcPr>
          <w:p>
            <w:pPr>
              <w:jc w:val="right"/>
            </w:pPr>
            <w:r>
              <w:t>1 055 063 054,40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Земеделска земя, обхваната от договори за управление с цел подкрепа на биологичното разнообразие (ha) (област с поставен акцент 4А) + подобряване на управлението на водите (ha) (област с поставен акцент 4Б) + подобряване на управлението на почвите и/предотвратяването на почвената ерозия (ha) (област с поставен акцент 4В)</w:t>
            </w:r>
          </w:p>
        </w:tc>
        <w:tc>
          <w:tcPr>
            <w:tcW w:w="800" w:type="pct"/>
            <w:shd w:val="clear" w:color="auto" w:fill="FFFFFF"/>
            <w:noWrap w:val="0"/>
            <w:tcMar>
              <w:top w:w="20" w:type="dxa"/>
              <w:bottom w:w="20" w:type="dxa"/>
            </w:tcMar>
            <w:vAlign w:val="center"/>
          </w:tcPr>
          <w:p>
            <w:pPr>
              <w:jc w:val="right"/>
            </w:pPr>
            <w:r>
              <w:t>550 000,00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550 000,00</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 xml:space="preserve">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 </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П5 (в евро)</w:t>
            </w:r>
          </w:p>
        </w:tc>
        <w:tc>
          <w:tcPr>
            <w:tcW w:w="800" w:type="pct"/>
            <w:shd w:val="clear" w:color="auto" w:fill="FFFFFF"/>
            <w:noWrap w:val="0"/>
            <w:tcMar>
              <w:top w:w="20" w:type="dxa"/>
              <w:bottom w:w="20" w:type="dxa"/>
            </w:tcMar>
            <w:vAlign w:val="center"/>
          </w:tcPr>
          <w:p>
            <w:pPr>
              <w:jc w:val="right"/>
            </w:pPr>
            <w:r>
              <w:t>445 740 877,50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48 987 651,00</w:t>
            </w:r>
          </w:p>
        </w:tc>
        <w:tc>
          <w:tcPr>
            <w:tcW w:w="800" w:type="pct"/>
            <w:shd w:val="clear" w:color="auto" w:fill="FFFFFF"/>
            <w:noWrap w:val="0"/>
            <w:tcMar>
              <w:top w:w="20" w:type="dxa"/>
              <w:bottom w:w="20" w:type="dxa"/>
            </w:tcMar>
            <w:vAlign w:val="center"/>
          </w:tcPr>
          <w:p>
            <w:pPr>
              <w:jc w:val="right"/>
            </w:pPr>
            <w:r>
              <w:t>396 753 226,50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Земеделски и горски земи под управление за насърчаване на поглъщането/съхраняването на въглерод (ha) (област с поставен акцент 5Д) + земеделска земя, обхваната от договори за управление с цел намаляване на емисиите на парникови газове и/или на амоняк (ha) (област с поставен акцент 5Г) + поливни площи, преминаващи към по-ефективни напоителни системи (ha) (област с поставен акцент 5А)</w:t>
            </w:r>
          </w:p>
        </w:tc>
        <w:tc>
          <w:tcPr>
            <w:tcW w:w="800" w:type="pct"/>
            <w:shd w:val="clear" w:color="auto" w:fill="FFFFFF"/>
            <w:noWrap w:val="0"/>
            <w:tcMar>
              <w:top w:w="20" w:type="dxa"/>
              <w:bottom w:w="20" w:type="dxa"/>
            </w:tcMar>
            <w:vAlign w:val="center"/>
          </w:tcPr>
          <w:p>
            <w:pPr>
              <w:jc w:val="right"/>
            </w:pPr>
            <w:r>
              <w:t>42 110,00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42 110,00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на инвестиционните операции в енергоспестяването и енергийната ефективност (област с поставен акцент 5Б) + в производство на енергия от възобновяеми източници (област с поставен акцент 5В)</w:t>
            </w:r>
          </w:p>
        </w:tc>
        <w:tc>
          <w:tcPr>
            <w:tcW w:w="800" w:type="pct"/>
            <w:shd w:val="clear" w:color="auto" w:fill="FFFFFF"/>
            <w:noWrap w:val="0"/>
            <w:tcMar>
              <w:top w:w="20" w:type="dxa"/>
              <w:bottom w:w="20" w:type="dxa"/>
            </w:tcMar>
            <w:vAlign w:val="center"/>
          </w:tcPr>
          <w:p>
            <w:pPr>
              <w:jc w:val="right"/>
            </w:pPr>
            <w:r>
              <w:t>510,00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70,00</w:t>
            </w:r>
          </w:p>
        </w:tc>
        <w:tc>
          <w:tcPr>
            <w:tcW w:w="800" w:type="pct"/>
            <w:shd w:val="clear" w:color="auto" w:fill="FFFFFF"/>
            <w:noWrap w:val="0"/>
            <w:tcMar>
              <w:top w:w="20" w:type="dxa"/>
              <w:bottom w:w="20" w:type="dxa"/>
            </w:tcMar>
            <w:vAlign w:val="center"/>
          </w:tcPr>
          <w:p>
            <w:pPr>
              <w:jc w:val="right"/>
            </w:pPr>
            <w:r>
              <w:t>440,00</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 xml:space="preserve">P6: Насърчаване на социалното приобщаване, намаляването на бедността и икономическото развитие в селските райони </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П6 (в евро)</w:t>
            </w:r>
          </w:p>
        </w:tc>
        <w:tc>
          <w:tcPr>
            <w:tcW w:w="800" w:type="pct"/>
            <w:shd w:val="clear" w:color="auto" w:fill="FFFFFF"/>
            <w:noWrap w:val="0"/>
            <w:tcMar>
              <w:top w:w="20" w:type="dxa"/>
              <w:bottom w:w="20" w:type="dxa"/>
            </w:tcMar>
            <w:vAlign w:val="center"/>
          </w:tcPr>
          <w:p>
            <w:pPr>
              <w:jc w:val="right"/>
            </w:pPr>
            <w:r>
              <w:t>984 161 241,20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984 161 241,20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операции, подпомогнати с цел подобряване на основни услуги и инфраструктура в селските райони (области с поставен акцент 6Б и 6В)</w:t>
            </w:r>
          </w:p>
        </w:tc>
        <w:tc>
          <w:tcPr>
            <w:tcW w:w="800" w:type="pct"/>
            <w:shd w:val="clear" w:color="auto" w:fill="FFFFFF"/>
            <w:noWrap w:val="0"/>
            <w:tcMar>
              <w:top w:w="20" w:type="dxa"/>
              <w:bottom w:w="20" w:type="dxa"/>
            </w:tcMar>
            <w:vAlign w:val="center"/>
          </w:tcPr>
          <w:p>
            <w:pPr>
              <w:jc w:val="right"/>
            </w:pPr>
            <w:r>
              <w:t>1 040,00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1 040,00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Население, обхванато от местни групи за действие (област с поставен акцент 6Б)</w:t>
            </w:r>
          </w:p>
        </w:tc>
        <w:tc>
          <w:tcPr>
            <w:tcW w:w="800" w:type="pct"/>
            <w:shd w:val="clear" w:color="auto" w:fill="FFFFFF"/>
            <w:noWrap w:val="0"/>
            <w:tcMar>
              <w:top w:w="20" w:type="dxa"/>
              <w:bottom w:w="20" w:type="dxa"/>
            </w:tcMar>
            <w:vAlign w:val="center"/>
          </w:tcPr>
          <w:p>
            <w:pPr>
              <w:jc w:val="right"/>
            </w:pPr>
            <w:r>
              <w:t>1 370 000,00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1 370 000,00</w:t>
            </w:r>
          </w:p>
        </w:tc>
      </w:tr>
    </w:tbl>
    <w:p>
      <w:pPr>
        <w:rPr>
          <w:b/>
        </w:rPr>
      </w:pPr>
    </w:p>
    <w:p>
      <w:pPr>
        <w:rPr>
          <w:b/>
        </w:rPr>
        <w:sectPr>
          <w:pgSz w:w="15840" w:h="12240" w:orient="landscape"/>
          <w:pgMar w:top="900" w:right="900" w:bottom="900" w:left="900" w:header="720" w:footer="720"/>
          <w:cols w:space="720"/>
        </w:sectPr>
      </w:pPr>
    </w:p>
    <w:p>
      <w:pPr>
        <w:pStyle w:val="Heading3"/>
        <w:jc w:val="left"/>
        <w:rPr>
          <w:b w:val="0"/>
        </w:rPr>
      </w:pPr>
      <w:bookmarkStart w:id="107" w:name="_Toc256000107"/>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bookmarkEnd w:id="107"/>
    </w:p>
    <w:p>
      <w:pPr>
        <w:pStyle w:val="Heading4"/>
        <w:jc w:val="left"/>
        <w:rPr>
          <w:b w:val="0"/>
        </w:rPr>
      </w:pPr>
      <w:r>
        <w:rPr>
          <w:b w:val="0"/>
        </w:rPr>
        <w:t>Брой на земеделски стопанства с подпомагане от ПРСР за инвестиции в преструктуриране и модернизация (област с поставен акцент 2А) + стопанства с бизнес план за развитие/инвестиция за млади земеделски стопани, подпомагани по линия на ПРСР (област с поставен акцент 2Б)</w:t>
      </w:r>
    </w:p>
    <w:p>
      <w:r>
        <w:rPr>
          <w:b w:val="0"/>
        </w:rPr>
        <w:t xml:space="preserve">Applicable: </w:t>
      </w:r>
      <w:r>
        <w:t>Да</w:t>
      </w:r>
    </w:p>
    <w:p>
      <w:r>
        <w:t xml:space="preserve">Цел за 2025 г. (а): </w:t>
      </w:r>
      <w:r>
        <w:t>5 700,00</w:t>
      </w:r>
    </w:p>
    <w:p>
      <w:r>
        <w:t xml:space="preserve">Корекции за допълнителни плащания (б): </w:t>
      </w:r>
    </w:p>
    <w:p>
      <w:r>
        <w:t xml:space="preserve">Корекция EURI (B): </w:t>
      </w:r>
      <w:r>
        <w:t>1 000,00</w:t>
      </w:r>
    </w:p>
    <w:p>
      <w:r>
        <w:t xml:space="preserve">Целева абсолютна стойност (A—Б—В): </w:t>
      </w:r>
      <w:r>
        <w:t>4 700,00</w:t>
      </w:r>
    </w:p>
    <w:p>
      <w:pPr>
        <w:pStyle w:val="Heading4"/>
        <w:jc w:val="left"/>
      </w:pPr>
      <w:r>
        <w:t>Общо публични разходи П2 (в евро)</w:t>
      </w:r>
    </w:p>
    <w:p>
      <w:r>
        <w:t xml:space="preserve">Applicable: </w:t>
      </w:r>
      <w:r>
        <w:t>Да</w:t>
      </w:r>
    </w:p>
    <w:p>
      <w:r>
        <w:t xml:space="preserve">Цел за 2025 г. (а): </w:t>
      </w:r>
      <w:r>
        <w:t>753 543 593,40</w:t>
      </w:r>
    </w:p>
    <w:p>
      <w:r>
        <w:t xml:space="preserve">Корекции за допълнителни плащания (б): </w:t>
      </w:r>
    </w:p>
    <w:p>
      <w:r>
        <w:t xml:space="preserve">Корекция EURI (B): </w:t>
      </w:r>
      <w:r>
        <w:t>32 605 000,00</w:t>
      </w:r>
    </w:p>
    <w:p>
      <w:r>
        <w:t xml:space="preserve">Целева абсолютна стойност (A—Б—В): </w:t>
      </w:r>
      <w:r>
        <w:t>720 938 593,40</w:t>
      </w:r>
    </w:p>
    <w:p>
      <w:pPr>
        <w:pStyle w:val="Heading3"/>
        <w:jc w:val="left"/>
        <w:rPr>
          <w:b w:val="0"/>
        </w:rPr>
      </w:pPr>
      <w:bookmarkStart w:id="108" w:name="_Toc256000108"/>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108"/>
    </w:p>
    <w:p>
      <w:pPr>
        <w:pStyle w:val="Heading4"/>
        <w:jc w:val="left"/>
        <w:rPr>
          <w:b w:val="0"/>
        </w:rPr>
      </w:pPr>
      <w:r>
        <w:rPr>
          <w:b w:val="0"/>
        </w:rPr>
        <w:t>Общо публични разходи П3 (в евро)</w:t>
      </w:r>
    </w:p>
    <w:p>
      <w:r>
        <w:rPr>
          <w:b w:val="0"/>
        </w:rPr>
        <w:t xml:space="preserve">Applicable: </w:t>
      </w:r>
      <w:r>
        <w:t>Да</w:t>
      </w:r>
    </w:p>
    <w:p>
      <w:r>
        <w:t xml:space="preserve">Цел за 2025 г. (а): </w:t>
      </w:r>
      <w:r>
        <w:t>429 248 846,50</w:t>
      </w:r>
    </w:p>
    <w:p>
      <w:r>
        <w:t xml:space="preserve">Корекции за допълнителни плащания (б): </w:t>
      </w:r>
    </w:p>
    <w:p>
      <w:r>
        <w:t xml:space="preserve">Корекция EURI (B): </w:t>
      </w:r>
      <w:r>
        <w:t>78 611 861,00</w:t>
      </w:r>
    </w:p>
    <w:p>
      <w:r>
        <w:t xml:space="preserve">Целева абсолютна стойност (A—Б—В): </w:t>
      </w:r>
      <w:r>
        <w:t>350 636 985,50</w:t>
      </w:r>
    </w:p>
    <w:p>
      <w:pPr>
        <w:pStyle w:val="Heading4"/>
        <w:jc w:val="left"/>
      </w:pPr>
      <w:r>
        <w:t xml:space="preserve">Брой на земеделските стопанства, получаващи подпомагане по схеми за качество, за местни пазари/ къси вериги на доставки и групи на производителите (област с поставен акцент 3A) </w:t>
      </w:r>
    </w:p>
    <w:p>
      <w:r>
        <w:t xml:space="preserve">Applicable: </w:t>
      </w:r>
      <w:r>
        <w:t>Да</w:t>
      </w:r>
    </w:p>
    <w:p>
      <w:r>
        <w:t xml:space="preserve">Цел за 2025 г. (а): </w:t>
      </w:r>
      <w:r>
        <w:t>145,00</w:t>
      </w:r>
    </w:p>
    <w:p>
      <w:r>
        <w:t xml:space="preserve">Корекции за допълнителни плащания (б): </w:t>
      </w:r>
    </w:p>
    <w:p>
      <w:r>
        <w:t xml:space="preserve">Корекция EURI (B): </w:t>
      </w:r>
    </w:p>
    <w:p>
      <w:r>
        <w:t xml:space="preserve">Целева абсолютна стойност (A—Б—В): </w:t>
      </w:r>
      <w:r>
        <w:t>145,00</w:t>
      </w:r>
    </w:p>
    <w:p>
      <w:pPr>
        <w:pStyle w:val="Heading4"/>
        <w:jc w:val="left"/>
      </w:pPr>
      <w:r>
        <w:t>Брой на земеделските стопанства, които участват в схеми за управление на риска (област с поставен акцент 3Б)</w:t>
      </w:r>
    </w:p>
    <w:p>
      <w:r>
        <w:t xml:space="preserve">Applicable: </w:t>
      </w:r>
      <w:r>
        <w:t>Да</w:t>
      </w:r>
    </w:p>
    <w:p>
      <w:r>
        <w:t xml:space="preserve">Цел за 2025 г. (а): </w:t>
      </w:r>
      <w:r>
        <w:t>60,00</w:t>
      </w:r>
    </w:p>
    <w:p>
      <w:r>
        <w:t xml:space="preserve">Корекции за допълнителни плащания (б): </w:t>
      </w:r>
    </w:p>
    <w:p>
      <w:r>
        <w:t xml:space="preserve">Корекция EURI (B): </w:t>
      </w:r>
    </w:p>
    <w:p>
      <w:r>
        <w:t xml:space="preserve">Целева абсолютна стойност (A—Б—В): </w:t>
      </w:r>
      <w:r>
        <w:t>60,00</w:t>
      </w:r>
    </w:p>
    <w:p>
      <w:pPr>
        <w:pStyle w:val="Heading3"/>
        <w:jc w:val="left"/>
        <w:rPr>
          <w:b w:val="0"/>
        </w:rPr>
      </w:pPr>
      <w:bookmarkStart w:id="109" w:name="_Toc256000109"/>
      <w:r>
        <w:rPr>
          <w:b w:val="0"/>
        </w:rPr>
        <w:t>P4: Възстановяване, опазване и укрепване на екосистемите, свързани със селското и горското стопанство</w:t>
      </w:r>
      <w:bookmarkEnd w:id="109"/>
    </w:p>
    <w:p>
      <w:pPr>
        <w:pStyle w:val="Heading4"/>
        <w:jc w:val="left"/>
        <w:rPr>
          <w:b w:val="0"/>
        </w:rPr>
      </w:pPr>
      <w:r>
        <w:rPr>
          <w:b w:val="0"/>
        </w:rPr>
        <w:t>Общо публични разходи П4 (в евро)</w:t>
      </w:r>
    </w:p>
    <w:p>
      <w:r>
        <w:rPr>
          <w:b w:val="0"/>
        </w:rPr>
        <w:t xml:space="preserve">Applicable: </w:t>
      </w:r>
      <w:r>
        <w:t>Да</w:t>
      </w:r>
    </w:p>
    <w:p>
      <w:r>
        <w:t xml:space="preserve">Цел за 2025 г. (а): </w:t>
      </w:r>
      <w:r>
        <w:t>1 096 795 403,40</w:t>
      </w:r>
    </w:p>
    <w:p>
      <w:r>
        <w:t xml:space="preserve">Корекции за допълнителни плащания (б): </w:t>
      </w:r>
    </w:p>
    <w:p>
      <w:r>
        <w:t xml:space="preserve">Корекция EURI (B): </w:t>
      </w:r>
      <w:r>
        <w:t>41 732 349,00</w:t>
      </w:r>
    </w:p>
    <w:p>
      <w:r>
        <w:t xml:space="preserve">Целева абсолютна стойност (A—Б—В): </w:t>
      </w:r>
      <w:r>
        <w:t>1 055 063 054,40</w:t>
      </w:r>
    </w:p>
    <w:p>
      <w:pPr>
        <w:pStyle w:val="Heading4"/>
        <w:jc w:val="left"/>
      </w:pPr>
      <w:r>
        <w:t>Земеделска земя, обхваната от договори за управление с цел подкрепа на биологичното разнообразие (ha) (област с поставен акцент 4А) + подобряване на управлението на водите (ha) (област с поставен акцент 4Б) + подобряване на управлението на почвите и/предотвратяването на почвената ерозия (ha) (област с поставен акцент 4В)</w:t>
      </w:r>
    </w:p>
    <w:p>
      <w:r>
        <w:t xml:space="preserve">Applicable: </w:t>
      </w:r>
      <w:r>
        <w:t>Да</w:t>
      </w:r>
    </w:p>
    <w:p>
      <w:r>
        <w:t xml:space="preserve">Цел за 2025 г. (а): </w:t>
      </w:r>
      <w:r>
        <w:t>550 000,00</w:t>
      </w:r>
    </w:p>
    <w:p>
      <w:r>
        <w:t xml:space="preserve">Корекции за допълнителни плащания (б): </w:t>
      </w:r>
    </w:p>
    <w:p>
      <w:r>
        <w:t xml:space="preserve">Корекция EURI (B): </w:t>
      </w:r>
    </w:p>
    <w:p>
      <w:r>
        <w:t xml:space="preserve">Целева абсолютна стойност (A—Б—В): </w:t>
      </w:r>
      <w:r>
        <w:t>550 000,00</w:t>
      </w:r>
    </w:p>
    <w:p>
      <w:pPr>
        <w:pStyle w:val="Heading3"/>
        <w:jc w:val="left"/>
        <w:rPr>
          <w:b w:val="0"/>
        </w:rPr>
      </w:pPr>
      <w:bookmarkStart w:id="110" w:name="_Toc256000110"/>
      <w:r>
        <w:rPr>
          <w:b w:val="0"/>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bookmarkEnd w:id="110"/>
      <w:r>
        <w:rPr>
          <w:b w:val="0"/>
        </w:rPr>
        <w:t xml:space="preserve"> </w:t>
      </w:r>
    </w:p>
    <w:p>
      <w:pPr>
        <w:pStyle w:val="Heading4"/>
        <w:jc w:val="left"/>
        <w:rPr>
          <w:b w:val="0"/>
        </w:rPr>
      </w:pPr>
      <w:r>
        <w:rPr>
          <w:b w:val="0"/>
        </w:rPr>
        <w:t>Общо публични разходи П5 (в евро)</w:t>
      </w:r>
    </w:p>
    <w:p>
      <w:r>
        <w:rPr>
          <w:b w:val="0"/>
        </w:rPr>
        <w:t xml:space="preserve">Applicable: </w:t>
      </w:r>
      <w:r>
        <w:t>Да</w:t>
      </w:r>
    </w:p>
    <w:p>
      <w:r>
        <w:t xml:space="preserve">Цел за 2025 г. (а): </w:t>
      </w:r>
      <w:r>
        <w:t>445 740 877,50</w:t>
      </w:r>
    </w:p>
    <w:p>
      <w:r>
        <w:t xml:space="preserve">Корекции за допълнителни плащания (б): </w:t>
      </w:r>
    </w:p>
    <w:p>
      <w:r>
        <w:t xml:space="preserve">Корекция EURI (B): </w:t>
      </w:r>
      <w:r>
        <w:t>48 987 651,00</w:t>
      </w:r>
    </w:p>
    <w:p>
      <w:r>
        <w:t xml:space="preserve">Целева абсолютна стойност (A—Б—В): </w:t>
      </w:r>
      <w:r>
        <w:t>396 753 226,50</w:t>
      </w:r>
    </w:p>
    <w:p>
      <w:pPr>
        <w:pStyle w:val="Heading4"/>
        <w:jc w:val="left"/>
      </w:pPr>
      <w:r>
        <w:t>Земеделски и горски земи под управление за насърчаване на поглъщането/съхраняването на въглерод (ha) (област с поставен акцент 5Д) + земеделска земя, обхваната от договори за управление с цел намаляване на емисиите на парникови газове и/или на амоняк (ha) (област с поставен акцент 5Г) + поливни площи, преминаващи към по-ефективни напоителни системи (ha) (област с поставен акцент 5А)</w:t>
      </w:r>
    </w:p>
    <w:p>
      <w:r>
        <w:t xml:space="preserve">Applicable: </w:t>
      </w:r>
      <w:r>
        <w:t>Да</w:t>
      </w:r>
    </w:p>
    <w:p>
      <w:r>
        <w:t xml:space="preserve">Цел за 2025 г. (а): </w:t>
      </w:r>
      <w:r>
        <w:t>42 110,00</w:t>
      </w:r>
    </w:p>
    <w:p>
      <w:r>
        <w:t xml:space="preserve">Корекции за допълнителни плащания (б): </w:t>
      </w:r>
    </w:p>
    <w:p>
      <w:r>
        <w:t xml:space="preserve">Корекция EURI (B): </w:t>
      </w:r>
    </w:p>
    <w:p>
      <w:r>
        <w:t xml:space="preserve">Целева абсолютна стойност (A—Б—В): </w:t>
      </w:r>
      <w:r>
        <w:t>42 110,00</w:t>
      </w:r>
    </w:p>
    <w:p>
      <w:pPr>
        <w:pStyle w:val="Heading4"/>
        <w:jc w:val="left"/>
      </w:pPr>
      <w:r>
        <w:t>Брой на инвестиционните операции в енергоспестяването и енергийната ефективност (област с поставен акцент 5Б) + в производство на енергия от възобновяеми източници (област с поставен акцент 5В)</w:t>
      </w:r>
    </w:p>
    <w:p>
      <w:r>
        <w:t xml:space="preserve">Applicable: </w:t>
      </w:r>
      <w:r>
        <w:t>Да</w:t>
      </w:r>
    </w:p>
    <w:p>
      <w:r>
        <w:t xml:space="preserve">Цел за 2025 г. (а): </w:t>
      </w:r>
      <w:r>
        <w:t>510,00</w:t>
      </w:r>
    </w:p>
    <w:p>
      <w:r>
        <w:t xml:space="preserve">Корекции за допълнителни плащания (б): </w:t>
      </w:r>
    </w:p>
    <w:p>
      <w:r>
        <w:t xml:space="preserve">Корекция EURI (B): </w:t>
      </w:r>
      <w:r>
        <w:t>70,00</w:t>
      </w:r>
    </w:p>
    <w:p>
      <w:r>
        <w:t xml:space="preserve">Целева абсолютна стойност (A—Б—В): </w:t>
      </w:r>
      <w:r>
        <w:t>440,00</w:t>
      </w:r>
    </w:p>
    <w:p>
      <w:pPr>
        <w:pStyle w:val="Heading3"/>
        <w:jc w:val="left"/>
        <w:rPr>
          <w:b w:val="0"/>
        </w:rPr>
      </w:pPr>
      <w:bookmarkStart w:id="111" w:name="_Toc256000111"/>
      <w:r>
        <w:rPr>
          <w:b w:val="0"/>
        </w:rPr>
        <w:t>P6: Насърчаване на социалното приобщаване, намаляването на бедността и икономическото развитие в селските райони</w:t>
      </w:r>
      <w:bookmarkEnd w:id="111"/>
      <w:r>
        <w:rPr>
          <w:b w:val="0"/>
        </w:rPr>
        <w:t xml:space="preserve"> </w:t>
      </w:r>
    </w:p>
    <w:p>
      <w:pPr>
        <w:pStyle w:val="Heading4"/>
        <w:jc w:val="left"/>
        <w:rPr>
          <w:b w:val="0"/>
        </w:rPr>
      </w:pPr>
      <w:r>
        <w:rPr>
          <w:b w:val="0"/>
        </w:rPr>
        <w:t>Общо публични разходи П6 (в евро)</w:t>
      </w:r>
    </w:p>
    <w:p>
      <w:r>
        <w:rPr>
          <w:b w:val="0"/>
        </w:rPr>
        <w:t xml:space="preserve">Applicable: </w:t>
      </w:r>
      <w:r>
        <w:t>Да</w:t>
      </w:r>
    </w:p>
    <w:p>
      <w:r>
        <w:t xml:space="preserve">Цел за 2025 г. (а): </w:t>
      </w:r>
      <w:r>
        <w:t>984 161 241,20</w:t>
      </w:r>
    </w:p>
    <w:p>
      <w:r>
        <w:t xml:space="preserve">Корекции за допълнителни плащания (б): </w:t>
      </w:r>
    </w:p>
    <w:p>
      <w:r>
        <w:t xml:space="preserve">Корекция EURI (B): </w:t>
      </w:r>
    </w:p>
    <w:p>
      <w:r>
        <w:t xml:space="preserve">Целева абсолютна стойност (A—Б—В): </w:t>
      </w:r>
      <w:r>
        <w:t>984 161 241,20</w:t>
      </w:r>
    </w:p>
    <w:p>
      <w:pPr>
        <w:pStyle w:val="Heading4"/>
        <w:jc w:val="left"/>
      </w:pPr>
      <w:r>
        <w:t>Брой операции, подпомогнати с цел подобряване на основни услуги и инфраструктура в селските райони (области с поставен акцент 6Б и 6В)</w:t>
      </w:r>
    </w:p>
    <w:p>
      <w:r>
        <w:t xml:space="preserve">Applicable: </w:t>
      </w:r>
      <w:r>
        <w:t>Да</w:t>
      </w:r>
    </w:p>
    <w:p>
      <w:r>
        <w:t xml:space="preserve">Цел за 2025 г. (а): </w:t>
      </w:r>
      <w:r>
        <w:t>1 040,00</w:t>
      </w:r>
    </w:p>
    <w:p>
      <w:r>
        <w:t xml:space="preserve">Корекции за допълнителни плащания (б): </w:t>
      </w:r>
    </w:p>
    <w:p>
      <w:r>
        <w:t xml:space="preserve">Корекция EURI (B): </w:t>
      </w:r>
    </w:p>
    <w:p>
      <w:r>
        <w:t xml:space="preserve">Целева абсолютна стойност (A—Б—В): </w:t>
      </w:r>
      <w:r>
        <w:t>1 040,00</w:t>
      </w:r>
    </w:p>
    <w:p>
      <w:pPr>
        <w:pStyle w:val="Heading4"/>
        <w:jc w:val="left"/>
      </w:pPr>
      <w:r>
        <w:t>Население, обхванато от местни групи за действие (област с поставен акцент 6Б)</w:t>
      </w:r>
    </w:p>
    <w:p>
      <w:r>
        <w:t xml:space="preserve">Applicable: </w:t>
      </w:r>
      <w:r>
        <w:t>Да</w:t>
      </w:r>
    </w:p>
    <w:p>
      <w:r>
        <w:t xml:space="preserve">Цел за 2025 г. (а): </w:t>
      </w:r>
      <w:r>
        <w:t>1 370 000,00</w:t>
      </w:r>
    </w:p>
    <w:p>
      <w:r>
        <w:t xml:space="preserve">Корекции за допълнителни плащания (б): </w:t>
      </w:r>
    </w:p>
    <w:p>
      <w:r>
        <w:t xml:space="preserve">Корекция EURI (B): </w:t>
      </w:r>
    </w:p>
    <w:p>
      <w:r>
        <w:t xml:space="preserve">Целева абсолютна стойност (A—Б—В): </w:t>
      </w:r>
      <w:r>
        <w:t>1 370 000,00</w:t>
      </w:r>
    </w:p>
    <w:p>
      <w:pPr>
        <w:sectPr>
          <w:type w:val="nextPage"/>
          <w:pgSz w:w="12240" w:h="15840" w:orient="portrait"/>
          <w:pgMar w:top="900" w:right="900" w:bottom="900" w:left="900" w:header="720" w:footer="720"/>
          <w:cols w:space="720"/>
        </w:sectPr>
      </w:pPr>
    </w:p>
    <w:p>
      <w:pPr>
        <w:pStyle w:val="Heading2"/>
      </w:pPr>
      <w:bookmarkStart w:id="112" w:name="_Toc256000112"/>
      <w:r>
        <w:t>Алтернативни показатели</w:t>
      </w:r>
      <w:bookmarkEnd w:id="1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037"/>
        <w:gridCol w:w="2037"/>
        <w:gridCol w:w="2037"/>
        <w:gridCol w:w="2037"/>
        <w:gridCol w:w="2037"/>
        <w:gridCol w:w="2037"/>
        <w:gridCol w:w="203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800" w:type="pct"/>
            <w:shd w:val="clear" w:color="auto" w:fill="C0C0C0"/>
            <w:noWrap w:val="0"/>
            <w:tcMar>
              <w:top w:w="20" w:type="dxa"/>
              <w:bottom w:w="20" w:type="dxa"/>
            </w:tcMar>
            <w:vAlign w:val="center"/>
          </w:tcPr>
          <w:p>
            <w:pPr>
              <w:rPr>
                <w:b/>
              </w:rPr>
            </w:pPr>
            <w:r>
              <w:rPr>
                <w:b/>
              </w:rPr>
              <w:t>Приоритет</w:t>
            </w:r>
          </w:p>
        </w:tc>
        <w:tc>
          <w:tcPr>
            <w:tcW w:w="800" w:type="pct"/>
            <w:shd w:val="clear" w:color="auto" w:fill="C0C0C0"/>
            <w:noWrap w:val="0"/>
            <w:tcMar>
              <w:top w:w="20" w:type="dxa"/>
              <w:bottom w:w="20" w:type="dxa"/>
            </w:tcMar>
            <w:vAlign w:val="center"/>
          </w:tcPr>
          <w:p>
            <w:pPr>
              <w:rPr>
                <w:b/>
              </w:rPr>
            </w:pPr>
            <w:r>
              <w:rPr>
                <w:b/>
              </w:rPr>
              <w:t>Applicable</w:t>
            </w:r>
          </w:p>
        </w:tc>
        <w:tc>
          <w:tcPr>
            <w:tcW w:w="800" w:type="pct"/>
            <w:shd w:val="clear" w:color="auto" w:fill="C0C0C0"/>
            <w:noWrap w:val="0"/>
            <w:tcMar>
              <w:top w:w="20" w:type="dxa"/>
              <w:bottom w:w="20" w:type="dxa"/>
            </w:tcMar>
            <w:vAlign w:val="center"/>
          </w:tcPr>
          <w:p>
            <w:pPr>
              <w:jc w:val="left"/>
              <w:rPr>
                <w:b/>
              </w:rPr>
            </w:pPr>
            <w:r>
              <w:rPr>
                <w:b/>
              </w:rPr>
              <w:t>Показател и мерна единица, когато е целесъобразно</w:t>
            </w:r>
          </w:p>
        </w:tc>
        <w:tc>
          <w:tcPr>
            <w:tcW w:w="800" w:type="pct"/>
            <w:shd w:val="clear" w:color="auto" w:fill="C0C0C0"/>
            <w:noWrap w:val="0"/>
            <w:tcMar>
              <w:top w:w="20" w:type="dxa"/>
              <w:bottom w:w="20" w:type="dxa"/>
            </w:tcMar>
            <w:vAlign w:val="center"/>
          </w:tcPr>
          <w:p>
            <w:pPr>
              <w:jc w:val="left"/>
              <w:rPr>
                <w:b/>
              </w:rPr>
            </w:pPr>
            <w:r>
              <w:rPr>
                <w:b/>
              </w:rPr>
              <w:t>Цел за 2025 г. (а)</w:t>
            </w:r>
          </w:p>
        </w:tc>
        <w:tc>
          <w:tcPr>
            <w:tcW w:w="800" w:type="pct"/>
            <w:shd w:val="clear" w:color="auto" w:fill="C0C0C0"/>
            <w:noWrap w:val="0"/>
            <w:tcMar>
              <w:top w:w="20" w:type="dxa"/>
              <w:bottom w:w="20" w:type="dxa"/>
            </w:tcMar>
            <w:vAlign w:val="center"/>
          </w:tcPr>
          <w:p>
            <w:pPr>
              <w:jc w:val="left"/>
              <w:rPr>
                <w:b/>
              </w:rPr>
            </w:pPr>
            <w:r>
              <w:rPr>
                <w:b/>
              </w:rPr>
              <w:t>Корекции за допълнителни плащания (б)</w:t>
            </w:r>
          </w:p>
        </w:tc>
        <w:tc>
          <w:tcPr>
            <w:tcW w:w="800" w:type="pct"/>
            <w:shd w:val="clear" w:color="auto" w:fill="C0C0C0"/>
            <w:noWrap w:val="0"/>
            <w:tcMar>
              <w:top w:w="20" w:type="dxa"/>
              <w:bottom w:w="20" w:type="dxa"/>
            </w:tcMar>
            <w:vAlign w:val="center"/>
          </w:tcPr>
          <w:p>
            <w:pPr>
              <w:jc w:val="left"/>
              <w:rPr>
                <w:b/>
              </w:rPr>
            </w:pPr>
            <w:r>
              <w:rPr>
                <w:b/>
              </w:rPr>
              <w:t>Корекция EURI (B)</w:t>
            </w:r>
          </w:p>
        </w:tc>
        <w:tc>
          <w:tcPr>
            <w:tcW w:w="800" w:type="pct"/>
            <w:shd w:val="clear" w:color="auto" w:fill="C0C0C0"/>
            <w:noWrap w:val="0"/>
            <w:tcMar>
              <w:top w:w="20" w:type="dxa"/>
              <w:bottom w:w="20" w:type="dxa"/>
            </w:tcMar>
            <w:vAlign w:val="center"/>
          </w:tcPr>
          <w:p>
            <w:pPr>
              <w:jc w:val="left"/>
              <w:rPr>
                <w:b w:val="0"/>
              </w:rPr>
            </w:pPr>
            <w:r>
              <w:rPr>
                <w:b/>
              </w:rPr>
              <w:t>Целева абсолютна стойност (A—Б—В)</w:t>
            </w:r>
          </w:p>
        </w:tc>
      </w:tr>
      <w:tr>
        <w:tblPrEx>
          <w:tblW w:w="5000" w:type="pct"/>
          <w:tblCellMar>
            <w:left w:w="108" w:type="dxa"/>
            <w:right w:w="108" w:type="dxa"/>
          </w:tblCellMar>
        </w:tblPrEx>
        <w:tc>
          <w:tcPr>
            <w:tcW w:w="1000" w:type="pct"/>
            <w:shd w:val="clear" w:color="auto" w:fill="FFFFFF"/>
            <w:noWrap w:val="0"/>
            <w:tcMar>
              <w:top w:w="20" w:type="dxa"/>
              <w:bottom w:w="20" w:type="dxa"/>
            </w:tcMar>
            <w:vAlign w:val="center"/>
          </w:tcPr>
          <w:p>
            <w:pPr>
              <w:jc w:val="left"/>
            </w:pPr>
            <w: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операции  подпомогнати по M4 "Инвестиции във физически активи" за преработка и маркетинг на земеделска продукция</w:t>
            </w:r>
          </w:p>
        </w:tc>
        <w:tc>
          <w:tcPr>
            <w:tcW w:w="800" w:type="pct"/>
            <w:shd w:val="clear" w:color="auto" w:fill="FFFFFF"/>
            <w:noWrap w:val="0"/>
            <w:tcMar>
              <w:top w:w="20" w:type="dxa"/>
              <w:bottom w:w="20" w:type="dxa"/>
            </w:tcMar>
            <w:vAlign w:val="center"/>
          </w:tcPr>
          <w:p>
            <w:pPr>
              <w:jc w:val="right"/>
            </w:pPr>
            <w:r>
              <w:t>330,00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330,00</w:t>
            </w:r>
          </w:p>
        </w:tc>
      </w:tr>
    </w:tbl>
    <w:p>
      <w:pPr>
        <w:rPr>
          <w:b/>
        </w:rPr>
      </w:pPr>
    </w:p>
    <w:p>
      <w:pPr>
        <w:pStyle w:val="Heading3"/>
        <w:jc w:val="left"/>
        <w:rPr>
          <w:b w:val="0"/>
        </w:rPr>
      </w:pPr>
      <w:bookmarkStart w:id="113" w:name="_Toc256000113"/>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113"/>
    </w:p>
    <w:p>
      <w:pPr>
        <w:pStyle w:val="Heading4"/>
        <w:jc w:val="left"/>
        <w:rPr>
          <w:b w:val="0"/>
        </w:rPr>
      </w:pPr>
      <w:r>
        <w:rPr>
          <w:b w:val="0"/>
        </w:rPr>
        <w:t>Брой операции  подпомогнати по M4 "Инвестиции във физически активи" за преработка и маркетинг на земеделска продукция</w:t>
      </w:r>
    </w:p>
    <w:p>
      <w:r>
        <w:rPr>
          <w:b w:val="0"/>
        </w:rPr>
        <w:t xml:space="preserve">Applicable: </w:t>
      </w:r>
      <w:r>
        <w:t>Да</w:t>
      </w:r>
    </w:p>
    <w:p>
      <w:r>
        <w:t xml:space="preserve">Цел за 2025 г. (а): </w:t>
      </w:r>
      <w:r>
        <w:t>330,00</w:t>
      </w:r>
    </w:p>
    <w:p>
      <w:r>
        <w:t xml:space="preserve">Корекции за допълнителни плащания (б): </w:t>
      </w:r>
    </w:p>
    <w:p>
      <w:r>
        <w:t xml:space="preserve">Корекция EURI (B): </w:t>
      </w:r>
    </w:p>
    <w:p>
      <w:r>
        <w:t xml:space="preserve">Целева абсолютна стойност (A—Б—В): </w:t>
      </w:r>
      <w:r>
        <w:t>330,00</w:t>
      </w:r>
    </w:p>
    <w:p>
      <w:pPr>
        <w:pStyle w:val="Heading2"/>
      </w:pPr>
      <w:r>
        <w:br w:type="page"/>
      </w:r>
      <w:bookmarkStart w:id="114" w:name="_Toc256000114"/>
      <w:r>
        <w:t>Резерв</w:t>
      </w:r>
      <w:bookmarkEnd w:id="11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7128"/>
        <w:gridCol w:w="7128"/>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950" w:type="pct"/>
            <w:shd w:val="clear" w:color="auto" w:fill="C0C0C0"/>
            <w:noWrap w:val="0"/>
            <w:tcMar>
              <w:top w:w="20" w:type="dxa"/>
              <w:bottom w:w="20" w:type="dxa"/>
            </w:tcMar>
            <w:vAlign w:val="center"/>
          </w:tcPr>
          <w:p>
            <w:pPr>
              <w:rPr>
                <w:b/>
              </w:rPr>
            </w:pPr>
            <w:r>
              <w:rPr>
                <w:b/>
              </w:rPr>
              <w:t>Приоритет</w:t>
            </w:r>
          </w:p>
        </w:tc>
        <w:tc>
          <w:tcPr>
            <w:tcW w:w="850" w:type="pct"/>
            <w:shd w:val="clear" w:color="auto" w:fill="C0C0C0"/>
            <w:noWrap w:val="0"/>
            <w:tcMar>
              <w:top w:w="20" w:type="dxa"/>
              <w:bottom w:w="20" w:type="dxa"/>
            </w:tcMar>
            <w:vAlign w:val="center"/>
          </w:tcPr>
          <w:p>
            <w:pPr>
              <w:rPr>
                <w:b w:val="0"/>
              </w:rPr>
            </w:pPr>
            <w:r>
              <w:rPr>
                <w:b/>
              </w:rPr>
              <w:t>Резерв за изпълнение (в евро)</w:t>
            </w:r>
          </w:p>
        </w:tc>
      </w:tr>
      <w:tr>
        <w:tblPrEx>
          <w:tblW w:w="5000" w:type="pct"/>
          <w:tblCellMar>
            <w:left w:w="108" w:type="dxa"/>
            <w:right w:w="108" w:type="dxa"/>
          </w:tblCellMar>
        </w:tblPrEx>
        <w:tc>
          <w:tcPr>
            <w:tcW w:w="850" w:type="pct"/>
            <w:shd w:val="clear" w:color="auto" w:fill="FFFFFF"/>
            <w:noWrap w:val="0"/>
            <w:tcMar>
              <w:top w:w="20" w:type="dxa"/>
              <w:bottom w:w="20" w:type="dxa"/>
            </w:tcMar>
            <w:vAlign w:val="center"/>
          </w:tcPr>
          <w:p>
            <w:pPr>
              <w:jc w:val="left"/>
              <w:rPr>
                <w:b w:val="0"/>
              </w:rPr>
            </w:pPr>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p>
        </w:tc>
        <w:tc>
          <w:tcPr>
            <w:tcW w:w="850" w:type="pct"/>
            <w:shd w:val="clear" w:color="auto" w:fill="FFFFFF"/>
            <w:noWrap w:val="0"/>
            <w:tcMar>
              <w:top w:w="20" w:type="dxa"/>
              <w:bottom w:w="20" w:type="dxa"/>
            </w:tcMar>
            <w:vAlign w:val="center"/>
          </w:tcPr>
          <w:p>
            <w:pPr>
              <w:jc w:val="right"/>
              <w:rPr>
                <w:b w:val="0"/>
              </w:rPr>
            </w:pPr>
            <w:r>
              <w:rPr>
                <w:b w:val="0"/>
              </w:rPr>
              <w:t>65 298 771,41</w:t>
            </w:r>
          </w:p>
        </w:tc>
      </w:tr>
      <w:tr>
        <w:tblPrEx>
          <w:tblW w:w="5000" w:type="pct"/>
          <w:tblCellMar>
            <w:left w:w="108" w:type="dxa"/>
            <w:right w:w="108" w:type="dxa"/>
          </w:tblCellMar>
        </w:tblPrEx>
        <w:tc>
          <w:tcPr>
            <w:tcW w:w="850" w:type="pct"/>
            <w:shd w:val="clear" w:color="auto" w:fill="FFFFFF"/>
            <w:noWrap w:val="0"/>
            <w:tcMar>
              <w:top w:w="20" w:type="dxa"/>
              <w:bottom w:w="20" w:type="dxa"/>
            </w:tcMar>
            <w:vAlign w:val="center"/>
          </w:tcPr>
          <w:p>
            <w:pPr>
              <w:jc w:val="left"/>
              <w:rPr>
                <w:b w:val="0"/>
              </w:rPr>
            </w:pPr>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p>
        </w:tc>
        <w:tc>
          <w:tcPr>
            <w:tcW w:w="850" w:type="pct"/>
            <w:shd w:val="clear" w:color="auto" w:fill="FFFFFF"/>
            <w:noWrap w:val="0"/>
            <w:tcMar>
              <w:top w:w="20" w:type="dxa"/>
              <w:bottom w:w="20" w:type="dxa"/>
            </w:tcMar>
            <w:vAlign w:val="center"/>
          </w:tcPr>
          <w:p>
            <w:pPr>
              <w:jc w:val="right"/>
              <w:rPr>
                <w:b w:val="0"/>
              </w:rPr>
            </w:pPr>
          </w:p>
        </w:tc>
      </w:tr>
      <w:tr>
        <w:tblPrEx>
          <w:tblW w:w="5000" w:type="pct"/>
          <w:tblCellMar>
            <w:left w:w="108" w:type="dxa"/>
            <w:right w:w="108" w:type="dxa"/>
          </w:tblCellMar>
        </w:tblPrEx>
        <w:tc>
          <w:tcPr>
            <w:tcW w:w="850" w:type="pct"/>
            <w:shd w:val="clear" w:color="auto" w:fill="FFFFFF"/>
            <w:noWrap w:val="0"/>
            <w:tcMar>
              <w:top w:w="20" w:type="dxa"/>
              <w:bottom w:w="20" w:type="dxa"/>
            </w:tcMar>
            <w:vAlign w:val="center"/>
          </w:tcPr>
          <w:p>
            <w:pPr>
              <w:jc w:val="left"/>
              <w:rPr>
                <w:b w:val="0"/>
              </w:rPr>
            </w:pPr>
            <w:r>
              <w:rPr>
                <w:b w:val="0"/>
              </w:rPr>
              <w:t>P4: Възстановяване, опазване и укрепване на екосистемите, свързани със селското и горското стопанство</w:t>
            </w:r>
          </w:p>
        </w:tc>
        <w:tc>
          <w:tcPr>
            <w:tcW w:w="850" w:type="pct"/>
            <w:shd w:val="clear" w:color="auto" w:fill="FFFFFF"/>
            <w:noWrap w:val="0"/>
            <w:tcMar>
              <w:top w:w="20" w:type="dxa"/>
              <w:bottom w:w="20" w:type="dxa"/>
            </w:tcMar>
            <w:vAlign w:val="center"/>
          </w:tcPr>
          <w:p>
            <w:pPr>
              <w:jc w:val="right"/>
              <w:rPr>
                <w:b w:val="0"/>
              </w:rPr>
            </w:pPr>
            <w:r>
              <w:rPr>
                <w:b w:val="0"/>
              </w:rPr>
              <w:t>75 028 266,55</w:t>
            </w:r>
          </w:p>
        </w:tc>
      </w:tr>
      <w:tr>
        <w:tblPrEx>
          <w:tblW w:w="5000" w:type="pct"/>
          <w:tblCellMar>
            <w:left w:w="108" w:type="dxa"/>
            <w:right w:w="108" w:type="dxa"/>
          </w:tblCellMar>
        </w:tblPrEx>
        <w:tc>
          <w:tcPr>
            <w:tcW w:w="850" w:type="pct"/>
            <w:shd w:val="clear" w:color="auto" w:fill="FFFFFF"/>
            <w:noWrap w:val="0"/>
            <w:tcMar>
              <w:top w:w="20" w:type="dxa"/>
              <w:bottom w:w="20" w:type="dxa"/>
            </w:tcMar>
            <w:vAlign w:val="center"/>
          </w:tcPr>
          <w:p>
            <w:pPr>
              <w:jc w:val="left"/>
              <w:rPr>
                <w:b w:val="0"/>
              </w:rPr>
            </w:pPr>
            <w:r>
              <w:rPr>
                <w:b w:val="0"/>
              </w:rPr>
              <w:t xml:space="preserve">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 </w:t>
            </w:r>
          </w:p>
        </w:tc>
        <w:tc>
          <w:tcPr>
            <w:tcW w:w="850" w:type="pct"/>
            <w:shd w:val="clear" w:color="auto" w:fill="FFFFFF"/>
            <w:noWrap w:val="0"/>
            <w:tcMar>
              <w:top w:w="20" w:type="dxa"/>
              <w:bottom w:w="20" w:type="dxa"/>
            </w:tcMar>
            <w:vAlign w:val="center"/>
          </w:tcPr>
          <w:p>
            <w:pPr>
              <w:jc w:val="right"/>
              <w:rPr>
                <w:b w:val="0"/>
              </w:rPr>
            </w:pPr>
          </w:p>
        </w:tc>
      </w:tr>
      <w:tr>
        <w:tblPrEx>
          <w:tblW w:w="5000" w:type="pct"/>
          <w:tblCellMar>
            <w:left w:w="108" w:type="dxa"/>
            <w:right w:w="108" w:type="dxa"/>
          </w:tblCellMar>
        </w:tblPrEx>
        <w:tc>
          <w:tcPr>
            <w:tcW w:w="850" w:type="pct"/>
            <w:shd w:val="clear" w:color="auto" w:fill="FFFFFF"/>
            <w:noWrap w:val="0"/>
            <w:tcMar>
              <w:top w:w="20" w:type="dxa"/>
              <w:bottom w:w="20" w:type="dxa"/>
            </w:tcMar>
            <w:vAlign w:val="center"/>
          </w:tcPr>
          <w:p>
            <w:pPr>
              <w:jc w:val="left"/>
              <w:rPr>
                <w:b w:val="0"/>
              </w:rPr>
            </w:pPr>
            <w:r>
              <w:rPr>
                <w:b w:val="0"/>
              </w:rPr>
              <w:t xml:space="preserve">P6: Насърчаване на социалното приобщаване, намаляването на бедността и икономическото развитие в селските райони </w:t>
            </w:r>
          </w:p>
        </w:tc>
        <w:tc>
          <w:tcPr>
            <w:tcW w:w="850" w:type="pct"/>
            <w:shd w:val="clear" w:color="auto" w:fill="FFFFFF"/>
            <w:noWrap w:val="0"/>
            <w:tcMar>
              <w:top w:w="20" w:type="dxa"/>
              <w:bottom w:w="20" w:type="dxa"/>
            </w:tcMar>
            <w:vAlign w:val="center"/>
          </w:tcPr>
          <w:p>
            <w:pPr>
              <w:jc w:val="right"/>
              <w:rPr>
                <w:b w:val="0"/>
              </w:rPr>
            </w:pPr>
          </w:p>
        </w:tc>
      </w:tr>
      <w:tr>
        <w:tblPrEx>
          <w:tblW w:w="5000" w:type="pct"/>
          <w:tblCellMar>
            <w:left w:w="108" w:type="dxa"/>
            <w:right w:w="108" w:type="dxa"/>
          </w:tblCellMar>
        </w:tblPrEx>
        <w:tc>
          <w:tcPr>
            <w:tcW w:w="850" w:type="pct"/>
            <w:shd w:val="clear" w:color="auto" w:fill="C0C0C0"/>
            <w:noWrap w:val="0"/>
            <w:tcMar>
              <w:top w:w="20" w:type="dxa"/>
              <w:bottom w:w="20" w:type="dxa"/>
            </w:tcMar>
            <w:vAlign w:val="center"/>
          </w:tcPr>
          <w:p>
            <w:pPr>
              <w:jc w:val="center"/>
              <w:rPr>
                <w:b/>
              </w:rPr>
            </w:pPr>
            <w:r>
              <w:rPr>
                <w:b/>
              </w:rPr>
              <w:t>Общо</w:t>
            </w:r>
          </w:p>
        </w:tc>
        <w:tc>
          <w:tcPr>
            <w:tcW w:w="850" w:type="pct"/>
            <w:shd w:val="clear" w:color="auto" w:fill="C0C0C0"/>
            <w:noWrap w:val="0"/>
            <w:tcMar>
              <w:top w:w="20" w:type="dxa"/>
              <w:bottom w:w="20" w:type="dxa"/>
            </w:tcMar>
            <w:vAlign w:val="center"/>
          </w:tcPr>
          <w:p>
            <w:pPr>
              <w:jc w:val="right"/>
              <w:rPr>
                <w:b/>
              </w:rPr>
            </w:pPr>
            <w:r>
              <w:rPr>
                <w:b/>
              </w:rPr>
              <w:t>140 327 037,96</w:t>
            </w:r>
          </w:p>
        </w:tc>
      </w:tr>
    </w:tbl>
    <w:p>
      <w:pPr>
        <w:rPr>
          <w:b/>
        </w:rPr>
        <w:sectPr>
          <w:type w:val="nextPage"/>
          <w:pgSz w:w="15840" w:h="12240" w:orient="landscape"/>
          <w:pgMar w:top="900" w:right="900" w:bottom="900" w:left="900" w:header="720" w:footer="720"/>
          <w:cols w:space="720"/>
        </w:sectPr>
      </w:pPr>
    </w:p>
    <w:p>
      <w:pPr>
        <w:pStyle w:val="Heading1"/>
      </w:pPr>
      <w:bookmarkStart w:id="115" w:name="_Toc256000115"/>
      <w:r>
        <w:t>Описание на избраните мерки</w:t>
      </w:r>
      <w:bookmarkEnd w:id="115"/>
    </w:p>
    <w:p>
      <w:pPr>
        <w:pStyle w:val="Heading2"/>
      </w:pPr>
      <w:bookmarkStart w:id="116" w:name="_Toc256000116"/>
      <w:r>
        <w:t>Описание на общите условия, прилагани за повече от една мярка, включително и, когато е приложимо, определение на селски район, основни параметри, кръстосано съответствие, предназначение на финансовите инструменти, предназначение на авансите и общи разпоредби за инвестиции, включително разпоредбите на членове 45 и 46 от Регламент (ЕС) № 1305/2013</w:t>
      </w:r>
      <w:bookmarkEnd w:id="11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ще се прилагат съгласно принципите и процедурите на Регламент (ЕС)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(Регламент (ЕС) № 1305/2013). Допустимите разходи са съобразени с чл. 60 и чл. 61 от Регламент (ЕС) № 1305/2013, както и с чл. 69 от Регламента (ЕС) № 1303/2013.. Авансови плащания са допустими, когато се подчиняват на условията на чл. 63 от Регламент (ЕС) № 1305/2013. Авансови плащания са допустими и за Местните инициативни групи при условията на чл. 42, параграф 2.</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Спазване на правилата за държавна помощ</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Условия за държавни помощи се прилагат съгласно чл. 81 от Регламент (ЕС)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Когато се предоставя подпомагане за форми на сътрудничество между предприятията, са приложими правилата по силата на членове 206 – 210 от Регламент (ЕС) №1308/2013  на Европейския парламент и на Съвета от 17 декември 2013 година за установяване на обща организация на пазарите на селскостопански продукти и за отмяна на регламенти (ЕИО) № 922/72, (ЕИО) № 234/79, (ЕО) № 1037/2001 и (ЕО) № 1234/2007 (OB L 347, 20.12.2013 г., стр. 487) (Регламент (ЕС) №1308/2013).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Изисквания свързани с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да отговарят на условия за допустимост, инвестиционните операции трябва да се предхождат от оценка на очакваното въздействие върху околната среда, когато инвестицията е вероятно да има отрицателни последици за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дейности, които включват инвестиционна подкрепа, задължително ще се изисква положително решение за оценка за въздействието върху околната среда (ОВОС), освен в случаите, когато такава не се изисква от Закона за опазване на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попадащи в територии от Натура 2000, преди одобрението им ще бъдат проверявани за съответствие с разпоредбите на Закона за биологичното разнообразие и съответните подзаконови нормативни актове за неговото прилагане.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инвестиционните проекти оценката на въздействието върху околната среда (ОВОС) или решение по оценка на въздействие върху околната среда съгласно Закона за опазване на околната среда ще се извършва от съответните структури на Министерство на околната среда и водите (МОСВ).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съответните структури на МОСВ ще извършват и оценка за съвместимостта на проекта с предмета и целите на опазване на защитените зони съгласно Наредба за условията и реда за извършване на оценка за съвместимостта на планове, програми, проекти и инвестиционни предложения с предмета и целите на опазване на защитените зони.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екологичните мерки - 10,11,12, както и бенефициентите по мярка 13, свързани с плащанията на площ са задължени да спазват изискванията за кръстосано съответствие съгласно чл. 93 от Регламент 1306/2013 относно финансирането, управлението и мониторинга на общата селскостопанска политика и за отмяна на регламенти (ЕИО) № 352/78, (ЕО) № 165/94, (ЕО) № 2799/98, (ЕО) № 814/2000, (ЕО) № 1290/2005 и (ЕО) № 485/2008 на Съвета. В случай, че  изискванията на кръстосаното съответствие не съответстват или противоречат  на изискванията на законодателството, свързано с опазване на биоразнообразието или околната среда (например Заповедите за обявяване на местообитанията по Натура 2000, Плановете за управление на защитени територии и зони и др.), бенефициентите спазват изискванията, свързани с опазване на биоразнообразието и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 11 „Биологично земеделие“ и мярка 13 „Плащания за райони с природни или други специфични ограничения“ са длъжни да отговарят на изискването за активен земеделски стопанин съгласно чл. 9 от Регламент 1307/2013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разходи по отношение на инвестиционните операции трябва да отговарят на изискванията на чл. 45, а по отношение на напояването – чл. 46 от Регламент (ЕС) №1305/2013. Инвестиции за напояване и отводняване ще се подпомагат в рамките на мярка 4. Договори по подмярка 4.1 за проекти с инвестиции свързани с напояване няма да бъдат сключвани със земеделските стопани преди пълното синхронизиране с изискванията на Рамковата директива за водите на Плана за управление на речните басейни за съответния район, в който се намира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ПРСР България приема следното определение за „гора“, както следва: „гора“означава земна площ, простираща се на повече от 0.1 ха, заета с горскодървесна растителност с височина по-голяма от 5 м, широчина на насаждението, измерена между стъблата на крайните дървета, не по-малко от 10 м и склопеност повече от 10%, или дървета, способни да достигнат тези прагове на място или площи, които в резултат на антропогенна дейност или естествени причини са временно обезлесени, но подлежат на възобновяване. От това определение се изключват земи, които са главно за земеделска употреба или урбанизирани територии.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новият планов период се изисква, да се представи "информация от практическо значение от плана за управление на горите" или еквивалентен документ за тези стопанства, които надхвърлят границата от 0,5 ха. За България определянето на такъв праг е ненужен, защото Закона за горите задължава собствениците на гори от 2 до 50 ха да изработват горскостопански програми. Горите, собственост на физически лица, юридически лица и техни обединения, с обща площ до 2 ха се включват в изготвянето на горскостопанските планове на териториалните поделения на държавните предприятия. По такъв начин отпада и изискването за определяне на „еквивалентен инструмент“, защото практически всички гори в България имат планове за управление, които Закона за горите, според размера на площта, определя като „горскостопански планове“ - за горските територии над 50 ха, „горскостопански програми“ за горските територии от 2 до 50 ха, а изработването на горскостопанските планове за горските територии до 2 ха, се възлага едновременно с инвентаризацията на държавните горски територии.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Правила за допустимост на проекти за инвестиционна подкрепа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инвестиционни разходи са насочени към изграждане, придобиване или подобрение на недвижима собственост, закупуване на нови машини и оборудване, включително компютърен софтуер, финансиране на лизинг за закупуване на нови машини и оборудване до пазарната стойност на актива, при условие, че ползвателят на финансова помощ е собственик на актива, към датата на подаване на финалното искане за плащане във връзка с актива. Допустими за подпомагане са и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както и разходи за организация и управление на проекти. Общите разходи по проекта не могат да надхвърлят 12 % от общия размер на допустимите инвестиционни разходи по проекта. Общите разходи може да са възникнали не по – рано от 01.01.2014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закупуване на земя са допустими по мярка 4 и 6 от Програмата, ако е необходима за изпълнението на проекта /за изграждане на недвижима собственост за производствени нужди и за създаване и презасаждане на трайни насаждения/. Допустимите разходи за закупуване на земя не могат да надхвърлят 10% от всички допустими инвестиционни разходи по проекта. Разходите за закупуване на сгради са допустими  за подпомагане по мярка 4 и 6, в случай, че  мястото на инвестицията е в селски район и сградата ще се използва за производствени цели. Допустимите разходи за закупуването на сгради и земя не могат да надхвърлят 10% от всички допустими инвестиционни разходи по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мерките, попадащи в обхвата на член 42 от ДФЕС, с изключение на общите разходи, допустими ще са само разходи, направени след подаването на заявлението за подпомагане от страна на бенефициента.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Инсталациите за производство на енергия от ВЕИ трябва да са в съответствие с условията за устойчивост в Закона за енергията от възобновяеми източници.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проектни предложения по инвестиционните мерки от Програмата, за които е приложимо, е допустимо провеждане на процедура за избор на изпълнител в съответствие с приложимото национално законодателство (ПМС №160) след подаване на проектното предложение и преди сключване на административeн договор.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Крайният срок за изпълнение на проекти по инвестиционните мерки е не по-късно от 1 октомври 2025 г., освен ако не е предвидено друго в насоките за кандидатстване по конкретната процедура или в европейското законодателство</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Авансови плащания при проекти включващи инвестиционна подкрепа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Ползвателите на финансова помощ за инвестиционна подкрепа могат да поискат от Разплащателната агенция авансово плащане в размер до 50% от публичната подкрепа. Авансовото плащане за дейности, подпомагани по мярка 4.3, мярка 7 и подобни дейности, подпомагани в рамките на подхода ЛИДЕР е в размер на 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 Разликата до 50% от стойността на одобрената публична помощ по проекта се изплаща след провеждане на всички процедури и сключване на договор за избор на изпълнител/и по ЗОП. Авансово плащане към ползватели на финансова помощ се извършва след учредяване на банкова гаранция или друга равностойна гаранция, в размер на 100% от размера на исканото авансово плащане. Гаранцията се освобождава когато Разплащателната агенция установи, че сумата на действителните разходи, съответстващи на публичната подкрепа за инвестицията, надхвърля сумата на полученото авансовото плащане.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Авансови плащания се допускат за следните мерки от Програмата: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4 „Инвестиции във физически активи“;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 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Подмярка 6.4 . Инвестиционна  подкрепа за неземеделски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7 „Основни услуги и обновяване на селата в селските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8 „Инвестиции в развитието на горските територии и подобряване на жизнеспособността на горите“;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1„Трансфер на знания и действия по осведомяване“, подмярка 1.2.Демонстрационни дейности и действия по осведомяване – в случаите на кандидатстване за помощ, свързана с инвестиции.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16 „Сътрудничество“ - в случаите на кандидатстване за помощ, свързана с инвестиции.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е допустимо по под-мярка 19.4 "Текущи разходи и популяризиране на стратегията за водено от общностите местно развитие” в размер не надвишаващ 50 % от публичната подкрепа, свързана с текущите разходи и разходите за стимулиране на интерес, извършени от местната инициативна група в съответствие с чл. 42 от Регламент (EC) № 1305/2013. За инвестиционна подкрепа по проектите по подмярка 19.2"Прилагане на операции в рамките на стратегии за водено от общностите местно развитие", под-мярка 19.1 "Помощ за подготвителни дейности" и под-мярка 19.3 "Подготовка и изпълнение на дейности за сътрудничество на местни инициативни групи“ е допустимо авансово плащане в съответствие с чл. 45 от Регламент (EC) №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Недопустими разходи за инвестиционна подкрепа</w:t>
            </w:r>
          </w:p>
          <w:p>
            <w:pPr>
              <w:numPr>
                <w:ilvl w:val="0"/>
                <w:numId w:val="11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обикновена подмяна и поддръжка;</w:t>
            </w:r>
          </w:p>
          <w:p>
            <w:pPr>
              <w:numPr>
                <w:ilvl w:val="0"/>
                <w:numId w:val="1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възникнали при изпълнение на договори за лизинг, разходи за застраховки, разходи за лихви, разходи за неустойки и такси, други разходи, свързани с договора за лизинг, режийни разходи и разходи за застраховки;</w:t>
            </w:r>
          </w:p>
          <w:p>
            <w:pPr>
              <w:numPr>
                <w:ilvl w:val="0"/>
                <w:numId w:val="1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които подлежат на възстановяване в съответствие с националното законодателство в областта на ДДС.</w:t>
            </w:r>
          </w:p>
          <w:p>
            <w:pPr>
              <w:numPr>
                <w:ilvl w:val="0"/>
                <w:numId w:val="1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оборудване втора ръка;</w:t>
            </w:r>
          </w:p>
          <w:p>
            <w:pPr>
              <w:numPr>
                <w:ilvl w:val="0"/>
                <w:numId w:val="1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преди 01.01.2014</w:t>
            </w:r>
          </w:p>
          <w:p>
            <w:pPr>
              <w:numPr>
                <w:ilvl w:val="0"/>
                <w:numId w:val="1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Принос в натура;</w:t>
            </w:r>
          </w:p>
          <w:p>
            <w:pPr>
              <w:numPr>
                <w:ilvl w:val="0"/>
                <w:numId w:val="1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инвестиции в селското стопанство – закупуване на права за производство и плащане, закупуване на животни (с изключение на М5), закупуване на едногодишни растения и тяхното засаждане;</w:t>
            </w:r>
          </w:p>
          <w:p>
            <w:pPr>
              <w:numPr>
                <w:ilvl w:val="0"/>
                <w:numId w:val="1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 за която е установено, че ще оказва отрицателно въздействие върху околната среда;</w:t>
            </w:r>
          </w:p>
          <w:p>
            <w:pPr>
              <w:numPr>
                <w:ilvl w:val="0"/>
                <w:numId w:val="11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преди подаването на заявление за финансиране от страна на бенефициента независимо дали всички свързани плащания са направени или не с изключение на разходите за предпроектни проучвания, такси, хонорари за архитекти, инженери и консултантски услуги извършени след 01.01.2014.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Стандартни разходи, допълнителни разходи и  пропуснати доходи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Една част от мерките, включени в Програмата предоставят подкрепа под формата на компенсации за извървени разходи или пропуснати доходи, базирани на стандартни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 8 „Инвестиции в развитието на горски площи и подобряване на жизнеността на горите“, мярка 10 „Агроекология и климат“, мярка 11 „Биологично земеделие“, мярка 12 „Плащания по Натура 2000 и Рамковата директива за водите“,  мярка 13 „Плащания за райони, изправени пред природни или други специфични ограничения“ и мярка 14 „Хуманно отношение към животните“ включват предоставяне на подкрепа за да се компенсират бенефициентите за допълнителни разходи или пропуснати доходи или по своята същност представляват компенсаторни плащания.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за хектар земеделска площ, гора или на животинска единица. Методиките  за изчисляване на плащанията е посочена в Приложение към Програмата.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 разходи ще се прилагат по мярка 1</w:t>
            </w:r>
            <w:r>
              <w:rPr>
                <w:rFonts w:ascii="Times New Roman" w:eastAsia="Times New Roman" w:hAnsi="Times New Roman" w:cs="Times New Roman"/>
                <w:i/>
                <w:iCs/>
                <w:szCs w:val="24"/>
              </w:rPr>
              <w:t>„Трансфер на знания и действия по осведомяване“</w:t>
            </w:r>
            <w:r>
              <w:rPr>
                <w:rFonts w:ascii="Times New Roman" w:eastAsia="Times New Roman" w:hAnsi="Times New Roman" w:cs="Times New Roman"/>
                <w:szCs w:val="24"/>
              </w:rPr>
              <w:t>, по мярка 2 „</w:t>
            </w:r>
            <w:r>
              <w:rPr>
                <w:rFonts w:ascii="Times New Roman" w:eastAsia="Times New Roman" w:hAnsi="Times New Roman" w:cs="Times New Roman"/>
                <w:i/>
                <w:iCs/>
                <w:szCs w:val="24"/>
              </w:rPr>
              <w:t>Консултантски услуги, управление на стопанството и услуги по заместване в стопанството</w:t>
            </w:r>
            <w:r>
              <w:rPr>
                <w:rFonts w:ascii="Times New Roman" w:eastAsia="Times New Roman" w:hAnsi="Times New Roman" w:cs="Times New Roman"/>
                <w:szCs w:val="24"/>
              </w:rPr>
              <w:t>“, мярка 8 „Инвестиции в горски територии, развитие и подобряване на жизнеността на горите” и мярка 16 „Сътрудничество“ и мярка 19 „Подкрепа за ЛИДЕР местно развитие”.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Териториално покритие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изключение на мярка 7  „Основни услуги и обновяване на селата в селските райони“ и подмерки 6.2 „Стартова помощ за неземеделски дейности“ и 6.4 „Инвестиционна  подкрепа за неземеделски дейности“, които ще се изпълняват в рамките на селските райони на страната всички други мерки от Програмата ще се прилагат на територията на цялата страна.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 7 от ПРСР ще се прилага на територията на 232 общини в селските райони, с изключение на конкретни инвестиции, които ще се подпомагат от ОП „Региони в растеж“ Няма да се подпомагат дейности в рамките на ПРСР в населени места с население под 30 000 жители, които са определени като допустими за подпомагане по ОП „Региони в растеж“.</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дефиниция определя като „селски райони” общините, в които няма населено място с население над 30 000 души. Тази дефиниция е използвана при Програма САПАРД и при Програмата за развитие на селските райони (2007-2013). Съгласно тази дефиниция, 232 общини от общо 265 общини в България са класифицирани като селски район.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Екологичните мерки, свързани с компенсаторни плащания на площ ще се прилагат според обхвата им на действие. При някои инвестиционни мерки ще се прилага по-висок интензитет на помощта за проекти попадащи в обхвата на необлагодетелстваните райони и/или териториите от Натура 2000.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Воденото от общностите местно развитие получава подкрепа от Европейския земеделски фонд за развитие на селските райони и може да получи подкрепа от Европейския фонд за регионално развитие, Европейския социален фонд и Европейския фонд за морско дело и рибарство.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се прилага на териториален принцип на ниво община или обединение на съседни общини и/или съседни населени места част от община/и. Всяка стратегия за воденото от общностите местно развитие обхваща територия с население между 10 000 и 150 000 жители.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ВОМР се прилага в рамките на селските райони, рибарските райони и на следните територии със специфични характеристики, определени в Националната концепция за пространствено развитие: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крайбрежните територии (Черноморски и Дунавски), включващи крайбрежни общини по Черноморието и река Дунав;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планинските територии, включващи общини и селища, чиито землища отговарят на един от 3-те критерия – надморска височина над 700 м., среден наклон над 20% или надморска височина над 500 м. и наклон над 15%;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граничните територии, включващи общини със сухоземна граница, повечето от които са и планински;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териториите в риск, включващи общини с критично намаляване на населението и икономическата активност. Територии в екологичен, демографски и икономически риск.</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териториите за опазване на ландшафта, природните и културни ценности, включващи територии зони и обекти от Националната екологична мрежа, територии наситени с природни ценности, територии за превантивна защита.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Градовете, подпомагани от ОПРР по линия на устойчивото градско развитие и попадащи в селски район са допустими като част от територия на МИГ за финансиране по линия на Европейския земеделски фонд за развитие на селските райони (местно развитие в рамките на ЛИДЕР).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ПРСР гарантира, че равенството между мъжете и жените и отчитането на социалните аспекти на пола се вземат под внимание и се насърчават през цялото време на изпълнението на програмата, включително по отношение на мониторинга, докладването и оценката.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Поетите разходи по отношение на правни задължения към бенефициенти през 2014 г. във връзка с мерките, посочени в чл. 1 от Регламент (ЕС) № 1310/2013 на Европейския парламент и на Съвета от 17 декември 2013 г. относно определяне на някои преходни разпоредби във връзка с подпомагането на развитието на селските райони от Европейския земеделски фонд за развитие на селските райони (ЕЗФРСР), за изменение на Регламент (ЕС) № 1305/2013 на Европейския парламент и на Съвета по отношение на ресурсите и тяхното разпределение за 2014 г. и за изменение на Регламент (ЕО) № 73/2009 на Съвета и регламенти (ЕС) № 1307/2013, (ЕС) № 1306/2013 и (ЕС) № 1308/2013 на Европейския парламент и на Съвета във връзка с прилагането им през 2014 г. (Регламент (ЕС) № 1310/2013), са допустими в съответствие на чл. 3 от същия регламент. Продължава прилагането на чл. 50а и чл. 51 от Регламент (ЕО) 1698/2005 до 31.12.2014 г. в съответствие с чл. 2 от Регламент (ЕС) № 1310/2013 и при условия на допустимост на разходите в съответствие с чл. 3 от същия регламент.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определени мерки/под-мерки от ПРСР 2014-2020 г. да се прилагат на по-късен етап, тъй като за стартирането им е нужен допълнителен анализ и изграждане на административен капацитет.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Мерки/под-мерки от ПРСР 2014-2020 г., които ще се прилагат на по-късен етап</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Мярка/под-мярка                                                                                                       Индикативен период на изпълнение                                           Под-приоритет, към който е отнесен бюджета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4.3. Инвестиции в инфраструктура                                                                                      2020-2023                                                                                                          5A, 5B, 5C, 5D</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7.3. Широколентова инфраструктура, включително нейното създаване,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подобрение и разширяване.                                                                                                 2020-2023                                                                                                                    6C</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12.2. Компенсаторни плащания за гори в Натура 2000                                                      2016-2020                                                                                                                   4(FO)</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12.3. Компенсаторни плащания за селскостопански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включени в плановете за управление на речните басейни                                                2016-2020                                                                                                                      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13.3. Компенсационни плащания за други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засегнати от специфични ограничения.                                                                                2017-2020                                                                                                                         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Описание на общите условия, прилагани към повече от една мярка в Тематичната подпрограма за развитие на малки земеделски стопанства в Република България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всички мерки от подпрограмата с изключение на мярка „консултантски услуги” могат да кандидатстват само земеделски стопанства, които отговарят на следните условия:</w:t>
            </w:r>
          </w:p>
          <w:p>
            <w:pPr>
              <w:numPr>
                <w:ilvl w:val="0"/>
                <w:numId w:val="11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размер, измерен в стандартен производствен обем (СПО) от 2 000 до 7 999 евро, и</w:t>
            </w:r>
          </w:p>
          <w:p>
            <w:pPr>
              <w:numPr>
                <w:ilvl w:val="0"/>
                <w:numId w:val="11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регистрирани като земеделски стопани, съгласно Закона за подпомагане на земеделските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Тематичната подпрограма по под мeрки 4.1 и 4.2 инвестиционна подкрепа ще се осигури за 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следните сектори „животновъдство“, „плодове и зеленчуци“ и „етерично-маслени и лекарствени култури“. Подкрепата за малки земеделски стопанства от сектор „Животновъдство“ ще се предоставя за стопанства, които попадат в обхвата на планински район съгласно Наредбата за определяне на критериите за необлагодетелстваните райони и териториалния им обхват - приета с ПМС № 30 от 15.02.2008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подпрограмата се прилагат всички общи условия за допустимост на дейностите и разходите, описани в Раздел 8.1 на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включени в Тематичната подпрограма за малки стопанства са включени като операции в Програмата за развитие на селските райони 2014 – 2020 г.</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м. май 2018 г. беше извършена Предварителна оценка на финансови инструменти по ПРСР 2014-2020 г., която идентифицира неоптимални инвестиционни ситуации, даващи основание за прилагане на ФИ, целящи повишаване нивото на предлаганите кредити и насърчаване на конкурентоспособността в сектора. Финансовият инструмент по ПРСР 2014-2020 г. е разработен с цел принос заадресиране на неоптималните инвестиционни ситуации и пазарни дефекти и се стреми да адресира някои от специфичните предизвикателства при използването на ФИ в сектор „Земеделие“, предимно свързани с достъпа до финансиране, високите лихвени нива и относително ограничената склонност на търговските банки да поемат риск при инвестиции в сектора.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Сектор Земеделие се различава от другите сектори в икономиката по вида на активите и източниците за тяхното финансиране. Възможностите за външно финансиране са ограничени от вида на активите, с които предприятията оперират. В много случаи залог на продукция, машини, живи животни или селскостопански сгради не са приемливи за финансиращите институции или се приемат, но при значително намалени оценки на стойността на активите. Добрите практики изискват финансирането да бъде обосновано на база очакваните приходи от дейността, но при земеделските стопанства доходите са свързани с редица рискове, както свързани с климата и времето, така и с пазарните условия.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Предварителната оценка са проучени предлагането и търсенето на финансиране в сектор „Земеделие“, като са идентифицирани случаите на пазарна неефективност, довели до наблюдаваните неоптимални инвестиционни ситуации и пазарни дефекти,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Неоптимална инвестиционна ситуация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•Високи стойности на дисбаланс между търсене и предлагане на финансови средства в сектор „Земеделие“ и недостиг на търсенето в размер на 469,6 млн. евро общо за сектора и 152 млн. евро за микропредприятията в селски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•Съществуващият недостиг на финансиране в сектор „Земеделие“ рефлектира най-вече върху младите фермери (над 20%), следвани от предприятията в сектора и бенефициентите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•Въпреки общото подобрение на показателите за достъп до финансиране в последните години тенденцията при предприятията които не търсят финансиране поради очакван отказ „обезкуражени“ се увеличава и към 2017 г. те са 6%.</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Източник: Предварителна оценка на финансови инструменти по ПРСР 2014-2020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Посоченият в предварителната оценка недостиг на финансиране по ПРСР идентифицира необходимостта от прилагане на ФИ самостоятелно и в допълнение на предоставена безвъзмездна помощ по ПРСР с оглед задоволяване на потенциалното търсене на финансиране.Анализът, извършен в рамките на предварителната оценка, показва, че с оглед спецификите на сектор „Земеделие“, нуждите от подкрепа при достъпа до външно финансиране, възможностите на финансовите институции и реализираните до момента финансови инструменти както в България, така и в други страни членки, най-подходящ за прилагане финансов продукт би бил заемът с поделяне на риска с две възможности: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На базата на направената предварителна оценка, ФИ биха могли да се прилагат:</w:t>
            </w:r>
          </w:p>
          <w:p>
            <w:pPr>
              <w:numPr>
                <w:ilvl w:val="0"/>
                <w:numId w:val="120"/>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допълнение към безвъзмездната помощ, отпускана по проекти за земеделски и неземеделски инвестиции в селски райони, включително инвестиции, финансирани по програма ЛИДЕР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като самостоятелен кредит със споделен риск по подмерки 4.1, 4.2, 6.4 от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по т.1 ще подпомогнат реализирането на одобрени проекти по ПРСР, като ще увеличат и интереса към програмата с оглед възможностите за финансиране. Кредитите по т.2 са алтернатива на помощта под формата на БФП, като същевременно косвено се намалява интензитета на помощта ползвана под формата на грант.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Съфинансирането с ресурс по програмата е в размер на 50% от отпускания кредит при първия финансов продукт за съфинансиране по проекти, подкрепени с БФП и в размер на 70% за финансовия продукт за самостоятелните заеми.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от кредитите, финансирана със средства от ПРСР се прилагат лихвени нива от 0 % към крайните получатели, с което значително се намаляват лихвените разходи. Допълнителен стимул за намаляване на лихвата по съфинансирането, предоставено от финансовите посредници е и споделянето на риска по кредитите. По-високият процент на средствата от ПРСР във финансовия продукт за самостоятелните заеми цели да направи инструмента по-атрактивен и да осигури по-голяма подкрепа за предприятия, които не ползват безвъзмездно финансиране по ПРСР. Средства от погасени експозиции могат да бъдат предоставени отново в рамките на и след инвестиционния период на допустимост в съответствие с договореностите, предвидени в Споразумението за финансиране, съобразно разпоредбите на член 44-45 от регламент 1303 / 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структуриране на ФИ по ПРСР и параметрите на финансовите продукти ще се отчитат следните условия, като наред с това се осигурява възможност за допълнителна гъвкавост при прилагане на финансовите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лостов ефект (ливъридж);</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рециклиране на средствата;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подход на споделяне на риска за финансиране на инвестиции, които се очаква да бъдат финансово жизнеспособни, но не могат да генерират достатъчно финансиране от пазарни източници;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увеличаване на гъвкавостта и намаляване на административната тежест върху КП;</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 предоставяне на финансиране за оборотни средства на крайни получатели.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Фонд мениджър на финансовия инструмент </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съгласно чл. 5 (1) от Закона за управление на средствата по европейски структурни и инвестиционни фондове „Финансовите инструменти, финансирани със средства от ЕСИФ, с изключение на тези по чл. 39 от Регламент (ЕС) № 1303/2013, се изпълняват чрез Фонд на фондовете“.</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С оглед разширеното прилагане на подкрепа, чрез финансови инструменти в периода 2014-2020 г., българското правителство взе решение да прилага ФИ чрез Фонд на фондове, като "Фонд мениджър на финансовите инструменти в България" ЕАД (ФМФИБ) е дружеството, което е отговорно за прилагането и изпълнението на ФИ от името на УО на ОП, в съответствие с изискванията на чл. 38 (4) б. „б“,  iii) от Регламент (ЕС) № 1303/2013[2]. Предвидените по ПРСР 2014-2020 ФИ ще бъдат структурирани на национално ниво и ще бъдат управлявани от ФМФИБ в съответствие с условията на Финансовото споразумение, което ще бъде подписано между МЗХГ и "Фонд мениджър на финансовите инструменти в България" ЕАД (ФМФИБ)[3]</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Финансови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Изборът на финансов продукт е осъществен въз основа на наблюдаваните неоптимални инвестиционни ситуации и инвестиционните нужди, в рамките на Предварителната оценка за ФИ по ПРСР 2014-2020 от м. май 2018 г. Като най-подходящ финансов продукт, с оглед спецификата на сектора, Предварителната оценка посочва финансов инструмент, включващ финансиране чрез заем с поделяне на риска с две възможности: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Кредити за съфинансиране на проекти за земеделски и неземеделски инвестиции в селски райони, включително инвестиции, финансирани по програма ЛИДЕР. Покритието с ресурс от ПРСР е максимум до 50% от размера на кредита.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Самостоятелни заеми (т.е. без съфинансиране от безвъзмездните средства), отпускани съгласно целите на под мерки 4.1, 4.2, 6.4 от ПРСР[4]. Покритието с ресурс от ПРСР е</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максимум до 70% от размера на кредита.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Таблица 1: Предвиден финансов продукт</w:t>
            </w:r>
          </w:p>
          <w:tbl>
            <w:tblPr>
              <w:tblStyle w:val="MsoTableGrid0"/>
              <w:tblCellMar>
                <w:top w:w="15" w:type="dxa"/>
                <w:left w:w="15" w:type="dxa"/>
                <w:bottom w:w="15" w:type="dxa"/>
                <w:right w:w="15" w:type="dxa"/>
              </w:tblCellMar>
              <w:tblLook w:val="05E0"/>
            </w:tblPr>
            <w:tblGrid>
              <w:gridCol w:w="2943"/>
              <w:gridCol w:w="1870"/>
              <w:gridCol w:w="1906"/>
              <w:gridCol w:w="1972"/>
            </w:tblGrid>
            <w:tr>
              <w:tblPrEx>
                <w:tblCellMar>
                  <w:top w:w="15" w:type="dxa"/>
                  <w:left w:w="15" w:type="dxa"/>
                  <w:bottom w:w="15" w:type="dxa"/>
                  <w:right w:w="15" w:type="dxa"/>
                </w:tblCellMar>
                <w:tblLook w:val="05E0"/>
              </w:tblPrEx>
              <w:tc>
                <w:tcPr>
                  <w:tcW w:w="290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Вид на финансовия инструмент</w:t>
                  </w:r>
                </w:p>
              </w:tc>
              <w:tc>
                <w:tcPr>
                  <w:tcW w:w="1828"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Средства от ПРСР  (млн евро)</w:t>
                  </w:r>
                </w:p>
              </w:tc>
              <w:tc>
                <w:tcPr>
                  <w:tcW w:w="186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на финансиране от ПРСР</w:t>
                  </w:r>
                </w:p>
              </w:tc>
              <w:tc>
                <w:tcPr>
                  <w:tcW w:w="193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Реализиран портфейл (млн евро)</w:t>
                  </w:r>
                </w:p>
              </w:tc>
            </w:tr>
            <w:tr>
              <w:tblPrEx>
                <w:tblCellMar>
                  <w:top w:w="15" w:type="dxa"/>
                  <w:left w:w="15" w:type="dxa"/>
                  <w:bottom w:w="15" w:type="dxa"/>
                  <w:right w:w="15" w:type="dxa"/>
                </w:tblCellMar>
                <w:tblLook w:val="05E0"/>
              </w:tblPrEx>
              <w:tc>
                <w:tcPr>
                  <w:tcW w:w="290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Кредити за съфинансиране на проекти, подкрепени с БФП по ПРСР</w:t>
                  </w:r>
                </w:p>
              </w:tc>
              <w:tc>
                <w:tcPr>
                  <w:tcW w:w="1828"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w:t>
                  </w:r>
                </w:p>
              </w:tc>
              <w:tc>
                <w:tcPr>
                  <w:tcW w:w="186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50%</w:t>
                  </w:r>
                </w:p>
              </w:tc>
              <w:tc>
                <w:tcPr>
                  <w:tcW w:w="193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10,00</w:t>
                  </w:r>
                </w:p>
              </w:tc>
            </w:tr>
            <w:tr>
              <w:tblPrEx>
                <w:tblCellMar>
                  <w:top w:w="15" w:type="dxa"/>
                  <w:left w:w="15" w:type="dxa"/>
                  <w:bottom w:w="15" w:type="dxa"/>
                  <w:right w:w="15" w:type="dxa"/>
                </w:tblCellMar>
                <w:tblLook w:val="05E0"/>
              </w:tblPrEx>
              <w:tc>
                <w:tcPr>
                  <w:tcW w:w="290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Кредит за реализация на инвестиция по ПРСР без комбинация с БФП</w:t>
                  </w:r>
                </w:p>
              </w:tc>
              <w:tc>
                <w:tcPr>
                  <w:tcW w:w="1828"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15</w:t>
                  </w:r>
                </w:p>
              </w:tc>
              <w:tc>
                <w:tcPr>
                  <w:tcW w:w="186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70%</w:t>
                  </w:r>
                </w:p>
              </w:tc>
              <w:tc>
                <w:tcPr>
                  <w:tcW w:w="193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21.43</w:t>
                  </w:r>
                </w:p>
              </w:tc>
            </w:tr>
            <w:tr>
              <w:tblPrEx>
                <w:tblCellMar>
                  <w:top w:w="15" w:type="dxa"/>
                  <w:left w:w="15" w:type="dxa"/>
                  <w:bottom w:w="15" w:type="dxa"/>
                  <w:right w:w="15" w:type="dxa"/>
                </w:tblCellMar>
                <w:tblLook w:val="05E0"/>
              </w:tblPrEx>
              <w:tc>
                <w:tcPr>
                  <w:tcW w:w="290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Общо</w:t>
                  </w:r>
                </w:p>
              </w:tc>
              <w:tc>
                <w:tcPr>
                  <w:tcW w:w="1828"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20</w:t>
                  </w:r>
                </w:p>
              </w:tc>
              <w:tc>
                <w:tcPr>
                  <w:tcW w:w="186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193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31.43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Препоръчителният размер на финансирането на инструмента със средства по ПРСР 2014-2020 е в размер на 40 млн. евро, но поради оставащия ограничен срок за прилагане до края на програмния период и съпътстващия го риск от свръхкапитализация на инструмента, финансовия инструмент ще бъде капитализиран с 20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характеристики на предвидения финансов продукт са изложени по-долу.</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Таблица 2: Характеристики на финансов продукт </w:t>
            </w:r>
          </w:p>
          <w:tbl>
            <w:tblPr>
              <w:tblStyle w:val="Table"/>
              <w:tblW w:w="9970" w:type="dxa"/>
              <w:tblInd w:w="70" w:type="dxa"/>
              <w:tblCellMar>
                <w:top w:w="15" w:type="dxa"/>
                <w:left w:w="15" w:type="dxa"/>
                <w:bottom w:w="15" w:type="dxa"/>
                <w:right w:w="15" w:type="dxa"/>
              </w:tblCellMar>
              <w:tblLook w:val="05E0"/>
            </w:tblPr>
            <w:tblGrid>
              <w:gridCol w:w="2934"/>
              <w:gridCol w:w="7036"/>
            </w:tblGrid>
            <w:tr>
              <w:tblPrEx>
                <w:tblW w:w="9970" w:type="dxa"/>
                <w:tblInd w:w="70" w:type="dxa"/>
                <w:tblCellMar>
                  <w:top w:w="15" w:type="dxa"/>
                  <w:left w:w="15" w:type="dxa"/>
                  <w:bottom w:w="15" w:type="dxa"/>
                  <w:right w:w="15" w:type="dxa"/>
                </w:tblCellMar>
                <w:tblLook w:val="05E0"/>
              </w:tblPrEx>
              <w:trPr>
                <w:trHeight w:val="510"/>
                <w:tblHeader/>
              </w:trPr>
              <w:tc>
                <w:tcPr>
                  <w:tcW w:w="2654" w:type="dxa"/>
                  <w:shd w:val="clear" w:color="auto" w:fill="D9D9D9"/>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Характеристики на финансовия продукт</w:t>
                  </w:r>
                </w:p>
              </w:tc>
              <w:tc>
                <w:tcPr>
                  <w:tcW w:w="7510" w:type="dxa"/>
                  <w:shd w:val="clear" w:color="auto" w:fill="D9D9D9"/>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Заеми</w:t>
                  </w:r>
                </w:p>
              </w:tc>
            </w:tr>
            <w:tr>
              <w:tblPrEx>
                <w:tblW w:w="9970" w:type="dxa"/>
                <w:tblInd w:w="70" w:type="dxa"/>
                <w:tblCellMar>
                  <w:top w:w="15" w:type="dxa"/>
                  <w:left w:w="15" w:type="dxa"/>
                  <w:bottom w:w="15" w:type="dxa"/>
                  <w:right w:w="15" w:type="dxa"/>
                </w:tblCellMar>
                <w:tblLook w:val="05E0"/>
              </w:tblPrEx>
              <w:trPr>
                <w:trHeight w:val="495"/>
              </w:trPr>
              <w:tc>
                <w:tcPr>
                  <w:tcW w:w="26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Описание</w:t>
                  </w:r>
                </w:p>
              </w:tc>
              <w:tc>
                <w:tcPr>
                  <w:tcW w:w="7510" w:type="dxa"/>
                  <w:noWrap w:val="0"/>
                  <w:tcMar>
                    <w:top w:w="20" w:type="dxa"/>
                    <w:left w:w="20" w:type="dxa"/>
                    <w:bottom w:w="20" w:type="dxa"/>
                    <w:right w:w="20" w:type="dxa"/>
                  </w:tcMar>
                  <w:vAlign w:val="bottom"/>
                  <w:hideMark/>
                </w:tcPr>
                <w:p>
                  <w:pPr>
                    <w:numPr>
                      <w:ilvl w:val="0"/>
                      <w:numId w:val="121"/>
                    </w:numPr>
                    <w:spacing w:before="0" w:after="0"/>
                    <w:ind w:left="720" w:hanging="28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Заеми, които ще бъдат предоставяни на допустими крайни получатели като съфинасиране към БФП</w:t>
                  </w:r>
                  <w:r>
                    <w:rPr>
                      <w:rFonts w:ascii="Times New Roman" w:eastAsia="Times New Roman" w:hAnsi="Times New Roman" w:cs="Times New Roman"/>
                      <w:b w:val="0"/>
                      <w:bCs w:val="0"/>
                      <w:i w:val="0"/>
                      <w:iCs w:val="0"/>
                      <w:smallCaps w:val="0"/>
                      <w:color w:val="000000"/>
                      <w:szCs w:val="24"/>
                    </w:rPr>
                    <w:t xml:space="preserve"> (50% средства от ПРСР) и</w:t>
                  </w:r>
                </w:p>
                <w:p>
                  <w:pPr>
                    <w:numPr>
                      <w:ilvl w:val="0"/>
                      <w:numId w:val="121"/>
                    </w:numPr>
                    <w:spacing w:before="0" w:after="240"/>
                    <w:ind w:left="720" w:hanging="28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Самостоятелни заеми </w:t>
                  </w:r>
                  <w:r>
                    <w:rPr>
                      <w:rFonts w:ascii="Times New Roman" w:eastAsia="Times New Roman" w:hAnsi="Times New Roman" w:cs="Times New Roman"/>
                      <w:b w:val="0"/>
                      <w:bCs w:val="0"/>
                      <w:i w:val="0"/>
                      <w:iCs w:val="0"/>
                      <w:smallCaps w:val="0"/>
                      <w:color w:val="000000"/>
                      <w:szCs w:val="24"/>
                    </w:rPr>
                    <w:t>(70% средства от ПРСР)</w:t>
                  </w:r>
                </w:p>
              </w:tc>
            </w:tr>
            <w:tr>
              <w:tblPrEx>
                <w:tblW w:w="9970" w:type="dxa"/>
                <w:tblInd w:w="70" w:type="dxa"/>
                <w:tblCellMar>
                  <w:top w:w="15" w:type="dxa"/>
                  <w:left w:w="15" w:type="dxa"/>
                  <w:bottom w:w="15" w:type="dxa"/>
                  <w:right w:w="15" w:type="dxa"/>
                </w:tblCellMar>
                <w:tblLook w:val="05E0"/>
              </w:tblPrEx>
              <w:trPr>
                <w:trHeight w:val="1120"/>
              </w:trPr>
              <w:tc>
                <w:tcPr>
                  <w:tcW w:w="26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проекти</w:t>
                  </w:r>
                </w:p>
              </w:tc>
              <w:tc>
                <w:tcPr>
                  <w:tcW w:w="7510" w:type="dxa"/>
                  <w:noWrap w:val="0"/>
                  <w:tcMar>
                    <w:top w:w="20" w:type="dxa"/>
                    <w:left w:w="20" w:type="dxa"/>
                    <w:bottom w:w="20" w:type="dxa"/>
                    <w:right w:w="20" w:type="dxa"/>
                  </w:tcMar>
                  <w:vAlign w:val="top"/>
                  <w:hideMark/>
                </w:tcPr>
                <w:p>
                  <w:pPr>
                    <w:numPr>
                      <w:ilvl w:val="0"/>
                      <w:numId w:val="122"/>
                    </w:numPr>
                    <w:spacing w:before="0" w:after="0"/>
                    <w:ind w:left="720" w:hanging="28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Проектите следва да бъдат устойчиви и финансово жизнеспособни.</w:t>
                  </w:r>
                </w:p>
                <w:p>
                  <w:pPr>
                    <w:numPr>
                      <w:ilvl w:val="0"/>
                      <w:numId w:val="122"/>
                    </w:numPr>
                    <w:spacing w:before="0" w:after="0"/>
                    <w:ind w:left="720" w:hanging="28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Проекти за земеделски и неземеделски инвестиции в селски райони, включително инвестиции, финансирани по подхода ЛИДЕР подкрепени в комбинация на заем за съфинансиране от ФИ и БФП от ПРСР 2014-2020.</w:t>
                  </w:r>
                </w:p>
                <w:p>
                  <w:pPr>
                    <w:numPr>
                      <w:ilvl w:val="0"/>
                      <w:numId w:val="122"/>
                    </w:numPr>
                    <w:spacing w:before="0" w:after="240"/>
                    <w:ind w:left="720" w:hanging="28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Проекти без съфинансиране с безвъзмездни средства, отговарящи на целите по подмерки 4.1, 4.2, 6.4 от ПРСР 2014-2020</w:t>
                  </w:r>
                </w:p>
              </w:tc>
            </w:tr>
            <w:tr>
              <w:tblPrEx>
                <w:tblW w:w="9970" w:type="dxa"/>
                <w:tblInd w:w="70" w:type="dxa"/>
                <w:tblCellMar>
                  <w:top w:w="15" w:type="dxa"/>
                  <w:left w:w="15" w:type="dxa"/>
                  <w:bottom w:w="15" w:type="dxa"/>
                  <w:right w:w="15" w:type="dxa"/>
                </w:tblCellMar>
                <w:tblLook w:val="05E0"/>
              </w:tblPrEx>
              <w:trPr>
                <w:trHeight w:val="334"/>
              </w:trPr>
              <w:tc>
                <w:tcPr>
                  <w:tcW w:w="26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крайни получатели</w:t>
                  </w:r>
                </w:p>
              </w:tc>
              <w:tc>
                <w:tcPr>
                  <w:tcW w:w="751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Микро, малки и средни предприятия, отговарящи на целите по съответните подмерки</w:t>
                  </w:r>
                </w:p>
              </w:tc>
            </w:tr>
            <w:tr>
              <w:tblPrEx>
                <w:tblW w:w="9970" w:type="dxa"/>
                <w:tblInd w:w="70" w:type="dxa"/>
                <w:tblCellMar>
                  <w:top w:w="15" w:type="dxa"/>
                  <w:left w:w="15" w:type="dxa"/>
                  <w:bottom w:w="15" w:type="dxa"/>
                  <w:right w:w="15" w:type="dxa"/>
                </w:tblCellMar>
                <w:tblLook w:val="05E0"/>
              </w:tblPrEx>
              <w:trPr>
                <w:trHeight w:val="334"/>
              </w:trPr>
              <w:tc>
                <w:tcPr>
                  <w:tcW w:w="26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разход</w:t>
                  </w:r>
                </w:p>
              </w:tc>
              <w:tc>
                <w:tcPr>
                  <w:tcW w:w="751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Съобразно приложимите разпоредби на правото на ЕС и националното законодателство.</w:t>
                  </w:r>
                </w:p>
              </w:tc>
            </w:tr>
            <w:tr>
              <w:tblPrEx>
                <w:tblW w:w="9970" w:type="dxa"/>
                <w:tblInd w:w="70" w:type="dxa"/>
                <w:tblCellMar>
                  <w:top w:w="15" w:type="dxa"/>
                  <w:left w:w="15" w:type="dxa"/>
                  <w:bottom w:w="15" w:type="dxa"/>
                  <w:right w:w="15" w:type="dxa"/>
                </w:tblCellMar>
                <w:tblLook w:val="05E0"/>
              </w:tblPrEx>
              <w:trPr>
                <w:trHeight w:val="334"/>
              </w:trPr>
              <w:tc>
                <w:tcPr>
                  <w:tcW w:w="26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финансови посредници</w:t>
                  </w:r>
                </w:p>
              </w:tc>
              <w:tc>
                <w:tcPr>
                  <w:tcW w:w="7510" w:type="dxa"/>
                  <w:noWrap w:val="0"/>
                  <w:tcMar>
                    <w:top w:w="20" w:type="dxa"/>
                    <w:left w:w="20" w:type="dxa"/>
                    <w:bottom w:w="20" w:type="dxa"/>
                    <w:right w:w="20"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Финансови и кредитни институции лицензирани/регистрирани да извършват съответната дейност на територията на Република България;</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МФИ, отговарящи на изискванията на чл. 38, пар. 5 от Регламент 1303/2013 г. и на чл. 6 и 7 от Регламент 480/2014 г.;</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Институции, отговарящи на изискванията на   чл. 4, пар. 4 (b) (iii) от Регламент 1303/2013 г.</w:t>
                  </w:r>
                </w:p>
              </w:tc>
            </w:tr>
            <w:tr>
              <w:tblPrEx>
                <w:tblW w:w="9970" w:type="dxa"/>
                <w:tblInd w:w="70" w:type="dxa"/>
                <w:tblCellMar>
                  <w:top w:w="15" w:type="dxa"/>
                  <w:left w:w="15" w:type="dxa"/>
                  <w:bottom w:w="15" w:type="dxa"/>
                  <w:right w:w="15" w:type="dxa"/>
                </w:tblCellMar>
                <w:tblLook w:val="05E0"/>
              </w:tblPrEx>
              <w:trPr>
                <w:trHeight w:val="285"/>
              </w:trPr>
              <w:tc>
                <w:tcPr>
                  <w:tcW w:w="26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Условия на заемите</w:t>
                  </w:r>
                </w:p>
              </w:tc>
              <w:tc>
                <w:tcPr>
                  <w:tcW w:w="7510" w:type="dxa"/>
                  <w:noWrap w:val="0"/>
                  <w:tcMar>
                    <w:top w:w="20" w:type="dxa"/>
                    <w:left w:w="20" w:type="dxa"/>
                    <w:bottom w:w="20" w:type="dxa"/>
                    <w:right w:w="20"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Вид заеми: </w:t>
                  </w:r>
                  <w:r>
                    <w:rPr>
                      <w:rFonts w:ascii="Times New Roman" w:eastAsia="Times New Roman" w:hAnsi="Times New Roman" w:cs="Times New Roman"/>
                      <w:b w:val="0"/>
                      <w:bCs w:val="0"/>
                      <w:i w:val="0"/>
                      <w:iCs w:val="0"/>
                      <w:smallCaps w:val="0"/>
                      <w:color w:val="000000"/>
                      <w:szCs w:val="24"/>
                    </w:rPr>
                    <w:t>новоотпуснати инвестиционни заеми и заеми за оборотни средства;</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Максимален матуритет на заемите</w:t>
                  </w:r>
                  <w:r>
                    <w:rPr>
                      <w:rFonts w:ascii="Times New Roman" w:eastAsia="Times New Roman" w:hAnsi="Times New Roman" w:cs="Times New Roman"/>
                      <w:b w:val="0"/>
                      <w:bCs w:val="0"/>
                      <w:i w:val="0"/>
                      <w:iCs w:val="0"/>
                      <w:smallCaps w:val="0"/>
                      <w:color w:val="000000"/>
                      <w:szCs w:val="24"/>
                    </w:rPr>
                    <w:t xml:space="preserve"> – 120 месеца за инвестиционните и 60 месеца за оборотните;</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Минимален матуритет на заемите</w:t>
                  </w:r>
                  <w:r>
                    <w:rPr>
                      <w:rFonts w:ascii="Times New Roman" w:eastAsia="Times New Roman" w:hAnsi="Times New Roman" w:cs="Times New Roman"/>
                      <w:b w:val="0"/>
                      <w:bCs w:val="0"/>
                      <w:i w:val="0"/>
                      <w:iCs w:val="0"/>
                      <w:smallCaps w:val="0"/>
                      <w:color w:val="000000"/>
                      <w:szCs w:val="24"/>
                    </w:rPr>
                    <w:t xml:space="preserve"> – 12 месеца;</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Максимален размер на кредита</w:t>
                  </w:r>
                  <w:r>
                    <w:rPr>
                      <w:rFonts w:ascii="Times New Roman" w:eastAsia="Times New Roman" w:hAnsi="Times New Roman" w:cs="Times New Roman"/>
                      <w:b w:val="0"/>
                      <w:bCs w:val="0"/>
                      <w:i w:val="0"/>
                      <w:iCs w:val="0"/>
                      <w:smallCaps w:val="0"/>
                      <w:color w:val="000000"/>
                      <w:szCs w:val="24"/>
                    </w:rPr>
                    <w:t>:</w:t>
                  </w:r>
                </w:p>
                <w:p>
                  <w:pPr>
                    <w:numPr>
                      <w:ilvl w:val="0"/>
                      <w:numId w:val="123"/>
                    </w:numPr>
                    <w:spacing w:before="240" w:after="0"/>
                    <w:ind w:left="720" w:hanging="21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 2 млн. лв. за инвестиционни кредити;</w:t>
                  </w:r>
                </w:p>
                <w:p>
                  <w:pPr>
                    <w:numPr>
                      <w:ilvl w:val="0"/>
                      <w:numId w:val="123"/>
                    </w:numPr>
                    <w:spacing w:before="0" w:after="240"/>
                    <w:ind w:left="720" w:hanging="21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за оборотни кредити: до 200 000 EUR или до 30 % от общия размер на допустимите разходи за инвестицията. Подобни допустими разходи за оборотни средства не могат да надхвърлят  по-високото от двета посочени пределни нива.</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Срок на усвояване: </w:t>
                  </w:r>
                  <w:r>
                    <w:rPr>
                      <w:rFonts w:ascii="Times New Roman" w:eastAsia="Times New Roman" w:hAnsi="Times New Roman" w:cs="Times New Roman"/>
                      <w:b w:val="0"/>
                      <w:bCs w:val="0"/>
                      <w:i w:val="0"/>
                      <w:iCs w:val="0"/>
                      <w:smallCaps w:val="0"/>
                      <w:color w:val="000000"/>
                      <w:szCs w:val="24"/>
                    </w:rPr>
                    <w:t>Периодът на предоставяне на подкрепа от финансовия инструмент се определя по начин, който да гарантира, че приносът на програмата, се използва за заеми, изплащани на крайните получатели не по-късно от 31 декември 2023 г.</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Лихва: </w:t>
                  </w:r>
                  <w:r>
                    <w:rPr>
                      <w:rFonts w:ascii="Times New Roman" w:eastAsia="Times New Roman" w:hAnsi="Times New Roman" w:cs="Times New Roman"/>
                      <w:b w:val="0"/>
                      <w:bCs w:val="0"/>
                      <w:i w:val="0"/>
                      <w:iCs w:val="0"/>
                      <w:smallCaps w:val="0"/>
                      <w:color w:val="000000"/>
                      <w:szCs w:val="24"/>
                    </w:rPr>
                    <w:t>0% лихва за частта, финансирана с ресурс по ПРСР 2014-2020 и пазарни лихвени нива за частта от кредита, финансирана с ресурс от съфинансирането осигурено от финансовите посредници, определена в съответствие с ценовата политика на Финансовия посредник. </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Лихвеният процент по общия размер на кредита представлява средно-претеглената стойност от:</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лихвения процент по Финансирането от ПРСР – 0 % и</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лихвения процент по Съфинансирането.</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Валута:</w:t>
                  </w:r>
                  <w:r>
                    <w:rPr>
                      <w:rFonts w:ascii="Times New Roman" w:eastAsia="Times New Roman" w:hAnsi="Times New Roman" w:cs="Times New Roman"/>
                      <w:b w:val="0"/>
                      <w:bCs w:val="0"/>
                      <w:i w:val="0"/>
                      <w:iCs w:val="0"/>
                      <w:smallCaps w:val="0"/>
                      <w:color w:val="000000"/>
                      <w:szCs w:val="24"/>
                    </w:rPr>
                    <w:t xml:space="preserve"> евро или лева.</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Такси и комисиони:</w:t>
                  </w:r>
                  <w:r>
                    <w:rPr>
                      <w:rFonts w:ascii="Times New Roman" w:eastAsia="Times New Roman" w:hAnsi="Times New Roman" w:cs="Times New Roman"/>
                      <w:b w:val="0"/>
                      <w:bCs w:val="0"/>
                      <w:i w:val="0"/>
                      <w:iCs w:val="0"/>
                      <w:smallCaps w:val="0"/>
                      <w:color w:val="000000"/>
                      <w:szCs w:val="24"/>
                    </w:rPr>
                    <w:t xml:space="preserve"> Финансовия посредник трябва да намали прилаганите от него стандартни лихви, такси, комисионни и други разходи пропорционално на неговото участие в заемите.</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Револвиращи кредити не са допустими</w:t>
                  </w:r>
                  <w:r>
                    <w:rPr>
                      <w:rFonts w:ascii="Times New Roman" w:eastAsia="Times New Roman" w:hAnsi="Times New Roman" w:cs="Times New Roman"/>
                      <w:b w:val="0"/>
                      <w:bCs w:val="0"/>
                      <w:i w:val="0"/>
                      <w:iCs w:val="0"/>
                      <w:smallCaps w:val="0"/>
                      <w:color w:val="000000"/>
                      <w:szCs w:val="24"/>
                    </w:rPr>
                    <w:t>.</w:t>
                  </w:r>
                </w:p>
              </w:tc>
            </w:tr>
            <w:tr>
              <w:tblPrEx>
                <w:tblW w:w="9970" w:type="dxa"/>
                <w:tblInd w:w="70" w:type="dxa"/>
                <w:tblCellMar>
                  <w:top w:w="15" w:type="dxa"/>
                  <w:left w:w="15" w:type="dxa"/>
                  <w:bottom w:w="15" w:type="dxa"/>
                  <w:right w:w="15" w:type="dxa"/>
                </w:tblCellMar>
                <w:tblLook w:val="05E0"/>
              </w:tblPrEx>
              <w:trPr>
                <w:trHeight w:val="155"/>
              </w:trPr>
              <w:tc>
                <w:tcPr>
                  <w:tcW w:w="26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Бюджет (вкл. ЕЗФРСР и национално съфинансиране)</w:t>
                  </w:r>
                </w:p>
              </w:tc>
              <w:tc>
                <w:tcPr>
                  <w:tcW w:w="7510" w:type="dxa"/>
                  <w:noWrap w:val="0"/>
                  <w:tcMar>
                    <w:top w:w="20" w:type="dxa"/>
                    <w:left w:w="20" w:type="dxa"/>
                    <w:bottom w:w="20" w:type="dxa"/>
                    <w:right w:w="20"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20 млн. евро</w:t>
                  </w:r>
                </w:p>
              </w:tc>
            </w:tr>
            <w:tr>
              <w:tblPrEx>
                <w:tblW w:w="9970" w:type="dxa"/>
                <w:tblInd w:w="70" w:type="dxa"/>
                <w:tblCellMar>
                  <w:top w:w="15" w:type="dxa"/>
                  <w:left w:w="15" w:type="dxa"/>
                  <w:bottom w:w="15" w:type="dxa"/>
                  <w:right w:w="15" w:type="dxa"/>
                </w:tblCellMar>
                <w:tblLook w:val="05E0"/>
              </w:tblPrEx>
              <w:trPr>
                <w:trHeight w:val="285"/>
              </w:trPr>
              <w:tc>
                <w:tcPr>
                  <w:tcW w:w="26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Очакван ефект на лоста</w:t>
                  </w:r>
                </w:p>
              </w:tc>
              <w:tc>
                <w:tcPr>
                  <w:tcW w:w="751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 предложения ФИ всяко евро публични средства, ще активира между 2,2 евро (заеми за съфинансиране) и 1,6 евро (самостоятелни заеми) кредити.</w:t>
                  </w:r>
                </w:p>
              </w:tc>
            </w:tr>
            <w:tr>
              <w:tblPrEx>
                <w:tblW w:w="9970" w:type="dxa"/>
                <w:tblInd w:w="70" w:type="dxa"/>
                <w:tblCellMar>
                  <w:top w:w="15" w:type="dxa"/>
                  <w:left w:w="15" w:type="dxa"/>
                  <w:bottom w:w="15" w:type="dxa"/>
                  <w:right w:w="15" w:type="dxa"/>
                </w:tblCellMar>
                <w:tblLook w:val="05E0"/>
              </w:tblPrEx>
              <w:trPr>
                <w:trHeight w:val="510"/>
              </w:trPr>
              <w:tc>
                <w:tcPr>
                  <w:tcW w:w="26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Очакван общ ресурс на финансовия продукт (вкл. ефект на лоста)</w:t>
                  </w:r>
                </w:p>
              </w:tc>
              <w:tc>
                <w:tcPr>
                  <w:tcW w:w="751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31.43 млн. евро</w:t>
                  </w:r>
                </w:p>
              </w:tc>
            </w:tr>
            <w:tr>
              <w:tblPrEx>
                <w:tblW w:w="9970" w:type="dxa"/>
                <w:tblInd w:w="70" w:type="dxa"/>
                <w:tblCellMar>
                  <w:top w:w="15" w:type="dxa"/>
                  <w:left w:w="15" w:type="dxa"/>
                  <w:bottom w:w="15" w:type="dxa"/>
                  <w:right w:w="15" w:type="dxa"/>
                </w:tblCellMar>
                <w:tblLook w:val="05E0"/>
              </w:tblPrEx>
              <w:trPr>
                <w:trHeight w:val="510"/>
              </w:trPr>
              <w:tc>
                <w:tcPr>
                  <w:tcW w:w="26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Реинвестиране/рециклиране</w:t>
                  </w:r>
                </w:p>
              </w:tc>
              <w:tc>
                <w:tcPr>
                  <w:tcW w:w="7510" w:type="dxa"/>
                  <w:noWrap w:val="0"/>
                  <w:tcMar>
                    <w:top w:w="20" w:type="dxa"/>
                    <w:left w:w="20" w:type="dxa"/>
                    <w:bottom w:w="20" w:type="dxa"/>
                    <w:right w:w="20" w:type="dxa"/>
                  </w:tcMar>
                  <w:vAlign w:val="top"/>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Възможност за реинвестиране на възстановени средства от крайни получатели на кредити от ФИ по ПРСР 2014-2020 за най-малко осем години след периода на допустимост;</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Очакван брой предприятия – </w:t>
            </w:r>
            <w:r>
              <w:rPr>
                <w:rFonts w:ascii="Times New Roman" w:eastAsia="Times New Roman" w:hAnsi="Times New Roman" w:cs="Times New Roman"/>
                <w:i/>
                <w:iCs/>
                <w:szCs w:val="24"/>
              </w:rPr>
              <w:t>130</w:t>
            </w:r>
            <w:r>
              <w:rPr>
                <w:rFonts w:ascii="Times New Roman" w:eastAsia="Times New Roman" w:hAnsi="Times New Roman" w:cs="Times New Roman"/>
                <w:i/>
                <w:iCs/>
                <w:szCs w:val="24"/>
              </w:rPr>
              <w:t>, основно през първите две години.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предложените финансови продукти съфинансирането от страна на посредника е в размер на 30% при самостоятелните кредити и 50% - при заемите със съфинансиране в комбинация с БФП от ПРСР 2014-2020. Съфинансирането ще се предоставя при спазване на принципа pari passu при инвестирането на частно съфинансиране и средства от ПРСР 2014-2020 за допустими крайни получатели. На ниво крайни получатели по-високият процент на финансиране за самостоятелни заеми цели да направи инструмента по-атрактивен и да осигури по-голяма подкрепа за предприятия, които не ползват безвъзмездно финансиране по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Калкулирането на помощта е в зависимост от подпомаганата дейност – земеделска или неземеделска</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При кредити за съфинансиране на проекти в комбинирано финансиране с БФП, калкулираната чрез натрупване БФП по проекта и подкрепата от финансовия инструмент следва да да не надвишат максималните прагове на помощта, съгласно Анекс II на регламент 1305/2013, приложими за съответната подмярка. . При неземеделски дейности помощта се отчита и калкулира при спазване на правилата de minimis.</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Финансирането може да бъде предоставено от страна на избраните финансови посредници, изразяващо се в инвестиране на частно съфинансиране за допустими крайни получатели, в допълнение към ресурса на ПРСР 2014-2020. В този случай се предвижда прилагане на ФИ в сектора чрез избор на един или повече финансови посредници с необходимия капацитет за прилагане на кредитен финансов продукт. Финансовият посредник ще предоставя заеми на допустими крайни получатели, при спазване на условията на ПРСР 2014-2020 за финансовия инструмент и приложимите правила на правото на ЕС и националното законодателство.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ФМФИБ е отговорен за избора на финансов посредник и последващия мониторинг на неговата дейност. ФМФИБ може да осъществи избор на финансов посредник чрез открита, прозрачна, пропорционална и недискриминационна процедура, като се избягват конфликти на интереси, в съответствие с чл. 38 (5) от Регламент (ЕС) №1303/2013 и чл.6 и чл.7 от Делегиран регламент (ЕС) №480/2014 или директно да повери управлението на ФИ на международна финансова институция (МФИ) или на друга институция, която покрива изискванията на чл. 38 (4) (b) (iii) от Регламент (ЕС)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ФМФИБ като доверен фонд на фондовете съгласно член 38, параграф 4, буква б), iii) от Регламент (ЕС) № 1303/2013 е отговорен за избора на финансов посредник и последващия мониторинг на неговите дейности. MFIB може да да извърши избора на финансов посредник чрез открита, прозрачна, пропорционална и недискриминационна процедура, избягвайки конфликт на интереси, в съответствие с член 38, параграф 5 от Регламент (ЕС) № 1303/2013 и членове 6 и 7 от Делегираните Регламент (ЕС) № 480/2014, както и при спазване на условията, описани за публичните органи в Известие на Комисията 2016 / C 276/01 (</w:t>
            </w:r>
            <w:r>
              <w:rPr>
                <w:rFonts w:ascii="Times New Roman" w:eastAsia="Times New Roman" w:hAnsi="Times New Roman" w:cs="Times New Roman"/>
                <w:i/>
                <w:iCs/>
                <w:szCs w:val="24"/>
              </w:rPr>
              <w:t>Ръководство за държавите-членки относно подбора на органи, прилагащи финансови инструменти</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Точните договорености между ФМФИБ и финансовия посредник се регламентират в Оперативно споразумение, в това число правата и отговорностите на страните. Финансовият посредник ще бъде отговорен за прилагането на ФИ,  като ще предоставя заеми за допустими дейности по ПРСР 2014 – 2020 г. Проверката на инвестициите относно тяхната финансова жизнеспособност и съответствието им с целите на ПРСР и правилата за допустимост на съответната мярка по програмата, както и крайното решение за това, дали дадена инвестиция да бъде финансирана чрез ФИ, ще бъде отговорност на финансовия посредник.</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Контрол и мониторингна финансовия инструмент</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Мениджърът на фонда ще осъществява мониторинг на изпълнението на финансовия инструмент и на оперативните споразумения с финансовите посредници. Информацията, събрана в процеса на проверки и мониторинг, включително констатации, препоръки и проведени/планирани мерки за намаляване на риска следва да бъдат адекватно отразени в доклад за напредъка, подаден от Мениджъра на фонда пред УО.</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Извършваният от Мениджъра на фонда мониторинг по отношение на финансовите посредници следва да включва следното:</w:t>
            </w:r>
          </w:p>
          <w:p>
            <w:pPr>
              <w:numPr>
                <w:ilvl w:val="0"/>
                <w:numId w:val="12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Мониторинг на съответствието на финансовите посредници с приложимото право на ЕС, националното законодателство, Програмата и съответното оперативно споразумение, както по време на процедурата по оценка и подбор, така и по време на изпълнението на финансови инструменти;</w:t>
            </w:r>
          </w:p>
          <w:p>
            <w:pPr>
              <w:numPr>
                <w:ilvl w:val="0"/>
                <w:numId w:val="1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 на разпоредби в оперативните споразумения относно одитни изисквания и одитна следа, в съответствие с т. 1 (д) от Приложение IV на Регламент 1303/2013 и приложимите делегирани регламенти ;</w:t>
            </w:r>
          </w:p>
          <w:p>
            <w:pPr>
              <w:numPr>
                <w:ilvl w:val="0"/>
                <w:numId w:val="12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Наличие на адекватна одитна следа за целите на отчетността и одита, в съответствие с релевантните разпоредби на РОПР и приложимите делегирани актове и актове за изпълнение;</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Мениджърът на фонда следва да осигури, че оперативните споразумения с финансовите посредници предвиждат поемането на задължения или предоставянето на декларации и гаранции от финансовите посредници, в смисъл че:</w:t>
            </w:r>
          </w:p>
          <w:p>
            <w:pPr>
              <w:numPr>
                <w:ilvl w:val="2"/>
                <w:numId w:val="125"/>
              </w:numPr>
              <w:spacing w:before="240" w:after="0"/>
              <w:ind w:left="216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Финансовите посредници следва да бъдат задължени в съответствие с вътрешните им правила и процедури, които се представят на Мениджъра на фонда, да извършат мониторингови проверки на ниво крайни получатели. Задължителни проверки на ниво крайни получатели се извършват при съмнения за поведение включващо измама.</w:t>
            </w:r>
          </w:p>
          <w:p>
            <w:pPr>
              <w:numPr>
                <w:ilvl w:val="2"/>
                <w:numId w:val="125"/>
              </w:numPr>
              <w:spacing w:before="0" w:after="240"/>
              <w:ind w:left="216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Разпоредби относно възможността Мениджърът на фонда да събира информация от финансовите посредници за осъществяване на мониторинг на операциите и докладването към УО, включително събирането на съответната иnформация от крайните получатели на подкрепа по финансовите инструменти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Мениджърът на фонда, финансовите посредници и крайните получатели следва да дадат съгласието си, чрез съответните договорни споразумения, при тях да бъдат извършвани проверки на място или да бъде одитирани от или от името на: УО, Държавен фонд „Земеделие” – Разплащателна агенция по ПРСР 2014-2020 г., Сертифициращия орган, Европейската комисия, националните одитни органи и Европейската сметна палата и да им предоставят цялата необходима информация. Органите, отговорни за одита, могат да провеждат одити на ниво крайни получатели само в случаите, описани в член 40, параграф 3 от R.1303 / 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Съществуващият риск от двойно финансиране с безвъзмездни средства и подпомагане чрез финансови инструменти ще се контролира чрез установяване на система за обмен на информация и мониторинг между ФМФИМ, УО на ПРСР и Разплащателна агенция. Системата ще включва подробни справки за предоставеното финансиране и помощта (брутен еквивален на безвъзмездната помощ) към крайни получатели с цел избягване на последващо двойно финансиране с безвъзмездни средства или надвишаване на максималнния интезитет на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Подробни правилата за контрол и мониторинг на прилагането на ФИ ще бъдат разписани в Споразумение за финансиране с фонд мениджъра, което спазва всички изисквания, посочени в приложение IV към Финансовите инструменти от Регламент 1303/2013 и Делегиран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Лостов ефект на заемния продукт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Лостовият  ефект, който ще се постигне е съобразен с очакваните нива на лостов ефект, идентифицирани в предварителната оценка за изпълнение на ФИ по ПРСР 2014-2020. Стойностите на ефекта на лоста са изчислени, съобразно механизма посочен в Насоките на ЕК (EGESIF_16_0008-02 19/03/2019) по чл.46 за отчитането на финансовите инструменти и във връзка с чл.37 (2), б. „в“, лостов ефект. В тази  връзка следва да се има предвид, че представените стойности на ефект на лоста и средства, които ще бъдат предоставени на крайни получатели са индикативни и могат да претърпят промени в зависимост от размера на средствата разходвани за такси и разходи за управление. Всички изчисления на очакваните нива на лостовия ефектса извършени на базата на методологията, посочена в Насоките на ЕК, вземайки предвид общият размер на очакваното финансиране на допустими КП под формата на заеми, мобилизирани от финансовия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 от ПРСР, чрез които финансовият инструмент ще предоставя подпомагане:</w:t>
            </w:r>
          </w:p>
          <w:p>
            <w:pPr>
              <w:numPr>
                <w:ilvl w:val="0"/>
                <w:numId w:val="12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4.1. „Инвестиции в земеделски стопанства“</w:t>
            </w:r>
          </w:p>
          <w:p>
            <w:pPr>
              <w:numPr>
                <w:ilvl w:val="0"/>
                <w:numId w:val="1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4.2. „Инвестиции в преработка/маркетинг на земеделски продукти“</w:t>
            </w:r>
          </w:p>
          <w:p>
            <w:pPr>
              <w:numPr>
                <w:ilvl w:val="0"/>
                <w:numId w:val="1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6.4 „ Инвестиции в създаване и развитие на неземеделски дейности“</w:t>
            </w:r>
          </w:p>
          <w:p>
            <w:pPr>
              <w:numPr>
                <w:ilvl w:val="0"/>
                <w:numId w:val="1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Тематична подпрограма чрез подмерка 4.1.2, подмярка 4.2.2 и подмярка 6.4.2</w:t>
            </w:r>
          </w:p>
          <w:p>
            <w:pPr>
              <w:numPr>
                <w:ilvl w:val="0"/>
                <w:numId w:val="12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19.2. Прилагане на операции в рамките на стратегии за водено от общностите местно развитие,  за проекти, получили безвъзмездна помощ, които отговарят на целите на гореизброените инвестиционни мерки.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Индексация на разходите по вече изпълнени и/или предстоящи за изпълнение дейности, за които няма настъпило окончателно плащане от страна на ДФ „Земеделие“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От началото на 2021 г. се намираме в ситуация на прогресираща инфлация в цените на производител в целия промишлен комплекс. Към 31.12.2021 г. общият индекс на цените на производител в промишлеността (Евростат код B_TO_E36) бележи ръст от 33.7 пункта спрямо стойностите към 31.12.2020 г. (от 109.4 на 143.1), което свидетелства за инфлация от 30.78 %. В средногодишен план инфлацията в промишлеността през 2021 г. спрямо 2020 г. е 16.36 %.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Прогресиращата промишлена инфлация през 2021 г. е в световен мащаб, и е обусловено от резкия дисбаланс между търсене и предлагане на основни промишлени суровини и стоки (метали, дървесина, петрол и рафинирани нефтопродукти, природен газ и енергийни суровини) в периода на възстановяване на световната икономика от последствията на глобалната пандемия от COVID-SARS-2. В началото на 2022 г. инфлационните процеси се катализират и вследствие на нарушените канали за доставки във връзка с военния конфликт между Руската федерация и Украйна. Гореописаните процеси доведоха и до рязък скок в цените на редица основни строителни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Показателите на индекса на цени на производител на вътрешния пазар на строителни материали демонстрират, че в периода 2020 – 2021 г. годишната инфлация в производствените цени на строителните продукти варира в границата между 1 % и 2 %. Считано от началото на 2021 г. се наблюдава рязко възходящ инфлационен процес, особено отчетлив през второто полугодие, като към края на годината изменението на показателя е с 20.1 пункта спрямо края на предходната година, свидетелстващо за инфлация от 20.15 %. В средногодишен план инфлацията в цените на строителните материали на вътрешния пазар през 2021 г. спрямо 2020 г. е 11.65 %.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Гореописаните обстоятелства наложиха предприемането на методически и регулаторни мерки за преодоляване на последиците от прогресивната инфлация в цените на строителната продукция, доставки и услуги с оглед обезпечаване изпълнението и завършването на възложените строително-монтажни работи.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ПРСР предвижда да анализира подкрепата на инфлационния риск чрез обективна и справедлива индексация на стойността на изпълнени и предстоящи за изпълнение дейности, чрез преценка на нуждата от индексиране на ниво бенефициент, чрез използване на методика за индексиране на разходите, за които се предоставя подпомагане по ПРСР.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За определяне на максимален процент на индексация за проекти с вече одобрени за подпомагане разходи по ПРСР ще бъде извършвана съпоставка по отношение на наличните остатъчни средства от прилаганите мерки и подмерки по ПРСР за периода 2014-2020, спрямо общия размер на ангажирания бюджет по сключени договор за предоставяне на безвъзмездна финансова помощ, по които не са разплатени средства от страна на Разплащателна агенция.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С определянето и прилагане на максимален процент за индексация, ще бъде осигурена равнопоставеност за всички бенефициенти в затруднено положение по отношение изпълнението на одобрените за подпомагане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Чрез използването на утвърдена методика за индексиране на разходите, ще се гарантира индивидуално изчислен за всеки проект процент на индексация, съобразно вида на одобрените разходи, периодът на тяхното извършване и др. показатели.</w:t>
            </w:r>
          </w:p>
          <w:p>
            <w:pPr>
              <w:spacing w:before="240" w:after="240"/>
              <w:ind w:left="357"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pStyle w:val="Heading2"/>
      </w:pPr>
      <w:bookmarkStart w:id="117" w:name="_Toc256000117"/>
      <w:r>
        <w:t>Описание по мярка</w:t>
      </w:r>
      <w:bookmarkEnd w:id="117"/>
    </w:p>
    <w:p>
      <w:pPr>
        <w:pStyle w:val="Heading3"/>
        <w:jc w:val="left"/>
        <w:rPr>
          <w:b w:val="0"/>
        </w:rPr>
      </w:pPr>
      <w:bookmarkStart w:id="118" w:name="_Toc256000118"/>
      <w:r>
        <w:rPr>
          <w:b w:val="0"/>
        </w:rPr>
        <w:t>М01 — Трансфер на знания и действия за осведомяване (член 14)</w:t>
      </w:r>
      <w:bookmarkEnd w:id="118"/>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14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(EО) №1698/2005 на Съвета; чл. 6 от Регламент за изпълнение (EC) №808/2014 на Комисията от 17 юли 2014 г. за определяне на правила за прилагането на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обучение в областта на земеделието и горите за лица, ангажирани в сектора на селското стопанство и горското стопанство. Подпомагането обхваща дейности за професионално обучение и придобиване на умения, които ще включват курсове за обучение, семинари, демонстрационни дейности и посещения на земеделски стопанства за краткосрочен обмен на опит. Подпомагането по мярката не включва курсове за инструктиране или обучение, които са част от стандартни програми или системи за обучение за средни или висши училища. В изпълнение на стратегията мярката допринася за постигане на цел 1 и цел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се прилага със следните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Професионално обучение и придобиване на умения;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Демонстрационни дейности и действия по осведомяване;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Краткосрочен обмен на опит в управлението на земеделски и горски стопанства и посещения на земеделски и горски стопанства</w:t>
            </w:r>
            <w:r>
              <w:rPr>
                <w:rFonts w:ascii="Times New Roman" w:eastAsia="Times New Roman" w:hAnsi="Times New Roman" w:cs="Times New Roman"/>
                <w:b/>
                <w:bCs/>
                <w:i/>
                <w:iCs/>
                <w:szCs w:val="24"/>
              </w:rPr>
              <w:t xml:space="preserve">.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Мярката допринася основно към реализирането на </w:t>
            </w:r>
            <w:r>
              <w:rPr>
                <w:rFonts w:ascii="Times New Roman" w:eastAsia="Times New Roman" w:hAnsi="Times New Roman" w:cs="Times New Roman"/>
                <w:b/>
                <w:bCs/>
                <w:szCs w:val="24"/>
              </w:rPr>
              <w:t>приоритетни области 1А, 1Б и1В.</w:t>
            </w:r>
            <w:r>
              <w:rPr>
                <w:rFonts w:ascii="Times New Roman" w:eastAsia="Times New Roman" w:hAnsi="Times New Roman" w:cs="Times New Roman"/>
                <w:szCs w:val="24"/>
              </w:rPr>
              <w:t xml:space="preserve"> На основата на определените нужди мярката допринася чрез съответните подмерки и дейности за приоритетни области 2А, 2Б, 3А, 3Б, 4А, 4Б, 4В, 5А, 5Б, 5В, 5Г, 5Д.</w:t>
            </w:r>
            <w:r>
              <w:rPr>
                <w:rFonts w:ascii="Times New Roman" w:eastAsia="Times New Roman" w:hAnsi="Times New Roman" w:cs="Times New Roman"/>
                <w:b/>
                <w:bCs/>
                <w:szCs w:val="24"/>
              </w:rPr>
              <w:t xml:space="preserve"> чрез предвидените дейности по подмерки по приоритетни области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2А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за обучение с продължителност 30 часа, курсове за обучение с продължителност 150 часа и специализирани курсове с продължителност 100 часа за придобиване на правоспособност за работа със земеделска и горска техника; чрез </w:t>
            </w:r>
            <w:r>
              <w:rPr>
                <w:rFonts w:ascii="Times New Roman" w:eastAsia="Times New Roman" w:hAnsi="Times New Roman" w:cs="Times New Roman"/>
                <w:b/>
                <w:bCs/>
                <w:szCs w:val="24"/>
              </w:rPr>
              <w:t xml:space="preserve">подмярка 1.2. </w:t>
            </w:r>
            <w:r>
              <w:rPr>
                <w:rFonts w:ascii="Times New Roman" w:eastAsia="Times New Roman" w:hAnsi="Times New Roman" w:cs="Times New Roman"/>
                <w:szCs w:val="24"/>
              </w:rPr>
              <w:t xml:space="preserve">с демонстрационни дейности </w:t>
            </w:r>
            <w:r>
              <w:rPr>
                <w:rFonts w:ascii="Times New Roman" w:eastAsia="Times New Roman" w:hAnsi="Times New Roman" w:cs="Times New Roman"/>
                <w:i/>
                <w:iCs/>
                <w:szCs w:val="24"/>
              </w:rPr>
              <w:t>с приоритет на темите за въвеждане на иновации в производствените практики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2Б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за обучение с продължителност 150 часа и специализирани курсове с продължителност 100 часа за придобиване на правоспособност за работа със земеделска и горска техника.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3А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8 или 18 часа за обучение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къси вериги на доставки и създаване на групи и организации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 3Б</w:t>
            </w:r>
            <w:r>
              <w:rPr>
                <w:rFonts w:ascii="Times New Roman" w:eastAsia="Times New Roman" w:hAnsi="Times New Roman" w:cs="Times New Roman"/>
                <w:szCs w:val="24"/>
              </w:rPr>
              <w:t xml:space="preserve"> –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с продължителност 30 часа и семинари с продължителност 8 или 18 часа за обучение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основни рискове в земеделието, методите за превенция</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 xml:space="preserve">и за управление на риска;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 4А</w:t>
            </w:r>
            <w:r>
              <w:rPr>
                <w:rFonts w:ascii="Times New Roman" w:eastAsia="Times New Roman" w:hAnsi="Times New Roman" w:cs="Times New Roman"/>
                <w:szCs w:val="24"/>
              </w:rPr>
              <w:t xml:space="preserve"> -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18 часа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опазване и укрепване на биологичното разнообразие, включително екологични изисквания на видовете и  местообитанията, зависещи от земеделски и горскостопански практики, разумно ползване на природните ресурси, принципи на управление на Натура 2000,  земеделие с висока природна стойност</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обмяна на опит при биологичното земеделие</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 4Б</w:t>
            </w:r>
            <w:r>
              <w:rPr>
                <w:rFonts w:ascii="Times New Roman" w:eastAsia="Times New Roman" w:hAnsi="Times New Roman" w:cs="Times New Roman"/>
                <w:szCs w:val="24"/>
              </w:rPr>
              <w:t xml:space="preserve"> -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18 часа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 xml:space="preserve">с Рамковата директива за водите, опазване на водите от замърсяване от разлив на препарати за растителна защита и горива, опазване на водите от замърсяване с опасни вещества при гасене на горски пожари; </w:t>
            </w:r>
            <w:r>
              <w:rPr>
                <w:rFonts w:ascii="Times New Roman" w:eastAsia="Times New Roman" w:hAnsi="Times New Roman" w:cs="Times New Roman"/>
                <w:szCs w:val="24"/>
              </w:rPr>
              <w:t xml:space="preserve">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представяне на</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добри практики или изградени съоръжения по подобряване управлението на водите, включително управлението на торовете и пестицидите</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4В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с продължителност 30 часа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фактори на почвената ерозия и методи за предотвратяване;</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представяне на противоерозионни практики, съобразно с почвените условия и отглежданите култури, подходяща земеделска техника за прилагане на противоерозионни практики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5А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за обучение с продължителност 30 часа, курсове за обучение от 150 часа, семинари с продължителност 18 часа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изисквания на европейското и национално законодателство при потреблението на вода в селското стопанство, водостопански изследвания в хидромелиорациите, водомерни съоръжения</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 xml:space="preserve">представяне на водоспестяващи и енергоспестяващи поливни техники и технологии, методи за намаляване на загубите на вода; </w:t>
            </w:r>
            <w:r>
              <w:rPr>
                <w:rFonts w:ascii="Times New Roman" w:eastAsia="Times New Roman" w:hAnsi="Times New Roman" w:cs="Times New Roman"/>
                <w:szCs w:val="24"/>
              </w:rPr>
              <w:t xml:space="preserve">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обмяна на опит при използване на поливна техника и технологии с нисък разход на вода</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 5Б</w:t>
            </w:r>
            <w:r>
              <w:rPr>
                <w:rFonts w:ascii="Times New Roman" w:eastAsia="Times New Roman" w:hAnsi="Times New Roman" w:cs="Times New Roman"/>
                <w:szCs w:val="24"/>
              </w:rPr>
              <w:t xml:space="preserve"> -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8 или 18 часа и 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представяне на енергоефективни техники и технологии на производство и методи за намаляване на разходите на енергия в селското стопанство</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обмяна на опит при използване на енергоефективна земеделска техника и технологии за обработка на почвата и за прибиране на реколтата</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5В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8 или 18 часа и  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използването на странични продукти, отпадъци и остатъци и други нехранителни суровини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5Г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8 или 18 часа и 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представяне на технологии и специализирана техника за обработване на почвата/стърнищата с цел запазване на хумуса; управление на деградиралите земеделски земи чрез биологична рекултивация с характерни за района тревни видове</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обмяна на опит при технологии, техники и съоръжения за подобряване на съхранението и прилагането на оборски тор и въвеждане на нисковъглеродни практики за преработка на оборски тор, например компостиране, преработка в биогаз в анаеробни условия</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5Д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за обучение с продължителност 30 часа, курсове за обучение от 150 часа, семинари с продължителност 8 или 18 часа в областта на горското стопанство и специализирани курсове с продължителност 100 часа за придобиване на правоспособност за работа със земеделски и горска техника; чрез </w:t>
            </w:r>
            <w:r>
              <w:rPr>
                <w:rFonts w:ascii="Times New Roman" w:eastAsia="Times New Roman" w:hAnsi="Times New Roman" w:cs="Times New Roman"/>
                <w:b/>
                <w:bCs/>
                <w:szCs w:val="24"/>
              </w:rPr>
              <w:t>подмярка 1.2. и подмярка 1.3</w:t>
            </w:r>
            <w:r>
              <w:rPr>
                <w:rFonts w:ascii="Times New Roman" w:eastAsia="Times New Roman" w:hAnsi="Times New Roman" w:cs="Times New Roman"/>
                <w:szCs w:val="24"/>
              </w:rPr>
              <w:t xml:space="preserve"> с демонстрационни дейности или обмяна на опит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представяне на технологии и техники в горското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за трите пресечни цели (околна среда, климат и иновации) чрез следните подходи: В курсовете ще се предвиди задължителен брой часове по пресечните цели. В семинарите, демонстрационните дейности и дейностите посещения на стопанствата ще се приоритизират теми, които попадат в обхвата на пресечните цели и са конкректизирани по приоритетни области. Приоритизирането е конкретизирано по подмерки.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Целта на мярката </w:t>
            </w:r>
            <w:r>
              <w:rPr>
                <w:rFonts w:ascii="Times New Roman" w:eastAsia="Times New Roman" w:hAnsi="Times New Roman" w:cs="Times New Roman"/>
                <w:szCs w:val="24"/>
              </w:rPr>
              <w:t>е повишаване на знанията и подобряване на уменията на земеделските и горските стопани и на заетите лица в техните стопанства чрез постигане на подходящо ниво на техническо и икономическо обучение и увеличаване на капацитета за достъп и обмен на знания и информация в областта на селското и горското стопанство, като с придобитите знания и умения земеделските стопани и горските стопани ще могат да повишат своята конкурентоспособност и ресурсна ефективност, да подобрят екологичните показатели на стопанствата си, като същевременно допринасят за устойчивата икономика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постигане на целта на мярката се планира да се повишат знанията и да се подобрят уменията на общо 4 800 земеделски и горски стопани и на заетите лица в техните стопанства, като: 2000 от тях следва да бъдат малки земеделски стопани, 1000 – млади земеделски стопани и 1000 – земеделски и горски стопани, изпълняващи дейности, свързани с хоризонталните цели за околна среда и климат.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В курсовете по 2А се предоставя приоритет</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за включване в обучението на малките земеделски стопани, съгласно определението в програмата. В курсовете по 2Б се предоставя приоритет</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за включване в обучението на младите земеделски стопани, съгласно определението в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1.1. Професионално обучение и придобиване на умения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27"/>
              </w:numPr>
              <w:rPr>
                <w:b w:val="0"/>
              </w:rPr>
            </w:pPr>
            <w:r>
              <w:rPr>
                <w:b w:val="0"/>
              </w:rPr>
              <w:t xml:space="preserve">1.1 — подкрепа за дейности за професионално обучение и придобиване на умения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допринася към следните приоритетни области: 1А; 1Б; 1В; 2А; 2Б; 3А; 3Б; 4А; 4В; 5А; 5Б; 5В; 5Г;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 организирането и провеждането на курсове за обучение и семинари в областта на селското стопанство и горското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Курсовете за обучение</w:t>
            </w:r>
            <w:r>
              <w:rPr>
                <w:rFonts w:ascii="Times New Roman" w:eastAsia="Times New Roman" w:hAnsi="Times New Roman" w:cs="Times New Roman"/>
                <w:szCs w:val="24"/>
              </w:rPr>
              <w:t xml:space="preserve"> са специални занятия с разработена учебна програма за постигане на конкретни цели на обучението за допустимите целеви групи. Курсовете могат да бъдат краткосрочни с продължителност 30 учебни часа, дългосрочни с продължителност 150 учебни часа и специализирани с продължителност 100 часа за придобиване на правоспособност за работа със земеделска и горска техника.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Професионалните гимназии и центровете за професионално обучение разработват  учебната програма  като учебна програма по част от професия от Списъка на професиите за професионално образование и обучение (ПОО) по всички професии от професионални направления 621 „Растениевъдство и животновъдство“, 623 „Горско стопанство”, 541 „Хранителни технологии“, 640 „Ветеринарна медицина“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Висшите училища разработват учебна програма в съответствие със Закона за висшето образование.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Учебната програма за специализираните курсове за придобиване на правоспособност за работа със земеделска и горска техника се разработва в съответствие с националното законодателство.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учебната програма на курсовете се предвижда задължително практическо обучение.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учебните програми на всички курсове в контекста на основната тема на курса  ще се включват задължително минимум 10 % от часовете по въпросите на смекчаване на последиците от изменението на климата и адаптиране към него, опазване на околната среда и  представяне на иновации. Ще се дава приоритет на курсове, в учебната програма на които е увеличен задължителният минимум часове по пресечните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Семинарите </w:t>
            </w:r>
            <w:r>
              <w:rPr>
                <w:rFonts w:ascii="Times New Roman" w:eastAsia="Times New Roman" w:hAnsi="Times New Roman" w:cs="Times New Roman"/>
                <w:szCs w:val="24"/>
              </w:rPr>
              <w:t>са тематични срещи, на които се разглеждат и обсъждат конкретни теми. В зависимост от съдържанието на програмата и предвидените теми, продължителността на семинарите може да бъде 8 учебни часа или 18 учебни часа. Ще се дава приоритет на семинари с продължителност 18 часа по теми, свързани с изпълнение на включените в мярка 10 и в мярка 11 дейности и приоритетни теми за подмярката, конкретизирани в обхвата на приоритетните области, съгласно раздел 8.2.1.2.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разходи се изплащат на бенефициента по подмярката. Безвъзмездната финансова помощ се предоставя под формата на стандартни разходи за всяка допустима дейност по подмярката както следва: за курс с продължителност 30 часа, за курс с продължителност 150 часа, за специализиран курс с продължителност 100 часа, за семинар 8 часа, за семинар 18 часа. </w:t>
            </w:r>
            <w:r>
              <w:rPr>
                <w:rFonts w:ascii="Times New Roman" w:eastAsia="Times New Roman" w:hAnsi="Times New Roman" w:cs="Times New Roman"/>
                <w:i/>
                <w:iCs/>
                <w:szCs w:val="24"/>
              </w:rPr>
              <w:t>При изплащане на финансовата помощ ще се извършва проверка за допустимост на лицата и на доказателствата за участие в съответната дейност.</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 националното законодателство в областта на висшето образование, професионалното образование и обучение, специални закони за научни организации – Закон за висшето образование, Закон за професионалното образование и обучение, Закон за Селскостопанската академия, Закон за българската академия на науките, Закон за горите. В областта на обучение на лицата, ангажирани в сектора на горското стопанство се предвижда съответствие с Регламент (ЕС) №702/2014 на Комисията от 25 юни 2014 г.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 на Европейския съюз и за отмяна на Регламент (ЕС)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подмярката са организациите, които предоставят трансфер на знания чрез курсове за обучение и семинари.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подпомагане за организиране на курсове и на семинари могат да кандидатстват висши училища, професионални гимназии, центрове за професионално обучение. Обучаващите организации трябва да имат право да провеждат обучение в областта на селското стопанство, ветеринарната медицина, горското стопанство, хранителните технологии , биотехнологиите, хидрология и климатология.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подпомагане за организиране само на семинари могат да кандидатстват научни институти или опитни станции в областта на селското стопанство или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по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курс 150 часа - 1 208,69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курс 100 часа - 815,51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курс 30 часа - 267,92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семинар 8 часа - 31,19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семинар 18 часа - 92,03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провеждане на курсове за обучение и за семинари – организациите трябва да отговарят на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висше училище, акредитирано по Закона за висшето образование и да имат актуални акредитации за обучение по минимум едно от професионалните направления „Растениевъдство“, „Растителна защита“, “Животновъдство“ „Ветеринарна медицина“, „Горско стопанство“, „Хранителни технологии“, „Биотехнологии“, „Науки за земята“. За конкретните курсове за обучение  да имат съответстващи акредитирани специалности;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професионална гимназия или център за професионално обучение по Закона за професионалното образование и обучение и да имат право да обучават по професии от професионални направления 621 „Растениевъдство и животновъдство“, 623„Горско стопанство”, 541 „Хранителни технологии“, 640 „Ветеринарна медицина“. За конкретните курсове за обучение по част от професия да имат право да обучават по специалности от съответната професия;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Специфично допълнително условие, в допълнение към предходните условия, за  организациите, които провеждат специализираните курсове за придобиване на правоспособност за работа със земеделска и горска техника: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имат валидно разрешително от Министъра на земеделието, храните и горите по Наредба №12 от 22 април 2009 г. за условията и реда за придобиване и отнемане на правоспособност за работа със земеделска и горска техника.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Специфично условие за научните институти или опитни станции в областта на селското стопанство или горите за организиране само на семинари: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трябва да са организации по Закона за Селскостопанската академия, Закона за Българската академия на науките, Закона за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всяка дейност – курс или семинар -  ще се извършват следните оценки,  с тежест на точките по низходящ ред: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учебната програма в съответствие с приоритетите посочени в раздел 8.2.1.2;</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специфичния професионален опит на лекторите, които провеждат обучението;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методите и формите на обучение (онагледяване, казуси или практическо обучение).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Общата оценка на един проект се оформя от средната оценка от всички включени в проекта дейности - курсове или семинари. Определя се минимален брой точки, който трябва да бъде постигнат за всеки курс или семинар за да бъде квалифициран за подкрепа. В случаите на проект само с една дейност,  полученият брой точки при оценката на тази дейност се прилага за класиране на проекта за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интензитет на помощта е 100%.</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2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Бенефициентите по подмярката получават безвъзмездна помощ, която се отпуска под формата на стандартни разходи и ще бъде създаден механизъм за извършване на контрол на съответствие на заявените разходи с допустимите;</w:t>
            </w:r>
          </w:p>
          <w:p>
            <w:pPr>
              <w:numPr>
                <w:ilvl w:val="0"/>
                <w:numId w:val="12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Административният контрол ще включва проверки за съответствие на заявените с допустимите стандартни разходи;</w:t>
            </w:r>
          </w:p>
          <w:p>
            <w:pPr>
              <w:numPr>
                <w:ilvl w:val="0"/>
                <w:numId w:val="12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Предвидени са проверки по време на изпълнение на дейностите, като в нормативната уредба ще бъде регламентирана честотата им;</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 При старта на програмите ще бъдат съставени междуведомствени работни групи, които да координират въпросите по демаркацията и допълняемостта между съответните програми във всички фази на проектния цикъл (избор на операции, програмиране, наблюдение и оценка на изпълнението);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Въвеждане на адекватно разграничаване на крайните ползватели с тези, обучени по мярка 111 от ПРСР 2007-2013, както и обучените по мярка 1 от ПРСР 2014-2020, включително чрез кръстосани проверки;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Предвидени са проверки по време на изпълнение на дейностите, като в нормативната уредба</w:t>
            </w:r>
            <w:r>
              <w:rPr>
                <w:rFonts w:ascii="Times New Roman" w:eastAsia="Times New Roman" w:hAnsi="Times New Roman" w:cs="Times New Roman"/>
                <w:szCs w:val="24"/>
                <w:u w:val="single"/>
              </w:rPr>
              <w:t xml:space="preserve"> 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ще бъде регламентирана честотата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стойността на  всеки вид обучение ще се базира на стандартни разходи, съгласно чл. 67, параграф 1, буква б) от Регламент (ЕС) № 1303/2013. При определянето на изчисленията за стандартните разходи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са извършени от екип на Университета за национално и световно стопанство, гр. София, който е функционално независим орган от Министерство на земеделието, храните и горите и Държавен фонд „Земеделие“, съгласно чл. 62, пар. 2 от Регламент 1305/2013 и който притежава подходящите експертни знания.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по изготвяне на опростените разходи е документирана от страна на изпълнителя в съответствие с т. 5.2.1.3 от Указанията на Европейската комисия за ОВР, като е използван подход определен съгласно чл. 67, параграф 5, буква „а“ от Регламент 1303/2013 за определяне на размера на опростения вариант на разходите, отговарящи на изискванията за коректен, справедлив и проверим метод на изчисление.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са изчислени въз основа на пазарни проучвания на цените, които могат да бъдат проверени.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на изчисление е пазарен, т.е. използван е метод на сравнителните аналози. При този метод за оценка стойността се определя чрез пряко сравнение на пазарни цени на продукти или услуги със сходни характеристики, към определен момент.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използвана за обработка и анализ на получената информация, както и извеждане и тестване на индикативни нива на опростени разходи, по определените видове допустими разходи е определена на база Указанията за опростените варианти за разходите (ОВР) на Европейската комисия.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данните, включени в индикативните нива на опростените разходи са на база нормативни документи и или официална статистика.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Използваната методика включва: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описанието на метода на изчисление, в това число основните етапи на изчислението;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източниците на данните, които са използвани за анализа и изчислението, включително оценка на значението на данните по отношение на предвидените операции и оценка на качеството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самото изчисление за определяне на съответната стойност на единната ставка на размерите на сумите за финансиране на дейности за организация и управление на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мотивите за избор на данни в съвкупността, на база на които ще бъде определена единната ставка.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декомпозиране на единичните разходи по видове и изчисляване на опростени разходи според заданието.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е представена в Приложение № 17 към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подходящия капацитет на органите, предоставящи услуги по трансфер на знания, за да могат да изпълняват задачите си, под формата на квалификации на персонала и редовно обучение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Дефиниция за подходящ капацитет на организациите, които ще предоставят трансфер на знания за изпълнение на техните ангажименти под формата на квалификация на персонала и редовно обучение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 капацитет под формата на квалификация на персонала и редовно обучение за изпълнение на ангажиментите означава изпълнение на поне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валидна акредитация по Закона за висше образование за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валиден лиценз да извършва професионално обучение или има право, дадено от Министъра на образованието и науката да извършва професионално образование по Закона за професионалното образование и обучение по професии от професионални направления, специфично посочени в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Организацията има право да извършва научна или научно-приложна дейност по специалните закони – Закон за Българската академия на науките, Закон за  Селскостопанската академия, Закон за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продължителността и съдържанието на схемите за обмен на земеделски и горски стопанства и посещения, както е посочено в член 3 от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Неприложимо</w:t>
            </w:r>
          </w:p>
          <w:p>
            <w:pPr>
              <w:pStyle w:val="BodyText"/>
              <w:jc w:val="both"/>
              <w:rPr>
                <w:b w:val="0"/>
              </w:rPr>
            </w:pPr>
          </w:p>
        </w:tc>
      </w:tr>
    </w:tbl>
    <w:p>
      <w:pPr>
        <w:pStyle w:val="Heading5"/>
        <w:jc w:val="left"/>
        <w:rPr>
          <w:b w:val="0"/>
        </w:rPr>
      </w:pPr>
      <w:r>
        <w:rPr>
          <w:b w:val="0"/>
        </w:rPr>
        <w:br w:type="page"/>
      </w:r>
      <w:r>
        <w:rPr>
          <w:b w:val="0"/>
        </w:rPr>
        <w:t>Подмярка 1.2. Демонстрационни дейности и действия по осведомяване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29"/>
              </w:numPr>
              <w:rPr>
                <w:b w:val="0"/>
              </w:rPr>
            </w:pPr>
            <w:r>
              <w:rPr>
                <w:b w:val="0"/>
              </w:rPr>
              <w:t>1.2 — подпомагане за демонстрационни дейности и действия за осведомяване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допринася към следните приоритетни области: 1А; 1Б; 1В; 2А; 4Б; 4В; 5А; 5Б; 5Г;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 организирането и провеждането на демонстрационни дейности в областта на селското стопанство и горското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Демонстрационните дейности </w:t>
            </w:r>
            <w:r>
              <w:rPr>
                <w:rFonts w:ascii="Times New Roman" w:eastAsia="Times New Roman" w:hAnsi="Times New Roman" w:cs="Times New Roman"/>
                <w:szCs w:val="24"/>
              </w:rPr>
              <w:t>са практически занятия по определена тема с цел придобиване на информация и запознаване в реални практически условия с: представяне на технологии и специализирана техника за извършване на различни земеделски дейности, като обработване на почвата, прибиране на реколтата, напояване, торене, използване на препарати за растителна защита; техники, методи и оборудване за определяне на качеството на продукцията; нови сортове (хибриди) растения или подобрена порода животни; специални практики, техники и технологии или съоръжения. Ще се дават приоритет на демонстрационни дейности с теми в областта на приоритетните теми, посочени по всяка приоритетна област, които са свързани с пресечните цели и са конкретизирани за подмярката в обхвата на приоритетните области, съгласно раздел 8.2.1.2.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Демонстрационните дейности трябва да са осъществени в демонстрационен обект, който може да бъде опитно поле или учебно-опитно поле, или лаборатория на научен институт, висше училище или професионална гимназия. Демонстрационните дейности са с продължителност до 3 дни. На един демонстрационен обект може да се организират и провеждат различен вид и брой демонстрационни дейности. За всяка дейност се посочват кратка учебна програма (с тема, цели, съдържание, методи на демонстриране) и описание на демонстрационния обект (с конкретно посочване на обектите или практиките, които ще се демонстрират).  Избраните демонстрационни обекти не трябва да бъдат включвани в проекти за подкрепа по ОП „Наука и образование за интелигентен растеж“. В обосновани случаи, демонстрационните дейности могат да се извършват и на места, различни от демонстрационни обекти, при условие, че се гарантира, че демонстрацията ще се предоставя в реални практически условия на целевите групи – крайни получатели, а именно земеделски и горски стопани и заетите лица в техните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Всички разходи се изплащат на бенефициента по подмярката. </w:t>
            </w:r>
            <w:r>
              <w:rPr>
                <w:rFonts w:ascii="Times New Roman" w:eastAsia="Times New Roman" w:hAnsi="Times New Roman" w:cs="Times New Roman"/>
                <w:szCs w:val="24"/>
                <w:u w:val="single"/>
              </w:rPr>
              <w:t>Безвъзмездната финансова помощ се предоставя под формата на стандартни разходи за</w:t>
            </w:r>
            <w:r>
              <w:rPr>
                <w:rFonts w:ascii="Times New Roman" w:eastAsia="Times New Roman" w:hAnsi="Times New Roman" w:cs="Times New Roman"/>
                <w:b/>
                <w:bCs/>
                <w:szCs w:val="24"/>
                <w:u w:val="single"/>
              </w:rPr>
              <w:t> </w:t>
            </w:r>
            <w:r>
              <w:rPr>
                <w:rFonts w:ascii="Times New Roman" w:eastAsia="Times New Roman" w:hAnsi="Times New Roman" w:cs="Times New Roman"/>
                <w:szCs w:val="24"/>
                <w:u w:val="single"/>
              </w:rPr>
              <w:t>р</w:t>
            </w:r>
            <w:r>
              <w:rPr>
                <w:rFonts w:ascii="Times New Roman" w:eastAsia="Times New Roman" w:hAnsi="Times New Roman" w:cs="Times New Roman"/>
                <w:szCs w:val="24"/>
              </w:rPr>
              <w:t xml:space="preserve">азходите за организиране и провеждане на </w:t>
            </w:r>
            <w:r>
              <w:rPr>
                <w:rFonts w:ascii="Times New Roman" w:eastAsia="Times New Roman" w:hAnsi="Times New Roman" w:cs="Times New Roman"/>
                <w:szCs w:val="24"/>
                <w:u w:val="single"/>
              </w:rPr>
              <w:t>демонстрационната дейност</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 Подпомагането по подмярката включва и разходи за инвестиции, които могат да включват разходи за закупуване или вземане на лизинг на нови машини и оборудване до пазарната цена на актива.Разходите за инвестиции ще бъдат допустими за проекти за демонстрационни дейности при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 проекта се предвиждат оптимален брой теми за демонстрационни дейности с цел по-пълно използване на новите машини или оборудване за обучение на достатъчен брой земеделски или горски стопани;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 националното законодателство за прилагане на мярката се предвижда оптимално съотношение на броя на включените в проекта обучаеми към размера на разходите за инвестиции;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Необходимостта от инвестицията се обосновава съобразно условията на демонстрационния обект и темите на демонстрационните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 националното законодателство в областта на висшето образование, професионалното образование и обучение, специални закони за научни организации – Закон за висшето образование, Закон за професионалното образование и обучение, Закон за Селскостопанската академия, Закон за българската академия на науките, Закон за горите. В областта на обучение на лицата, ангажирани в сектора на горското стопанство се предвижда съответствие с Регламент (ЕС) №702/2014 на Комисията от 25 юни 2014 г.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 на Европейския съюз и за отмяна на Регламент (ЕС)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подмярката са организациите, които предоставят трансфер на знания чрез демонстрационни дейности. Организациите трябва да провеждат научно-изследователска дейност или образователна дейност в областта на селското или горското стопанство, или в областта на хранителните технологии. Организациите трябва да разполагат със собствени демонстрационни обекти от типа на учебно-опитни полета, изследователски опитни полета, учебни или изследователски лаборатории.  По подмярката е допустимо и участието на партньори, вкл. юридически лица с нестопанска цел в сферата на селското стопанство. Партньорите по проекта са заинтересовани от неговото изпълнение, които не разходват безвъзмездна финансова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по дейности: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За демонстрация с продължителност 1 ден - 310 евро за един обучаем;</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За демонстрация с продължителност 2 дни - 361 евро за един обучаем;</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За демонстрация с продължителност 3 дни - 428 евро за един обучаем;</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инвестиции.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разходи по отношение на инвестициите трябва да отговарят на изискванията на чл. 45 от Регламент (ЕС)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трябва да отговарят на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висше училище, акредитирано по Закона за висшето образование и да имат актуални акредитации за обучение по минимум едно от професионалните направления „Растениевъдство“, „Растителна защита“, “Животновъдство“, „Ветеринарна медицина“, „Горско стопанство“, „Хранителни технологии“, „Биотехнологии“;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професионална гимназия по Закона за професионалното образование и обучение и да имат право да обучават по професии от професионални направления 621 „</w:t>
            </w:r>
            <w:r>
              <w:rPr>
                <w:rFonts w:ascii="Times New Roman" w:eastAsia="Times New Roman" w:hAnsi="Times New Roman" w:cs="Times New Roman"/>
                <w:i/>
                <w:iCs/>
                <w:szCs w:val="24"/>
              </w:rPr>
              <w:t>Растениевъдство и животновъдство</w:t>
            </w:r>
            <w:r>
              <w:rPr>
                <w:rFonts w:ascii="Times New Roman" w:eastAsia="Times New Roman" w:hAnsi="Times New Roman" w:cs="Times New Roman"/>
                <w:szCs w:val="24"/>
              </w:rPr>
              <w:t>“, 623 „</w:t>
            </w:r>
            <w:r>
              <w:rPr>
                <w:rFonts w:ascii="Times New Roman" w:eastAsia="Times New Roman" w:hAnsi="Times New Roman" w:cs="Times New Roman"/>
                <w:i/>
                <w:iCs/>
                <w:szCs w:val="24"/>
              </w:rPr>
              <w:t>Горско стопанство</w:t>
            </w:r>
            <w:r>
              <w:rPr>
                <w:rFonts w:ascii="Times New Roman" w:eastAsia="Times New Roman" w:hAnsi="Times New Roman" w:cs="Times New Roman"/>
                <w:szCs w:val="24"/>
              </w:rPr>
              <w:t>”, 541 „</w:t>
            </w:r>
            <w:r>
              <w:rPr>
                <w:rFonts w:ascii="Times New Roman" w:eastAsia="Times New Roman" w:hAnsi="Times New Roman" w:cs="Times New Roman"/>
                <w:i/>
                <w:iCs/>
                <w:szCs w:val="24"/>
              </w:rPr>
              <w:t>Хранителни технологии</w:t>
            </w:r>
            <w:r>
              <w:rPr>
                <w:rFonts w:ascii="Times New Roman" w:eastAsia="Times New Roman" w:hAnsi="Times New Roman" w:cs="Times New Roman"/>
                <w:szCs w:val="24"/>
              </w:rPr>
              <w:t>“, 640 „</w:t>
            </w:r>
            <w:r>
              <w:rPr>
                <w:rFonts w:ascii="Times New Roman" w:eastAsia="Times New Roman" w:hAnsi="Times New Roman" w:cs="Times New Roman"/>
                <w:i/>
                <w:iCs/>
                <w:szCs w:val="24"/>
              </w:rPr>
              <w:t>Ветеринарна медицина</w:t>
            </w:r>
            <w:r>
              <w:rPr>
                <w:rFonts w:ascii="Times New Roman" w:eastAsia="Times New Roman" w:hAnsi="Times New Roman" w:cs="Times New Roman"/>
                <w:szCs w:val="24"/>
              </w:rPr>
              <w:t>“.</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научни институти или опитни станции, които извършват научни изследвания и научно обслужване в областта на селското стопанство или горското стопанство или биотехнологиите или хранителните технологии и да са организации по Закона за Селскостопанската академия, Закона за Българската академия на науките, Закона за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всяка демонстрационна дейност ще се извършват следните оценки,  с тежест на критериите по низходящ ред: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темата на учебната програма за съответствие с приоритетни теми, посочени по всяка приоритетна област, които са свързани с пресечните цели и са конкретизирани за подмярката в обхвата на приоритетните области, съгласно раздел 8.2.1.2.</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опита на организацията в изпълнение на демонстрационни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условията за провеждане на демонстрационните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на проекти с повече от една демонстрационна дейност се оценява учебната програма на всяка дейност и оценката се оформя като средна от получените оценки. В случаите на проекти с инвестиционни предложения в рамките на оценката на условията за провеждане на демонстрационните дейности се оценява и инвестицията. Ще се определи минимален брой точки за класиране на проектите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интензитет на помощта е 100%.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помощта за инвестиции за един бенефициент за периода на прилагане на програмата е 350 000 евро за демонстрации, насочени към земеделски стопани и 100 000 евро за демонстрации, насочени към горски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одобряване на разходи за инвестиции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3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и ще бъде създаден механизъм за извършване на контрол на съответствие на заявените разходи с допустимите;</w:t>
            </w:r>
          </w:p>
          <w:p>
            <w:pPr>
              <w:numPr>
                <w:ilvl w:val="0"/>
                <w:numId w:val="13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Административният контрол ще включва проверки за съответствие на заявените с допустимите стандартни разходи;</w:t>
            </w:r>
          </w:p>
          <w:p>
            <w:pPr>
              <w:numPr>
                <w:ilvl w:val="0"/>
                <w:numId w:val="13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Предвидени са проверки по време на изпълнение на дейностите, като в нормативната уредба ще бъде регламентирана честотата им;</w:t>
            </w:r>
          </w:p>
          <w:p>
            <w:pPr>
              <w:spacing w:before="24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2.1. Обосноваността на разходите, в случаите на инвестиции,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2.2. При използване на механизма за оценка на предложените разходи за инвестиции,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Отделните операции и бенефициенти, допустими по мерките от ПРСР са разграничени;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чрез въвеждане на кръстосани проверки за установяване на допустимостта на дейността (актива);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Разработване на ръководства с практически указания за прилагане на мярката, за изпълнение на одобрените проекти и за изискванията при подаване на заявките за плащане;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4.3. На електронната страница на Програмата ще се публикуват подробни указания относно начина на промяна по договорите;</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5.2.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5.3.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Определянето на стойността </w:t>
            </w:r>
            <w:r>
              <w:rPr>
                <w:rFonts w:ascii="Times New Roman" w:eastAsia="Times New Roman" w:hAnsi="Times New Roman" w:cs="Times New Roman"/>
                <w:szCs w:val="24"/>
                <w:u w:val="single"/>
              </w:rPr>
              <w:t>на разходите за организиране и провеждане</w:t>
            </w:r>
            <w:r>
              <w:rPr>
                <w:rFonts w:ascii="Times New Roman" w:eastAsia="Times New Roman" w:hAnsi="Times New Roman" w:cs="Times New Roman"/>
                <w:szCs w:val="24"/>
              </w:rPr>
              <w:t>  за всеки вид о</w:t>
            </w:r>
            <w:r>
              <w:rPr>
                <w:rFonts w:ascii="Times New Roman" w:eastAsia="Times New Roman" w:hAnsi="Times New Roman" w:cs="Times New Roman"/>
                <w:szCs w:val="24"/>
                <w:u w:val="single"/>
              </w:rPr>
              <w:t>демонстрационна дейност</w:t>
            </w:r>
            <w:r>
              <w:rPr>
                <w:rFonts w:ascii="Times New Roman" w:eastAsia="Times New Roman" w:hAnsi="Times New Roman" w:cs="Times New Roman"/>
                <w:szCs w:val="24"/>
              </w:rPr>
              <w:t xml:space="preserve"> ще се базира на стандартни разходи, съгласно чл. 67, параграф 1, буква б) от Регламент (ЕС) № 1303/2013. При определянето на изчисленията за стандартните разходи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подмярка 1.2. са изчислени по методика, при която е  допуснато, че ще има три вида демонстрации (еднодневни, двудневни и тридневни - със събиране на участниците в посещението през предходния ден) и е определен стандартен разход за един участник в съответния вид демонстрация. В методиката, са приложени следните конкретни стъпки за изчисляване на разходите: определяне по видове демонстрации на средния брой участници, средния брой учебни часове, средния брой нощувки и пансиони на един участник/лектор, средно разстояние очаквано за изминаване от един участник/лектор, средния брой на лекторите и членовете на екипа за организиране на демонстрацията и средни км за транспортни услуги (организиран превоз) до демонстрационния обект; описание на дейностите по демонстрацията, вкл. подготвителните дейности, дейностите по провеждане на демонстрацията и дейностите по приключване и отчитане на демонстрацията, както и на включените разходи по дейности  -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практическия опит и информацията от прилагането на мярка 111 „Професионално обучение, информационни дейности и разпространение на научни знания“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храните и горите и Държавен фонд „Земеделие“ по смисъла на чл.62, пар.2 от Регламент 1305/2013. Удостоверението, потвърждаващо адекватността и точността на изчисленията е представено в част 18.2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подходящия капацитет на органите, предоставящи услуги по трансфер на знания, за да могат да изпълняват задачите си, под формата на квалификации на персонала и редовно обучение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за подходящ капацитет на организациите, които ще предоставят трансфер на знания за изпълнение на техните ангажименти под формата на квалификация на персонала и редовно обучение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 капацитет под формата на квалификация на персонала и редовно обучение за изпълнение на ангажиментите означава изпълнение на поне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валидна акредитация по Закона за висше образование за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право, дадено от Министъра на образованието и науката да извършва професионално образование по Закона за професионалното образование и обучение по професии от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право да извършва научна или научно-приложна дейност по специалните закони – Закон за Българската академия на науките, Закон за  Селскостопанската академия, Закон за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продължителността и съдържанието на схемите за обмен на земеделски и горски стопанства и посещения, както е посочено в член 3 от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Неприложимо</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Заплащането на разходите за участниците ще става посредством стандартна таблица за единица продукт по </w:t>
            </w:r>
            <w:r>
              <w:rPr>
                <w:rFonts w:ascii="Times New Roman" w:eastAsia="Times New Roman" w:hAnsi="Times New Roman" w:cs="Times New Roman"/>
                <w:szCs w:val="24"/>
                <w:u w:val="single"/>
              </w:rPr>
              <w:t>подмерки 1.1 и 1.2</w:t>
            </w:r>
            <w:r>
              <w:rPr>
                <w:rFonts w:ascii="Times New Roman" w:eastAsia="Times New Roman" w:hAnsi="Times New Roman" w:cs="Times New Roman"/>
                <w:szCs w:val="24"/>
              </w:rPr>
              <w:t xml:space="preserve"> - </w:t>
            </w:r>
            <w:r>
              <w:rPr>
                <w:rFonts w:ascii="Times New Roman" w:eastAsia="Times New Roman" w:hAnsi="Times New Roman" w:cs="Times New Roman"/>
                <w:szCs w:val="24"/>
                <w:u w:val="single"/>
              </w:rPr>
              <w:t>за разходите за организиране и провеждане на всеки вид  демонстрационна дейност</w:t>
            </w:r>
            <w:r>
              <w:rPr>
                <w:rFonts w:ascii="Times New Roman" w:eastAsia="Times New Roman" w:hAnsi="Times New Roman" w:cs="Times New Roman"/>
                <w:szCs w:val="24"/>
              </w:rPr>
              <w:t>. Определянето на стойността на разходите за всеки вид обучение ще се базира на стандартни разходи, съгласно чл. 67, параграф 1, буква б) от Регламент (ЕС) № 1303/2013. При определянето на стандартните изчисления за разходите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са изчислени по подмерки, като стойностите и резюме на методиката са посочени в съответните части на фиша на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по подмярка 1.1 са извършени от екип на Университета за национално и световно стопанство, гр. София, който е функционално независим орган от Министерство на земеделието, храните и горите и Държавен фонд „Земеделие“, съгласно чл. 62, пар. 2 от Регламент 1305/2013 и който притежава подходящите експертни знания.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подмярка 1.2  са изчислени от Управляващия орган на програмата на базата на практическия опит и информацията от прилагането на мярка 111 „Професионално обучение, информационни дейности и разпространение на научни знания“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Адекватността и точността на изчисленията по подмярка 1.2  е потвърдена от Съюза на икономистите в България, който е функционално независим орган от Министерство на земеделието, храните и горите и Държавен фонд „Земеделие“ по смисъла на чл.62, пар.2 от Регламент 1305/2013. Удостоверението, потвърждаващо адекватността и точността на изчисленията е представено в част 18.2 на програмата.</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подходящия капацитет на органите, предоставящи услуги по трансфер на знания, за да могат да изпълняват задачите си, под формата на квалификации на персонала и редовно обучение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за подходящ капацитет на организациите, които ще предоставят трансфер на знания за изпълнение на техните ангажименти под формата на квалификация на персонала и редовно обучение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 капацитет под формата на квалификация на персонала и редовно обучение за изпълнение на ангажиментите означава изпълнение на поне едно от следните условия, комбинирани в съответните части на фиша по подмерки: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валидна акредитация по Закона за висше образование за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валиден лиценз да извършва професионално обучение или има право, дадено от Министъра на образованието и науката да извършва професионално образование по Закона за професионалното образование и обучение по професии от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право да извършва научна или научно-приложна дейност по специалните закони – Закон за Българската академия на науките, Закон за  Селскостопанската академия, Закон за горите;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е регистрирана по Закона за юридическите лица с нестопанска цел с предмет на дейност в областите, посочени в мярката.  За този вид организации е необходимо да имат в Управителния съвет минимум двама членове с образователна и научна степен „доктор” или хабилитирани по професионалните направления, специфично посочени в мярката.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spacing w:after="100"/>
        <w:rPr>
          <w:b w:val="0"/>
        </w:rPr>
      </w:pPr>
      <w:r>
        <w:rPr>
          <w:b w:val="0"/>
        </w:rPr>
        <w:t>Определяне на продължителността и съдържанието на схемите за обмен на земеделски и горски стопанства и посещения, както е посочено в член 3 от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за продължителността и съдържанието на схемите за обмен на опит и посещения на земеделски и горски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Продължителността на посещенията на земеделски стопанства е еднодневно. Съдържанието на схемите обхваща следните елементи: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Кратка учебна програма с тема, цели и задачи на посещението на стопанството за обмяна на опит;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Обосновка на избраното стопанство за посещение във връзка с учебната програма;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стопанството и конкретните практики или обекти, които ще се представят при посещението;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Теми за дискусия с участниците в посещението и обмяната на опит.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Процедура за набиране на заявления за подпомагане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избиране на проекти за финансиране ще се осъществява с публични обяви по отделните подмерки.  Може да се извършва набиране на проекти и с обща обява и общо заявление за подпомагане с опции  за условията по трите подмерки. В обявите при необходимост могат да бъдат специално определяни дейности и теми за целеви групи от лицата, заети в земеделието и горите, или бенефициенти по мерки от ПРСР. Графикът за обявяване на прием по мярката ще се координира с графиците за обявяване на приеми по мерки 10, 11, както и по подмерки 6.1. и 6.3. с цел осигуряване на възможности за изпълнение на задължения за обучение на бенефициентите по тези мерки. При необходимост ще се извършват целеви приеми на заявления за подкрепата с подходящо обучение на бенефициентите по посочените мерки и подмерки. Необходимостта от координиране и целенасочване на приемите на заявления по мярката е на базата на научени уроци от прилагането на мярка 111 от ПРСР 2007-2013 г. При прилагането на мярка 111, въпреки правилното обвързване на темите, курсовете и семинарите в мярката с необходимостта от обучение на бенефициенти по мярка 112, мярка 141 и мярка 214, се получаваше в определен период наличие на дефицит от одобрени курсове и семинари, чрез обучението в които да бъдат изпълнени ангажиментите на одобрени бенефициенти по посочените мерки.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Процедура за 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Разплащателната агенция и независими експерти, с опит и специализация в областта на професионалното образование и обучение, висшето образование и науката. Минимум половината от състава на комисията са независими експерти. По всяка обява се определя конкретен състав на комисията, като се спазват правилата за липса на конфликт на интереси. Министърът на земеделието, храните и горите одобрява, по предложение на Управляващия орган, списък от независими експерти, които могат да участват в Комисията за оценка. Предложението се представя със съответната обосновка и приложени професионални биографии. Дейностите на Комисията за оценка, включително възнаграждения за участие в заседанията, се подкрепя по  техническата помощ.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 xml:space="preserve">Процедура за прилагане на стандартна таблица на опростени разходи по подмярка 1.1.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Обученията се предоставят на лица, допустими за участие в съответните курсове и/или семинари. Специфичните условия за възстановяването на разходите на бенефициентите са следните: На базата на планиран брой лица по видове дейности и съответните стойности на опростените разходи по тези дейности, всяка организация планира необходимия бюджет за всяка дейност, включена в проекта, с който кандидатства за подпомагане. След провеждане на съответната дейност или на всички дейности по проекта, бенефициентът представя заявка за плащане, като прилага доказателствен материал за проведените обучения и обучените лица. Допустими са междинни плащания след приключване на една или няколко от одобрените дейности по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Процедура за прилагане на стандартна таблица на опростени разходи по подмярка 1.2 за разходите за организиране и провеждане на демонстрационните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Демонстрационните дейности се предоставят на лица, допустими за участие. Специфичните условия за възстановяването на разходите на бенефициентите са следните: На базата на планиран брой лица по видове дейности и съответните стойности на опростените разходи по тези дейности, всяка организация планира необходимия бюджет за всяка дейност, включена в проекта, с който кандидатства за подпомагане. След провеждане на съответната дейност или на всички дейности по проекта, бенефициентът представя заявка за плащане, като прилага доказателствен материал за проведените демонстрационни дейности. Допустими са междинни плащания след приключване на една или няколко от одобрените дейности по проекта.</w:t>
            </w:r>
          </w:p>
          <w:p>
            <w:pPr>
              <w:pStyle w:val="BodyText"/>
              <w:jc w:val="both"/>
              <w:rPr>
                <w:b w:val="0"/>
              </w:rPr>
            </w:pPr>
          </w:p>
        </w:tc>
      </w:tr>
    </w:tbl>
    <w:p>
      <w:pPr>
        <w:pStyle w:val="Heading3"/>
        <w:jc w:val="left"/>
        <w:rPr>
          <w:b w:val="0"/>
        </w:rPr>
      </w:pPr>
      <w:r>
        <w:rPr>
          <w:b w:val="0"/>
        </w:rPr>
        <w:br w:type="page"/>
      </w:r>
      <w:bookmarkStart w:id="119" w:name="_Toc256000119"/>
      <w:r>
        <w:rPr>
          <w:b w:val="0"/>
        </w:rPr>
        <w:t>М02 —  Консултантски услуги, услуги по управление на стопанство и услуги по заместване в стопанство (член 15)</w:t>
      </w:r>
      <w:bookmarkEnd w:id="119"/>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15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(EО) №1698/2005 на Съвета; Членове 12-15 от Регламент (ЕС) № 1306/2013 на Европейския парламент и на Съвета от 17 декември 2013 г. относно финансирането, управлението и мониторинга на общата селскостопанска политика и за отмяна на регламент (EИО) №352/78, (EО) №165/94, (EО) №2799/98, (EО) №814/2000, (EО) №1290/2005 и (EО) №485/2008 на Съвета;  Чл. 7 от Регламент за изпълнение (EC) №808/2014 на Комисията от 17 юли 2014 г. за определяне на правила за прилагането на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подпомагане на земеделските стопани, млади земеделски стопани съгласно определението в програмата и горските стопани с оглед да се възползват от консултантски услуги за подобряване на икономическите и екологични показатели, както и климатичната съобразеност и устойчивост на изменението на климата на техните стопанства. Преобладаващата част от стопаните в малките стопанства нямат специализирано земеделско образование и имат недостатъчно добре развити управленски и бизнес умения. За да се увеличат конкурентоспособността и жизнеспособността в малките стопанства има ясна необходимост от подобряване на знанията и умения в областта на управлението и земеделското производство на управителите на тези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Достъпът на малките стопанства до подпомагане по ОСП се ограничава както от наличието на достатъчно информация за участие в схемите и мерките, така и от високата, спрямо доходите на стопанствата, цена на консултантските услуги за разработване на бизнес планове и управление на проекти.  Видът и обхватът на   консултантските услуги, предлагани на малките земеделски стопанства трябва да отговарят на специфичните им нужди.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Целта на мярката е да се подпомогнат земеделските стопани и горските стопани да подобрят устойчивото управление и общата ефективност на своите стопанства чрез използването на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по ПРСР 2007-2013г. показва, че голяма част от малките стопанства (полупазарните) стопанства ползват услугите на Националната служба за съвети в земеделието /НССЗ/ в случай на нужда от съвети в областта на земеделието и развитието на селските райони. Мярка 143 „Предоставяне на съвети и консултиране в земеделието в България и Румъния" от ПРСР се приложи успешно и НССЗ предостави съвети на над 17 000 земеделски производители. Изборът директно на НССЗ се оказа успешен модел за прилагане на мярка 143 и би трябвало да продължи и по новата ПРСР 2014-2020г. по отношение на малките стопанства. Малкият брой земеделски производители (113 бр.) заявили желание да получат съветнически услуги по мярка 114 "Използване на консултантски услуги от фермери и собственици на гори" показва, че въпреки значителния брой одобрени по мярка 114 консултантски организации (12 бр.) са необходими специални действия за засилване на интереса на фермерите към получаването на съветнически услуги. необходимо е и опростяване на начина на заявяване и одобряване на фермeрите допустими за съветническите услуги. Облекчените условия по мярка 2 спрямо мярка 114 и по-специално липсата на съфинансиране от страна на земеделските производители и подаването на заявки за плащане от консултантските организации, а не от фермерите ще доведе и до увеличаване на желаещите да получат съветнически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по ПРСР 2007-2013 г. показа, че действащите частни консултантски организации имат ограничен опит, който се изразява предимно в подготовката на проекти по мерки от ПРСР(2007-2013) или оперативни програми. В същото време се установява липса на опит в консултирането по специфични условия, свързани с европейското и национално законодателство, както и на специфични дейности в земеделското стопанство в областта на опазване на околната среда,  изменението на климата,  ниско въглеродна икономика и енергийна ефективност.  Няма развита система за обучение на консултантите и обмяна на опит за повишаване и разширяване на консултантския капацитет на консултантските организации.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Консултация означава предоставена в рамките на един и същи договор пълна консултация. Пълната консултация в рамките на един и същи договор се определя като консултантски пакет.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по приоритетни области в обхвата на консултантските услуги за земеделски стопани трябва да обхващат най-малко един от следните  модули: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Задължения на равнище стопанство, произтичащи от законово установените изисквания за управление и/или стандартите за добро земеделско и екологично състояние, предвидени в глава І на дял VІ от Регламент (ЕС) №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Селскостопански практики, от полза за климата и околната среда, установени в дял ІІІ, глава 3 от Регламент (ЕС) № 1307/2013 и за поддръжката на земеделските площи съгласно член 4, параграф 1, буква в) от Регламент (ЕС) № 1307/2013.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Мерки на равнище стопанство, предвидени в ПРСР, които са насочени към модернизиране на стопанството, изграждане на конкурентоспособност, секторна интеграция, иновации и пазарно ориентиране, както и насърчаване на предприемачество.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Изисквания, определени от националното законодателство за изпълнение на член 11, параграф 3 от Рамковата директива за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Изисквания, определени от националното законодателство за изпълнение на член 55 от Регламент № 1107/2009, по-специално спазване на общите принципи на интегрираното управление на вредителите, както е посочено в член 14 от Директива 2009/128/ЕО.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Стандарти за безопасност на труда и/или стандарти за безопасност на стопанствата.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Специфични съвети за земеделски стопани, които създават стопанство за първи път.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Предоставяне на информация и съвети с предлагане на решения на равнище стопанство, свързани с мерките за смекчаване на последиците от изменението на климата и адаптиране към него, биологичното разнообразие, опазването на водите, както е посочено в приложение І на Регламент (ЕС) №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Консултиране по въпроси и проблеми на земеделското стопанство, свързани с икономическите и екологични показатели на земеделското стопанство, включително въпроси на конкурентоспособността.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Консултиране по въпроси на управление на риска в земеделското стопанството, свързан с неблагоприятни климатични явления, нашествията на вредители, болести по растенията и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Консултиране и предоставяне на информация по въпросите на ерозията на почвите, определяне на ерозионен риск и методи за борба с почвената ерозия, включително иригационната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Консултиране по въпроси и проблеми, свързани с увеличаване на ефективността на потреблението на енергията в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в обхвата на консултантските услуги за горски стопани трябва да обхващат, задължително модул 1 и допълнително модул 2  със следния обхват: модул 1- Приложимите задължения съгласно Директива 92/43/ЕИО, 2009/147ЕО и Рамковата директива за водите; модул 2 - Консултациите по въпроси, свързани с икономическите и екологични резултати на горските стопанства, извън зоните по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се прилага със следните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Помощ за осигуряване на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Създаване на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2.3.      Подпомагане за обучение на консултанти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2.1. ще се прилага с две подмерки: Подмярка 2.1.1 Консултантски услуги за земеделски и горски стопани и Подмярка 2.1.2 Консултантски услуги за малки земеделски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2.1.1 консултантските пакети за земеделски стопани обхващат консултантски услуги групирани по приоритетни области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2А – включва, като база модули 1, 2, 3, 9 и допълнително модули 4, 5,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2Б – включва като база модул 7 и допълнително модули 1, 2, 4, 5,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3А – включва като база модул 9 и допълнително модули 1, 2, 4, 5,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3Б – включва като база модул 10 и допълнително модули 1, 2, 4, 5,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4А – включва като база модули 1, 2, 8 и допълнително модули 4, 5, 6, 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4Б – включва като база модули 1, 2, 4, 5 и допълнително модули 6, 8, 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4В – включва като база модули 1, 2, 11 и допълнително модули 6, 8;</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5А – включва като база модул 4 и допълнително модули 1, 2, 3,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приоритетни области 5Б и 5В – включва като база модул 12 и допълнително модули 3,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5Г – включва като база модули 1, 2, 11, 8 и допълнително модули 3, 6, 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2.1.1 консултантският пакет за горските стопани е един и  обхваща консултантски услуги по приоритетна област 4А и по приоритетна област 5Д.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2.1.2 консултантските пакети за малки земеделски стопанства определени в Раздел 4.1 на Тематичната подпрограма обхващат консултантски услуги групирани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1 – включва предоставянето на консултантски услуги относно задължения на равнище стопанство, произтичащи от законово установените изисквания за управление и/или стандартите за добро земеделско и екологично състояние, предвидени в глава І на дял VІ от Регламент (ЕС) №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2 – включва предоставянето на консултантски услуги относно: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А</w:t>
            </w:r>
            <w:r>
              <w:rPr>
                <w:rFonts w:ascii="Times New Roman" w:eastAsia="Times New Roman" w:hAnsi="Times New Roman" w:cs="Times New Roman"/>
                <w:szCs w:val="24"/>
              </w:rPr>
              <w:t>. „Селскостопански практики, от полза за климата и околната среда, установени в дял ІІІ, глава 3 от Регламент (ЕС) № 1307/2013 и за поддръжката на земеделските площи съгласно член 4, параграф 1, буква в) от Регламент (ЕС) № 1307/2013.”,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w:t>
            </w:r>
            <w:r>
              <w:rPr>
                <w:rFonts w:ascii="Times New Roman" w:eastAsia="Times New Roman" w:hAnsi="Times New Roman" w:cs="Times New Roman"/>
                <w:szCs w:val="24"/>
              </w:rPr>
              <w:t xml:space="preserve"> „Изисквания, определени от националното законодателство за изпълнение на член 11, параграф 3 от Рамковата директива за водите.” в т.ч. може да се включат и съвети за: увеличаване на ефективността на потреблението на водата в земеделието на ниво напоителна система или напоително поле, включително въвеждане на водоспестяващи и енергоспестяващи поливни технологии;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w:t>
            </w:r>
            <w:r>
              <w:rPr>
                <w:rFonts w:ascii="Times New Roman" w:eastAsia="Times New Roman" w:hAnsi="Times New Roman" w:cs="Times New Roman"/>
                <w:szCs w:val="24"/>
              </w:rPr>
              <w:t xml:space="preserve"> „Предоставяне на информация и съвети с предлагане на решения на равнище стопанство, свързани с мерките за смекчаване на последиците от изменението на климата и адаптиране към него, биологичното разнообразие, опазването на водите, както е посочено в приложение І на Регламент (ЕС) № 1306/2013.” в т.ч. може да се включат и съвети за избор на подходящи дейности за условията на стопанството, подготовка на заявления и съвети по време на изпълнение на поети ангажименти по мярка 10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3 - включва предоставянето на консултантски услуги относно стандартите за безопасност на труда и/или стандарти за безопасност на стопанствата.;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4 - включва предоставянето на консултантски услуги относно изискванията, определени от националното законодателство за изпълнение на член 55 от Регламент № 1107/2009, по-специално спазване на общите принципи на интегрираното управление на вредителите, както е посочено в член 14 от Директива 2009/128/ЕО.”;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5 – включва следните три елемента с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изготвяне на бизнес планове и заявления за подпомагане на малки земеделски стопани, желаещи да кандидатстват по мярка 6.3;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изготвяне на бизнес планове и заявления за подпомагане на малки земеделски стопани, желаещи да кандидатстват по мярка 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изготвяне на бизнес планове и заявления за подпомагане на малки земеделски стопани, желаещи да кандидатстват по подмярка 6.4;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Трите елемента на пакета може да се предоставят заедно или поотделно.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6 включва предоставянето на консултантски услуги относно: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Мерки на равнище стопанство, предвидени в ПРСР, които са насочени към модернизиране на стопанството, изграждане на конкурентоспособност, секторна интеграция, иновации и пазарно ориентиране, както и насърчаване на предприемачество в т.ч. може да се включат съвети и относно: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оценка и съвети при избор на нова за стопанството подходяща земеделска техника;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съвети за разнообразяване на дейностите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подкрепа за участие в мярка 9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Консултиране по въпроси и проблеми на земеделското стопанство, свързани с икономическите показатели на земеделското стопанство, включително въпроси на конкурентоспособността.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Консултиране по въпроси на управление на риска в земеделското стопанството, свързан с неблагоприятни климатични явления, нашествията на вредители, болести по растенията и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горните три елемента пакета 6 може да включа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съвети за развитие на къси вериги на доставки и за по-добра интеграция на първичните производители в хранителната верига чрез схеми за качество, насърчаване достъпа до местни пазари и къси вериги на доставки, групи на производителите и междубраншови организации; (не е необходимо по-детайлна разбивка за целите на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съвети относно участието на малките земеделски производители в Европейското партньорство за иновации (ЕПИ) за селскостопанска производителност и устойчивост в т.ч. възможностите за подпомагане по Подмярка 16.1. „Подкрепа за сформиране и функциониране на оперативни групи в рамките на ЕПИ за селскостопанска производителност и устойчивост”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биологично земеделие, включително подготовка на заявление за кандидатстване по мярка 10 и по мярка 11  и съвети по време на изпълнение на ангажиментите; (не е необходимо по-детайлна разбивка за целите на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съвети по въпроси, свързани със здравето на животните (не е необходимо по-детайлна разбивка за целите на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Задължителни комбинации на пакетите: Пакет 5 се предоставя преди или заедно с един и повече от останалите пакети; Пакет 6 се предоставя с поне един от останалите пакети. Пакети 1, 2 ,3 и 4 може да се предоставят самостоятелно.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Принос към приоритетните области и взаимосвързаните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основно към реализирането на приоритетна област 1А. В изпълнение на стратегията мярката допринася за постигане на цел 1 и цел 2 чрез предвидените дейности по подмерки по приоритетни области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2А - чрез подмярка 2.1. със следните подмерки: 2.1.1 с дейност консултантски пакет „А2А“ и 2.1.2 с дейностите по консултантски пакет 5, буква А и Б и консултантски пакет 6, буква Б; чрез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2Б - чрез подмярка 2.1. с дейност консултантски пакет „А2Б“;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3А - чрез подмярка 2.1 със следните подмерки: 2.1.1 с дейност консултантски пакет „3А“ и 2.1.2. с дейност консултантски пакет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3Б - чрез подмярка 2.1. със следните подмерки: 2.1.1с дейност консултантски пакет „А3Б“ и 2.1.2. с дейностите по консултантски пакет 6, буква 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4А - чрез подмярка 2.1. със следните подмерки: 2.1.1 с дейност консултантски пакет „А4А“ и консултантски пакет „Б4А5Д“ и 2.1.2 с дейности консултантски пакети 1 и 2;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4Б - чрез подмярка 2.1. със следните подмерки: 2.1.1 с дейност консултантски пакет „А4Б“ и 2.1.2 с дейност консултантски пакет 4;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4В - чрез подмярка 2.1. със следните подмерки: 2.1.1 с дейност консултантски пакет „А4В“ и 2.1.2 с дейности консултантски пакети 1 и 2;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5А - чрез подмярка 2.1. със следните подмерки: 2.1.1 с дейност консултантски пакет „А5А“ и 2.1.2 с дейност консултантски пакет 2;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5Б и 5В – чрез подмярка 2.1. със следните подмерки: 2.1.1 с дейност консултантски пакет „А5БВ“;  и 2.1.2 с дейност консултантски пакети 1, 2 и 3;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5Г - чрез подмярка 2.1. със следните подмерки: 2.1.1 с дейност консултантски пакет „А5Г“ и 2.1.2 с дейност консултантски пакети 1 ,2 и 3;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5Д - чрез подмярка 2.1. със следните подмерки: 2.1.1 с дейност консултантски пакет „А5Д“ и консултантски пакет „Б4А5Д“ и 2.1.2 с дейност консултантски пакети 1, 2 и 3;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6А - чрез подмярка 2.1. с подмярка 2.1.2 с дейностите по консултантски пакет 5, буква 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всеки консултантски пакет и по двете подмерки 2.1.1 и 2.1.2 задължително се включва следното: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едно посещение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всеки консултантски пакет по подмярка 2.1.1 задължително се включват препоръки за иновативни решения в резултат от оценка на конкретните нужди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всеки консултантски пакет по подмярка 2.1.2 задължително се предоставят и препоръки в резултат от оценка на конкретните нужди на стопанството в зависимост от предоставения пакет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за трите пресечни цели (околна среда, климат и иновации) чрез следните подходи: По целите околна среда и климат чрез включването във всеки консултантски пакет като базови или като допълнителни на следните модули, които са изцяло насочени към тези цели – модули 1, 2, 4, 5, 8, 9, 10, 11. По подмярка 2.1, подмярка 2.1.1. чрез задължителното условие да се предоставят препоръки за иновативни решения, в резултат на конкретните нужди на стопанството. По подмярка 2.3. чрез обучение на консултантите в областта на околната среда, климат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2.1.1. Консултантски услуги за земеделски и горски стопани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31"/>
              </w:numPr>
              <w:rPr>
                <w:b w:val="0"/>
              </w:rPr>
            </w:pPr>
            <w:r>
              <w:rPr>
                <w:b w:val="0"/>
              </w:rPr>
              <w:t>2.1 — подкрепа, насочена към възможностите за ползване на консултантски услуги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допринася към следните приоритетни области: 2А; 2Б; 3А; 3Б; 4А; 4Б; 4В; 5А; 5Б; 5В; 5Г;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 предоставянето на консултантски услуги на земеделски стопани, млади стопани, съгласно определението в програмата и горските стопани с цел подобряване на икономическите и екологичните показатели, както и на климатичната съобразеност и устойчивост на изменението на климата на техните стопанства. Допустимите дейности са предоставяне на индивидуални консултантски услуги във вид на консултантски пакети. Индивидуалните консултантски услуги се определят като предоставяне на съвети и консултации, включително посещения на стопанството, в рамките на един консултантски пакет по приоритетна област.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2.1.1  се подкрепят два вида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Консултантски услуги за земеделски стопани, включително млади земеделски стопани – консултантските пакети са по приоритетните области, към които  подмярката има принос.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Консултантски услуги за горски стопани – един вид консултантски пакет по приоритетни области 4А и 5Д.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дейности са предоставяне на индивидуални консултантски услуги във вид на консултантски пакети.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за предоставяне на консултантски услуги на земеделски стопани по приоритетните области, към които подмярка 2.1.1 има принос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А2А - Консултантски пакет по приоритетна област 2А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А2Б - Консултантски пакет по приоритетна област 2Б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А3А - Консултантски пакет по приоритетна област 3А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А3Б - Консултантски пакет по приоритетна област 3Б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А4А - Консултантски пакет по приоритетна област 4А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А4Б - Консултантски пакет по приоритетна област 4Б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А4В - Консултантски пакет по приоритетна област 4В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А5А - Консултантски пакет по приоритетна област 5А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А5БВ - Консултантски пакет по приоритетни области 5Б и 5В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А5Г - Консултантски пакет по приоритетна област 5Г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са кодирани условно с цел опростяване на прилагането. Първата буква посочва вида на консултантските услуги – в случая, А - консултантски услуги за земеделски стопани. Следващите знаци отразяват кода на приоритетната област, по която е консултантския пакет. За всеки един пакет ще се разработи стандартна таблица на разходите за единица продукт.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Консултациите за горските стопани ще бъдат в един консултантски пакет: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Б4А5Д по приоритетна област 4А и по приоритетна област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Консултантският пакет освен на горски стопани, може да бъде предоставян и на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със законодателството на ЕС и националното законодателство в областта на опазване на околната среда, включително управление на територии в зони по „Натура 2000“, смекчаване на последиците от изменението на климата, биологичното разнообразие, опазване на водите, интегрирано управление на вредителите, законодателство, свързано с обществените поръчки и други. При предоставянето на консултантските услуги се съблюдават задълженията за поверителност на информацията съгласно чл.13, параграф 2 от Регламент (ЕС) 1306/2013. В областта консултиране на лицата, ангажирани в сектора на горското стопанство се предвижда съответствие с Регламент (ЕС) №702/2014 на Комисията от 25 юни 2014 г.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 на Европейския съюз и за отмяна на Регламент (ЕС)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са доставчиците на консултантски услуги. Консултантските услуги са в полза на земеделските стопани, младите стопани, съгласно определението в програмата и горските стопани. Доставчиците на консултантски услуги се определят като консултантски организации по мярката. Консултантските организации избират по кои консултантски пакети по приоритетните области ще предоставят консултантски услуги.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се избират чрез покани за отправяне на предложения. Процедурата за подбор се регламентира от правото за обществените поръчки и е отворена както за публични, така и за частни организации. Тя е обективна и изключва кандидати с конфликт на интереси. За участие в подбора консултантските организации трябва да представят съдържание на всеки пакет консултантски услуги,  който ще предоставят. До приключване на първата тръжна процедура и с цел подкрепа за младите земеделски стопани по първия прием на заявления по подмярка 6.1. за консултантски пакет А2Б ще се приложи процедурата на вътрешно изключване. Националната служба за съвети в земеделието е определена да предоставя консултиране на кандидатите по подмярка 6.1. чрез процедурата на вътрешно изключване.</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разходите за предоставяне на услугата чрез консултантски пакети. Разходите могат да включват: възнаграждения на консултантите, разходи за път, материали, разходи, свързани с мястото, в което се доставя консултацията и други разходи, които са обосновани и са пряко свързани с предоставянето на консултантския пакет. Разходите се определят за всеки консултантски пакет по приоритетни области. Разходите за един консултантски пакет се отнасят за предоставянето на пакета на единица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пакет А2Б се определя като стандартен разход с размер на сумата 814 евро за консултантския пакет.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на одобрените консултантски организации се проверяват и по време на изпълнение на дейностите, като в националното законодателство или</w:t>
            </w:r>
            <w:r>
              <w:rPr>
                <w:rFonts w:ascii="Times New Roman" w:eastAsia="Times New Roman" w:hAnsi="Times New Roman" w:cs="Times New Roman"/>
                <w:szCs w:val="24"/>
                <w:u w:val="single"/>
              </w:rPr>
              <w:t xml:space="preserve">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се предвиди процедура на докладване и периодично представяне на доказателства.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консултантските организации се извършва по критерии, базирани на следните принципи: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качеството за всеки вид консултантски пакет – ще се оценява съдържанието на представените консултантски пакети за степен на съответствие с европейското и националното законодателство в обхвата на модулите, включени в консултантските пакети;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Условия за предоставяне на консултантските услуги – ще се оценява степента на прилагане на съвременни методи за консултиране в селското и горското стопанство, брой предвидени посещения на стопанствата, методи за оценка на стопанството във връзка със обхвата на консултантските пакети и форми на предоставяне на съвети и препоръки, начина и подхода на идентифициране на желаещите да получат съветнически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Степен на включване в съответния пакет на модули за консултиране за подкрепа за участие по други мерки на програмата и съответствие с плана на показателите за резултати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се прилагат за оценка на всеки консултантски пакет, като общата оценка за класиране на консултантската организация се получава като осреднена от оценките на консултантските пакети, с които кандидатства.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първоначалното предоставяне на пакет А2Б се определя НССЗ.</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Интензитет и размер на помощта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интензитет на помощта е 100%.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помощта за индивидуалните консултантски услуги в рамките на един консултантски пакет по приоритетна област е 1500 евро. В случай на консултантски пакети само с базови модули максималният размер на консултантския пакет е 1000 евро.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дейности, които могат да бъдат подпомогнати в рамките на общите разходи по други мерки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3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се избират чрез покани за отправяне на предложения. Процедурата за подбор се регламентира от правото за обществените поръчки, с изключение на процедурата на вътрешно изключване до приключване на първата тръжна процедура. При процедурата на вътрешно изключване подпомагането ще бъде под формата на стандартни разходи и ще бъде създаден механизъм за извършване на контрол на съответствие на заявените разходи с допустимите;</w:t>
            </w:r>
          </w:p>
          <w:p>
            <w:pPr>
              <w:numPr>
                <w:ilvl w:val="0"/>
                <w:numId w:val="13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Административният контрол ще включва проверки за съответствие на заявените с допустимите стандартни разходи;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Подобряване на контролните системи, чрез въвеждане на кръстосани проверки за установяване на допустимостта на дейността;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3.1. На база придобития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с изключение на предоставяне на пакет А2Б на кандидатите по подмярка 6.1.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за пакет А2Б са изчислени по методика, при която е определена една обща стойност за целия пакет. В методиката са приложени следните конкретни стъпки: определяне на обхвата на пакета консултантски услуги (ПКУ); описание на дейностите по ПКУ А2Б, вкл. дейности извършвани на териториално и централно ниво, както и на включените разходи по дейности  -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 опит и информацията от прилагането на мярка 143 и мярка 114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храните и горите и Държавен фонд „Земеделие“. Удостоверението, потвърждаващо адекватността и точността на изчисленията е представено в част 18.2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Доставчиците на консултантски услуги по мярката, следва да разполагат с подходящи ресурси от редовно обучен и квалифициран персонал и консултантски опит и надеждност по отношение на обхвата на консултантските пакети, които ще предоставят, които се определят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Подходящи ресурси от квалифициран персонал - За предоставянето на консултантските услуги за земеделски стопани да са ангажирани: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научна степен или научно звание в една от следните професионални области: аграрни науки; ветеринарна медицина; аграрната икономика; инженерно-технически дисциплини в областта на земеделието; хранително-вкусова промишленост;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по един ключов консултант за всеки вид консултантски пакет, който ще предоставя консултантската организация, и допълнително минимум един консултант в областта на околната среда за консултантски пакети А2А,А3А, А3Б, А4А, А4Б, А4В, А5А, А5Г, в случай, че ключовият консултант по тези пакети не е с професионална квалификация в областта на опазване на околната среда.   За предоставяне на консултантски услуги за горски стопани да са ангажирани: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в областта на горското стопанство и/или стопанско управление, икономика;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един ключов консултант за задължителния елемент от консултантския пакет и допълнително минимум един консултант в областта на околната среда в случай, че ключовият консултант не е с професионална квалификация в областта на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квалифициран персонал във връзка с обхвата на консултантските услуги се определя от броя на видовете консултантски пакети, които ще предоставя една консултантска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Редовно обучен персонал - доказателства за всеки основен консултант и за ключовите консултанти за преминато специализирано обучение или форми за повишаване на квалификацията през последните 7 години преди периода на поканата по теми в областта на аграрните науки, ветеринарната медицина, икономика, екология, европейско и национално законодателство или по теми в обхвата на приоритетните области. Специализираното обучение и повишаването на квалификацията може да обхваща участие в семинари или курсове, получена магистърска или докторска степен, процедура по хабилитиране.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опит - наличие на консултантски опит на организацията от минимум 2 години. Консултантският опит трябва да бъде в поне една от областите на земеделието, ветеринарната медицина, горското стопанство, аграрната икономика, хранително-вкусовата промишленост, подготовка на проекти по програми на ЕС, околната среда, изменение на климата и други в обхвата на приоритетните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Надеждност по отношение на обхвата на консултантските пакети - консултантската организация трябва да покаже ангажимент към организацията от ключови консултанти, които да притежават професионална квалификация или доказан професионален опит в областта на съответните приоритетни области по отделните видове консултантски пакети. Конкретните изисквания ще бъдат посочени в поканата за предоставяне на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2.1.2 Консултантски услуги за малки земеделски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33"/>
              </w:numPr>
              <w:rPr>
                <w:b w:val="0"/>
              </w:rPr>
            </w:pPr>
            <w:r>
              <w:rPr>
                <w:b w:val="0"/>
              </w:rPr>
              <w:t>2.1 — подкрепа, насочена към възможностите за ползване на консултантски услуги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допринася към следните приоритетни области: 2А; 3А; 4А; 4Б; 4В; 5А; 5Б; 5В; 5Г;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Консултациите предоставяни по тази подмярка ще покриват идентифицираните нужди на малките земеделски стопанства в областта на технологиите за производство, околната среда и управлението на стопанствата. Малките земеделски стопанства ще имат достъп до описаните в т. Обосновка на мярката пакети от консултантски услуги за подмярка 2.1.2.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Целта на подмярката е бърз и лесен достъп на малките стопанства до качествени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подмярката ще допринесат за удовлетворяване на идентифицираните в стратегията потребности на малките земеделски стопанства относно повишаване на: тяхната квалификация и управленски умения; жизнеспособността им; осведомеността им; знанията им за опазване на околната среда и адаптиране към климатичните промени и подобряване на управлението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дейности са предоставяне на индивидуални консултантски услуги във вид на консултантски пакети за малки земеделски стопани определени в Раздел 4.1 на Тематичната подпрограма.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ТП1 - Пакет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ТП2 - Пакет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ТП3 - Пакет 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ТП4 - Пакет 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ТП5 - Пакет 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ТП6 - Пакет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са кодирани условно с цел опростяване на прилагането. Първите букви посочват вида на консултантските услуги – в случая, ТП- консултантски услуги за малки земеделски стопани по Тематичната подпрограма, цифрата показва вида пакет. За всеки един пакет се разработи стандартна таблица на разходите за единица продукт.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със законодателството на ЕС и националното законодателство в областта на опазване на околната среда, включително управление на територии в зони по „Натура 2000“, смекчаване на последиците от изменението на климата, биологичното разнообразие, опазване на водите, интегрирано управление на вредителите, законодателство, свързано с обществените поръчки и други. При предоставянето на консултантските услуги се съблюдават задълженията за поверителност на информацията съгласно чл.13, параграф 2 от Регламент (ЕС)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2017 г. директно се избира НССЗ да прилага избраните консултантски услуги за малките стопанства, определени в Раздел 4.1 на Тематичната подпрограма. След 2017 г. на база на подробен анализ на прилагането до 31.12.2017 г. на подмярка 2.1.2. „Консултантски услуги за малките земеделски стопани” и на постигнатите резултати по мярката, при необходимост ще бъде проведена тръжна процедура за избор и на други консултантски организации освен НССЗ.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Крайни бенефициенти /ползватели на услугите са малки земеделски стопанства, по определението, дадено в Раздел 4.1 на Тематичната подпрограма.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разходите за предоставяне на услугата чрез консултантски пакети. Разходите могат да включват: възнаграждения на консултантите, разходи за път, материали, разходи, свързани с мястото, в което се доставя консултацията и други разходи, които са обосновани и са пряко свързани с предоставянето на консултантския пакет. Разходите се определят за всеки консултантски пакет. Разходите за един консултантски пакет се отнасят за предоставянето на пакета на единица стопанство. Разходите се изплащат на бенефициентите по подмярката във вид на общи стандартни разходи по пакети. Стандартните разходи за всеки пакет, по който се предоставя консултантска услуга се умножават по броя на консултирани земеделски или горски стопани за да се определи общата сума за възстановяване на бенефициентите.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подмярка 2.1.2. за всеки един консултантски пакет са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ТП1 - Пакет 1 - 453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ТП2 - Пакет 2- 296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ТП3 - Пакет 3- 120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ТП4 - Пакет 4- 425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ТП5 - Пакет 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само елемент А -  438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само елемент Б -  550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само елемент В -  494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елементи А и Б заедно -  662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елементи А и В заедно -  623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елементи А, Б и В заедно  -  916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елементи Б и В заедно -  707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ТП6 - Пакет 6- 278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организациите трябва да отговарят на следните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докажат наличието на подходящи ресурси от квалифициран персонал;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докажат наличието на редовно обучен персонал;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докажат консултантски опит;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докажат надеждност по отношение на обхвата на консултантските пакети.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Конкретните изисквания за условията са посочени в т. Специфична информация за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2017 г. директно се избира НССЗ да прилага избраните консултантски услуги за малките стопанства определени в Раздел 4.1 на Тематичната подпрограма. След 2017 г. на база на подробен анализ на прилагането до 31.12.2017 г. на подмярка 2.1.2. „Консултантски услуги за малките земеделски стопани” и на постигнатите резултати по мярката, при необходимост ще бъде проведена тръжна процедура за избор и на други консултантски организации освен НССЗ.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интензитет на помощта е 100%.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 допустимата стойност на консултантски услуги е 1500 евро на земеделски стопанин за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дейности, които могат да бъдат подпомогнати в рамките на общите разходи по други мерки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3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се изплащат на бенефициентите по подмярката във вид на общи стандартни разходи по пакети и ще бъде създаден механизъм за извършване на контрол на съответствие на заявените разходи с допустимите;</w:t>
            </w:r>
          </w:p>
          <w:p>
            <w:pPr>
              <w:numPr>
                <w:ilvl w:val="0"/>
                <w:numId w:val="134"/>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Административният контрол ще включва проверки за съответствие на заявените с допустимите стандартни разходи;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Подобряване на контролните системи, чрез въвеждане на кръстосани проверки за установяване на допустимостта на дейността;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стойността на разходите за подмярка 2.1.2. за всеки вид консултантски пакет се базира на стандартни разходи, съгласно чл. 67, параграф 1, буква б) от Регламент (ЕС) № 1303/2013. При определянето на стандартните изчисления за разходите се прилагат условията на чл. 67, параграф 5, буква а) от Регламент (ЕС) № 1303/2013. За изчисленията са използвани данни от прилагането мярка 114 и мярка 143 за периода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подмярка 2.1.2 са изчислени по методика, при която за всеки един от 6-те пакета консултантски услуги (ПКУ) е определена отделна стойност. При определянето на стандартните разходи е взето предвид и е установено, че при едновременното предоставяне на повече от един ПКУ ще има припокриване на част от дейностите, както следва при два ПКУ – 5%, три ПКУ – 7.5%, четири – 10.0%, пет -12.5% и шест – 15% от дейностите,  и в тази връзка е прието при предоставяне на два или повече ПКУ стандартните разходи също да се намаляват с този процент В методиката са приложени следните стъпки за изчисляване на разходите: определяне на обхвата на всеки един ПКУ; описание на дейностите по ПКУ дейности, вкл. дейности извършвани на териториално и централно ниво, както и на включените разходи по дейности  -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 опит и информацията от прилагането на мярка 143 и мярка 114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храните и горите и Държавен фонд „Земеделие“. Удостоверението, потвърждаващо адекватността и точността на изчисленията е представено в част 18.2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Доставчиците на консултантски услуги по мярката, следва да разполагат с подходящи ресурси от редовно обучен и квалифициран персонал и консултантски опит и надеждност по отношение на обхвата на консултантските пакети, които ще предоставят, които се определят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Подходящи ресурси от квалифициран персонал - За предоставянето на консултантските услуги за земеделски стопани да са ангажирани: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научна степен или научно звание в една от следните професионални области: аграрни науки; ветеринарна медицина; аграрната икономика; инженерно-технически дисциплини в областта на земеделието; хранително-вкусова промишленост;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по един ключов консултант за всеки вид консултантски пакет, който ще предоставя консултантската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квалифициран персонал във връзка с обхвата на консултантските услуги се определя от броя на видовете консултантски пакети, които ще предоставя една консултантска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Редовно обучен персонал - доказателства за всеки основен консултант и за ключовите консултанти за преминато специализирано обучение или форми за повишаване на квалификацията през последните 7 години преди периода на поканата по теми в областта на аграрните науки, ветеринарната медицина, икономика, екология, европейско и национално законодателство или по теми в обхвата на приоритетните области. Специализираното обучение и повишаването на квалификацията може да обхваща участие в семинари или курсове, получена магистърска или докторска степен, процедура по хабилитиране.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опит - наличие на консултантски опит на организацията от минимум 2 години. Консултантският опит трябва да бъде в поне една от областите на земеделието, ветеринарната медицина, аграрната икономика, хранително-вкусовата промишленост, подготовка на проекти по програми на ЕС, околната среда, изменение на климата и други в обхвата на приоритетните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Надеждност по отношение на обхвата на консултантските пакети - консултантската организация трябва да покаже ангажимент към организацията от ключови консултанти, които да притежават професионална квалификация или доказан професионален опит в областта на съответните приоритетни области по отделните видове консултантски пакети. Конкретните изисквания ще бъдат посочени в поканата за предоставяне на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2.2 Създаване на консултантски услуги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35"/>
              </w:numPr>
              <w:rPr>
                <w:b w:val="0"/>
              </w:rPr>
            </w:pPr>
            <w:r>
              <w:rPr>
                <w:b w:val="0"/>
              </w:rPr>
              <w:t>2.2 — подкрепа за въвеждането на услуги по управление на стопанства, услуги по заместване в стопанства и консултантски услуги в областта на селското стопанство, както и в областта на горското стопанство</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подмярка ще се подпомогне създаването в България на консултантски капацитет на общински ниво чрез разширяването на териториалния обхват на НССЗ и създаване на мобилни общински центрове (офиси)  за консултантски услуги към НССЗ – до 50 общински центъра с по 2-ма съветници, отделно по 1  регионален координатор за районите на планиране  и 2 координатори на централно ниво.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Мобилни общински центрове (офиси) за консултантски услуги към НССЗ ще са самостоятелни звена и ще допълват дейността на областните офиси на НССЗ. Те ще извършват основно следните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Предоставяне на съвети и консултации на малки земеделски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Организиране на информационни събития за малки земеделски стопанства в различни населени места;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Посещение на малки земеделски стопанства за разясняване на условията за кандидатстване по тематичната подпрограма;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 се мобилни общински центрове (офиси) да обслужват и да консултират директно около 15 000 земеделски производители (300 бр. средно на офис), и заедно с участниците в информационните събития малките земеделски производители  възползвали се от услугите на мобилните офиси да надхвърлят 20 000 бр. (400 бр. средно на офис).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всяка една от петте години на подпомагане  НССЗ ще представя на Министъра на земеделието, храните и горите годишна работна програма за дейността на офисите в т.ч. очаквани резултати от тяхната дейност за съответната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Приоритетна(и) област(и), към които подмярката има принос: 2А.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мярката ще допринесат за удовлетворяване на идентифицираните в стратегията потребностите относно: повишаване квалификацията и управленските умения на земеделските производители; повишаване на тяхната осведоменост и подобряване на управлението на риска. Дейностите ще допринесат и за подобряване на капацитета на участниците в организацията за трансфера на знания и иновации и за облекчаване на достъпа на малките земеделски стопанства до съветнически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 на действително направени и платени допустими разходи и прилагане на единна ставка, определена чрез прилагане на процент към една или няколко определени категории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 Регламент 1306/2013 г. и Закона за подпомагане на земеделските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 бенефициент е НССЗ.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2.2. са допустими само разходи ясно свързани със стартирането на дейността на мобилните общинските центрове (офиси) и осигуряването на тяхната нормална работа и първоначално функциониране през първите 5 години от дейността им и по специално: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дълготрайни материални и нематериални активи стриктно свързани със създаването и функционирането на мобилните общинските центрове (офиси) в т.ч.  разходи за софтуерни продукти, оборудване, обзавеждане и закупуване на автомобили, както и разходи за задължителни по българското законодателство застраховки на автомобилите и за застраховка пълно „Каско“, както и разходи за застраховка на останалите дълготрайните материални активи, предмет на подпомагане за рисковете, посочени в насоките за кандидатстване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оперативни разходи стриктно свързани със създаването и функционирането на мобилните общинските центрове в т.ч. за гориво, комуникации, офис консумативи, ремонтни дейности и наем на помещенията, които ще се ползват от центровете;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служителите (съветниците) в мобилните общинските центрове (офиси) и за координаторите на регионално и централно ниво в т.ч. възнаграждения, съответстващи на актуални статистически данни на НСИ и командировъчни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обучение на служителите (съветниците) в мобилните общинските центрове (офиси)  и за координаторите на регионално и централно ниво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изработване, отпечатване и разпространение на информационни материали и за информационни мероприятия свързани с дейността на центровете;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извършвани от НССЗ извън горепосочените и които не са свързани с дейността на мобилните общински офиси (в т.ч. на координаторите на регионално и централно ниво)  няма да бъдат допустими.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от звената на НССЗ извън мобилните общински офиси (в т.ч. координаторите на регионално и централно ниво) няма да бъдат допустими.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са допустими за подкрепа по подмярката мобилните общински центрове, които ще разкрива НССЗ трябва да отговарят на поне едно от следните условия за териториален обхват: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обхващат минимум две съседни общини;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Общината, в която са разположени да е  извън  областния град</w:t>
            </w:r>
            <w:r>
              <w:rPr>
                <w:rFonts w:ascii="Times New Roman" w:eastAsia="Times New Roman" w:hAnsi="Times New Roman" w:cs="Times New Roman"/>
                <w:i/>
                <w:iCs/>
                <w:szCs w:val="24"/>
              </w:rPr>
              <w:t>;</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следните условия за квалифициран персонал:</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Всеки един от двамата съветници, работещи в тях да е поне на 4-ри часов работен ден;</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Всеки един от двамата съветници, работещи в тях да е преминал встъпително обучение в срок до 3 месеца от своето назначаване;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Всеки един от двамата съветници, работещи в тях, в срок до 12 месеца от своето назначаване, да е преминал обучение по опазване на околната среда в т.ч. относно смекчаване на последиците от изменението на климата и адаптиране към него, биологичното разнообразие и опазването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избора на местоположението и териториалния обхват на офисите ще бъдат използвани следните критерии: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население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общ брой земеделски стопанства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брой стопанства с използвана земеделска площ до 100 дка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общо ИЗП (дка) на малките стопанства (с ИЗП под 100 дка)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животински единици към преброяване 2010 г.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площ с плодове и зеленчуци (дка) към преброяване 2010 г.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постоянно затревени площи (дка) към преброяване 2010 г.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общо заети лица в земеделието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лица с единствена или основна заетост в земеделието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разстояние от общински център за разполагане на офиса до областен център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На база на тези критерии в наредбата за прилагане на мярката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ще бъде определено местоположението и териториалния обхват на офисите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 допустимите разходи за създаване на консултантски услуги са намаляващи за максимален период от пет години от учредяването и се намаляват както следва за всяка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1-ва година -100%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2-ра година - 95%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3-та година - 90%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4-та година - 85%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5-та година - 80%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 или единна ставка за оперативни разходи, свързани с функционирането на мобилните центрове;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Всеки един от съветниците, работещи в мобилните общински офиси трябва да е с професионална квалификация, научна степен или научно звание в една от следните професионални области: аграрни науки; ветеринарна медицина; икономика; хранително-вкусова промишленост, опазване на околната среда.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Представено е по подмерки.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Представено е по подмерки.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Представено е по подмерки.</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 където е приложимо.</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Доставчиците на консултантски услуги по мярката, следва да разполагат с подходящи ресурси от редовно обучен и квалифициран персонал и консултантски опит и надеждност по отношение на обхвата на консултантските пакети, които ще предоставят, които се определят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Подходящи ресурси от квалифициран персонал - За предоставянето на консултантските услуги за земеделски стопани да са ангажирани: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научна степен или научно звание в една от следните професионални области: аграрни науки; ветеринарна медицина; аграрната икономика; инженерно-технически дисциплини в областта на земеделието; хранително-вкусова промишленост;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по един ключов консултант за всеки вид консултантски пакет, който ще предоставя консултантската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предоставяне на консултантски услуги за горски стопани да са ангажирани: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в областта на горското стопанство и/или стопанско управление, икономика;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един ключов консултант за задължителния елемент от консултантския пакет.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квалифициран персонал във връзка с обхвата на консултантските услуги се определя от броя на видовете консултантски пакети, които ще предоставя една консултантска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Редовно обучен персонал - доказателства за всеки основен консултант и за ключовите консултанти за преминато специализирано обучение или форми за повишаване на квалификацията през последните 7 години преди периода на поканата по теми в областта на аграрните науки, ветеринарната медицина, икономика, екология, европейско и национално законодателство или по теми в обхвата на приоритетните области. Специализираното обучение и повишаването на квалификацията може да обхваща участие в семинари или курсове, получена магистърска или докторска степен, процедура по хабилитиране.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опит - наличие на консултантски опит на организацията от минимум 2 години. Консултантският опит трябва да бъде в поне една от областите на земеделието, ветеринарната медицина, горското стопанство, аграрната икономика, хранително-вкусовата промишленост, подготовка на проекти по програми на ЕС, околната среда, изменение на климата и други в обхвата на приоритетните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Надеждност по отношение на обхвата на консултантските пакети - консултантската организация трябва да покаже ангажимент към организацията от ключови консултанти, които да притежават професионална квалификация или доказан професионален опит в областта на съответните приоритетни области по отделните видове консултантски пакети. Конкретните изисквания ще бъдат посочени в поканата за предоставяне на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Специфични условия за подмярка 2.1.2 и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служба за съвети в земеделието (НССЗ) е публична организация, която предоставя съвети основно на малки и средни земеделски стопанства, които обикновено не са целева група на частните консултантски фирми. НССЗ използва различни методи за предоставяне на съвети и консултации, за да достигне до максимален брой земеделски производители. Необходимо е разширяване на капацитета на НССЗ със съответен допълнителен кадрови и друг вид потенциал, особено в тези териториални областни офиси, които обслужват селски райони в планинските, полупланински и погранични територии (в т.ч. на общинско ниво).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 модулите в обхвата на консултантските пакети може да се включат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3 - оценка и съвети при избор на нова за стопанството подходяща земеделска техника; съвети за разнообразяване на дейностите на стопанството; подкрепа за участие в мярка 9, включително изготвяне на бизнес план за създаване на групи или организации на производителите; подкрепа за участие в подмярка 6.2, включително разработване на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4 - съвети за: увеличаване на ефективността на потреблението на водата в земеделието на ниво напоителна система или напоително поле, включително въвеждане на водоспестяващи и енергоспестяващи поливни технологии;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7 - подкрепа за участие в подмярка 6.1, включително разработването на бизнес  и на заявление за кандидатстване; съвети по време на изпълнение на бизнес плана; консултиране на младия земеделски стопанин за кандидатстване по други мерки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8 - съвети за избор на подходящи дейности за условията на стопанството, подготовка на заявления и съвети по време на изпълнение на поети ангажименти по мярка 10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9 - съвети за: разработването на къси вериги на доставки,   включително, местното преработване и предоставяне на пазара; биологично земеделие, включително подготовка на заявление за кандидатстване и съвети по време на изпълнение на ангажиментите по мярка 11 от ПРСР; въпроси, свързани със здравните аспекти на животновъдството.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10 - съвети и предоставяне на информация за основни рискове в земеделието, методите за превенция, включително управление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11 - съвети за: въвеждане на противоерозионни практики, съобразно с почвените условия и отглежданите култури в стопанството; избор на подходяща земеделска техника за прилагане на противоерозионни практики; избор на противоерозионни параметри на поливните техники и технологии за предотвратяване на иригационната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12 - съвети за: използване енергоефективни техники и технологии на производство и методи за намаляване на разходите на енергия в селското стопанство; избор на енергоефективна земеделска техника и технологии за обработка на почвата и за прибиране на реколтата; използване на технологии, техники и съоръжения за подобряване на съхранението и прилагането на оборски тор и въвеждане на нисковъглеродни практики за преработка на оборски 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въз основа на които се предоставят консултантски услуги по мярката и се определя икономическия размер на земеделските стопанства, са в съответствие с актуалните данни по отношение на стандартната продукция (стандартен производствен обем) на национално ниво.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Процедура за прилагането на критериите за подбор по подмярка 2.1.1 и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консултантски организации по подмярка  2.1.1 и на обучаващите организации по подмярка 2.3 се извършва чрез прилагането на правилата за обществените поръчки. В Комисията за оценка за подмярка 2.1.1 или Комисията за оценка по подмярка 2.3., се включват експерти от Управляващия орган, от РА, експерти с квалификация и професионален опит в областите на обхвата на всички видове консултантски пакети и експерти с опит по осъществяване на консултантски дейности в земеделието и горите. Министърът на земеделието, храните и горите одобрява, по предложение на Управляващия орган, списък от независими експерти, които могат да участват в комисиите за оценка. Предложението се представя със съответната обосновка и приложени професионални биографии.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0" w:name="_Toc256000120"/>
      <w:r>
        <w:rPr>
          <w:b w:val="0"/>
        </w:rPr>
        <w:t>M04 — Инвестиции в материални активи (член 17)</w:t>
      </w:r>
      <w:bookmarkEnd w:id="120"/>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17, чл.45 и чл.46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и чл.13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подкрепата по мярката следва да се осигури допълняемост с постигнатото в периода 2007 – 2013 г. като финансовата помощ се насочи към материални и нематериални инвестиции в земеделските стопанства и предприятията, преработващи и добавящи стойност към земеделски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Материалните инвестиции по мярката ще бъдат  насочени към подобряване на икономическата стойност на стопанствата и предприятията, включително инвестиции за опазване на околната среда. Стопанствата, заети в трудоемките сектори като зеленчукопроизводство, трайни насаждения, етерично-маслени и медицински култури и животновъдство имат нужда от модернизиране на физическия капитал, въвеждане на нови технологии, увеличаване на площите с трайни насаждения, подобряване на предпазарната подготовка и съхранение на продукцията, за да се повиши производителността на труда и качеството на продукцията и добавената стойност. Чрез подпомагане насочено към развитието на стопанствата на млади земеделски стопани ще се улесни смяната на поколенията в земеделието. Налице е потенциал за значително увеличаване на броя на биологичните оператори и размера на площите и броя животни в система на контрол, както и нарастване на видовото разнообразие на отглежданите по биологичен начин култури и селскостопански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Конкурентоспособността на хранителния сектор наред с други фактори ще зависи от продуктовото развитие и нарастването на дела на продуктите с по-висока добавена стойност, което може да се постигне чрез: по-пълно интегриране между преработвателните и доставчиците на суровини като условие за производство на качествени и със специфични характеристики хранителни продукти, интегриране на български производители в големите компании за производство, търговия и доставка на хранителни продукти, запазване на производството на продукти, отговарящи на вкусовите предпочитания  и хранителни навици на потребителите на вътрешния пазар и утвърждаване на качествени хранителни продукти със специфични национални и регионални характеристики, вкл. и на такива със защитено географско обозначение.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Важен фактор за бъдещото развитие на селскостопанския сектор е предоставянето на възможност за изграждането и реконструкцията на инфраструктурата за напояване, което от своя страна да създаде благоприятни условия за получаване на устойчиви и качествени добиви от селскостопанските култури, отчитайки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Развитието на някои подсектори с по-големи стандартни производствени обеми (зеленчукопроизводство, трайни насаждения и други) е в пряка зависимост от наличието на вода и доброто управление на водите като цяло.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Отчитайки важността на мярката в прилагането на Общата селскостопанска политика, следва да се търси и допълняемост с други съпътстващи мерки от Програмата свързани с трансфера на знания, сътрудничество, подкрепа за създаване на стопанства на млади фермери.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приноса на мярката към междусекторните цели в областта на иновациите, опазването на околната среда и борбата с изменението на климата ще бъде постигнат чрез предоставянето на приоритет на проекти включващи такива дейности. По отношение на иновациите ще бъде предоставен приоритет на инвестиции свързани с модернизиране на физическия капитал чрез въвеждане на нови технологии и модерни методи на производство в земеделските стопанства, в предприятията от хранително вкусовата промишленост също ще бъде предоставян приоритет, свързан с насърчаването на иновациите и енергоспестяващите технологии. Приоритетно подпомагане ще бъде осигурено по отношение постигане изискванията на стандартите на Общността, което спомага за  опазване на околната среда и борба с климатичните промени наред с инвестиции в подходящо оборудване, съоражения и техника за прилагането на добрите земеделски практики, включително енергоспестяващи технологии и иновации в прилагане на техниките и технологии за екологосъобразни практики.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своя страна за инвестиции за възстановяването на хидромелиоративната структура в стопанствата и извън тях ще гарантира адаптирането на земеделското производство към промените на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Възможностите, които мярката предоставя като подкрепа в контекста на междусекторните цели и области на въздействие покриват очертаните потребности в рамките на територията свързани с: подпомагането с цел преструктуриране и модернизиране на стопанства в чувствителни сектори със затруднен достъп до пазара, включително малки земеделски стопанства /за зеленчукопроизводство, трайни насаждения, етерично-маслени и медицински култури/, подпомагане насочено към постигане съответствие с нововъведени стандарти на Общността приложими за съответните стопанства, подпомагане за развитие и разширяване на стопанствата на млади земеделски стопани, подкрепа за подобряване на връзките между земеделски стопани, преработватели и търговци и засилване кооперирането в и между секторите, подкрепа за модернизиране на физическите активи на предприятията преработващи земеделски продукти с цел производство на нови и качествени продукти, включително такива свързани с къси вериги на доставка, подпомагане насочено към предотвратяване и намаляване на замърсяването от селското стопанство и прилагането на добри земеделски практики, подкрепа насочена към възстановяването на хидромелиоративната структура в стопанствата и извън тях, и повишаване на енергийната ефективност, подпомагане насочено към производство  на биоенергия и развитие на предприемачеството в селските райони. Наличието на инвестиционна подкрепа предоставя възможност за създаването на нови работни места и устойчива заетост, включително подобряване на общата конкурентоспособност на субектите с оглед повишаване на техните конкурентни предимства. За нормално функциониране, развитие и адаптиране на стопанствата и предприятията инвестиционната подкрепа по мярката ще позволи изграждането и реконструкцията на съответната инфраструктура свързана с енергоснабдяване, управление на водите, достъпа до земеделска и горска земя. Посредством комбинацията от различни дейности мярката ще предостави възможност за изпълнението на интегрирания подход, допринасящ за повишаване на добавената стойност. Изпълнението на дейности за непроизводствени инвестиции, ще осигури допълняемост с поети агроекологични ангажименти и такива свързани с опазване на околната среда. Мярката ще окаже своето влияние и по отношение на възстановяване, опазване и укрепване на екосистемите, зависещи от селското и горското стопанство, включително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Широкия обхват на мярката и ролята и по отношение приоритета насочен към повишаване на конкурентоспособността на всички видове селскостопанска дейност и укрепване на жизнеспособността чрез подпомагане на инвестиции на стопанствата и предприятията я превръща в ключова. Подобряване на икономическите резултати на земеделските стопанства и улесняване на преструктурирането и модернизирането им, особено с оглед увеличаването на пазарното участие и ориентация ще бъде постигнато чрез предвидената инвестиционна подкрепа по мярката насочена към инвестициите във физически капитал за подобряване производителността на труда и качеството на произвежданата продукцията, включително стимулиране развитието на приоритетни земеделски сектори в страната, като: животновъдство (говедовъдство, биволовъдство, овцевъдство, козевъдство и пчеларство); зеленчукопроизводство; трайни насаждения (вкл. десертни лозя); етерично-маслени и медицински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Също така се предвижда инвестиционна подкрепа за рехабилитацията и модернизацията на хидромелиоративните системи, които са от ключово значение за повишаване на производителността в приоритетните сектори, повишаване на ефективността на използването на водите и адаптация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и за улесняване на навлизането на земеделски стопани и приемствеността между поколенията в селскостопанския сектор. Подпомагането по мярката ще улесни и насърчи навлизането на млади хора в селското стопанство и ще подпомогне развитието на техните земеделски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Инвестиционната подкрепа ще благоприятства за улесняване и подобряване на достъпа до пазарите и пазарните позиции на земеделските стопанства и повишаване на добавената стойност чрез насърчаване на кооперирането и подобряване на ефективността на хранителната верига. Мярката ще подпомага инвестициите във физически активи в селското стопанство и преработващата промишленост за производство на продукти с висока добавена стойност, включително такива свързани с къси вериги на доставка и схеми за качество.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възстановяването, опазването и укрепването на биологичното разнообразие са предвидени и специфични инвестиции, свързани с традиционните екстензивни земеделски практики, които са пряко свързани с изпълнението на ангажименти за съхранението на традиционните екстензивни земеделски практики и екстензивното пасищно отглеждане на животните, природосъобразни практики за опазване на биологичното разнообразие и опазване на околната среда, включително техническо обезпечаване на земеделските стопанства за обработване на почвата/стърнищата, биологичната рекултивация с характерни за района тревни видове на деградиралите земеделски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управлението на водите, включително управлението на торовете и пестицидите с цел намаляване на дифузното и точково замърсяване на водите от земеделски източници ще бъде постигнато чрез подпомагане на инвестиции за съхранение и използване  на животински отпадъци и въвеждане на нисковъглеродни практики за преработка на оборски 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Предотвратяването на деградацията на почвите ще бъде подсигурено чрез подпомагане на инвестиции в машини и технологии подходящи за намаляване на ерозията на почвата.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Необходимостта от подобряване на хидромелиоративната инфраструктура, включително поливна техника и технология в земеделските стопанства ще бъде постигната чрез инвестиции в реконструкция и модернизация и въвеждане на ефективно управление на системите, насърчаване на ефективното използване на водата. Подпомагането в тази област ще бъде приоритетно насочено към чувствителните земеделски култури, каквито са зеленчуците и овощните насаждения, включително при инвестиции извън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тези условия напоителната инфраструктура ще се използва за задоволяването на нарасналите нужди на селскостопанските култури от вода и ще осигури защита на обработваемата земя от вредните въздействия, свързани с климатичните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икономическите ползи за земеделските стопани, инвестициите в напояване ще доведат и до значително подобряване и ефективно използване на водите .. Българските власти въвеждат като минимално изискване 15 % от потенциалната икономия на вода, което надхвърля минималното изискване на регламента. По този начин ще се стимулират инвестиции във водоспестяващи технологии, ще се намали количеството на иззетата вода за напояване и ще се подобри статуса на водните тела. Инвестициите в инфраструктура за напояване не трябва да водят до влошаване състоянието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на ефективното използване на ресурсите, с цел повишаване на ефективността на потреблението на енергия в селското стопанство и хранително-вкусовата промишленост по мярката, ще се подпомагат инвестиции, свързани с въвеждането на енергоспестяващи технологии и иновации при производството и преработката на селскостопанска продукция и предлагането й на пазара. По отношение използването на ВЕИ подпомагането на земеделското производство и преработвателните предприятия ще бъде насочено и към инвестиции за изграждане на нови и реконструкция на съществуващи производствени мощности за преработка на вторични продукти, отпадъци, остатъци и други суровини в био енергия в рамките на стопанствата. Мярката ще допринесе и за създаването на работни места чрез разнообразяването на икономиката на селските райони посредством предприятия преработващи земеделска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Области на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широкия обхват на инвестиционната подкрепа по мярката, същата ще спомогне за постигане на ефект в следните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2A, Приоритетна област 2Б, Приоритетна област 3A, Приоритетна област 4A, Приоритетна област 4Б, Приоритетна област 4В, Приоритетна област 5A, Приоритетна област 5Б, Приоритетна област 5В, Приоритетна област 5Г, Приоритетна област 6A.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Мярката предоставя възможност на кандидатите за инвестиционна подкрепа, както следва: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общата производителност на земеделските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-Преработка и/или маркетинг на селскостопански продукти включени в Приложение I към Договора за функциониране на Европейския съюз, включително памук, с изключение на риба и рибни продукти. Резултатът от производствения процес може да бъде продукт, който не е включен в обхвата на Приложение І.</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-Инфраструктура насочена към развитие на селското стопанство и горското стопанство;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Непроизводствени инвестиции насочени необходими за постигане на агроекологични цели и цели в областта на климата и опазване на околната среда.</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 Подмярка 4.1  „Инвестиции в земеделски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36"/>
              </w:numPr>
              <w:rPr>
                <w:b w:val="0"/>
              </w:rPr>
            </w:pPr>
            <w:r>
              <w:rPr>
                <w:b w:val="0"/>
              </w:rPr>
              <w:t>4.1 — подкрепа за инвестиции в земеделски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ще бъде насочено към модернизиране на земеделските стопанства /ЗС/, включително преструктуриране и модернизиране на стопанства в чувствителни сектори със затруднен достъп до пазара и биологично производство чрез модернизиране на физическия капитал, нематериални активи, свързани с организацията и управление на стопанствата, въвеждане на нови и енергоспестяващи технологии, подобряване на предпазарната подготовка и съхранение на продукцията. По този начин ще се постигне повишаване на производителността на труда, качеството и добавената стойност на продукцията. Въвеждане на нови технологии в производството и модернизация на физическия капитал ще благоприятства за повишаването на производителността на труда в ЗС, включително инвестициите свързани с предотвратяване и намаляване на замърсяването от селското стопанство и прилагането на добри земеделски практики и такива насочени към изграждане/възстановяването на поливна структура в стопанствата. Чрез подкрепата по мярката ще се търси разширяване стопанствата на младите земеделски производители /ЗП/ с цел осигуряване на устойчиво развитие на земеделието и осигуряване на смяната на поколенията в земеделието. Подпомагането по мярката ще насърчава и сътрудничеството между ЗС, включително чрез подпомагането на групи и организации на производители с цел съвместни инвестиции за предлагане на пазара, съхранение. По този начин ще се отговори на изискванията на пазара за количество и качество на предлаганата продукция. Инвестициите в ЗС насочени към постигане на стандартите на ЕС ще подобрят значително условията в тях и благосъстоянието на отглежданите в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Всички инвестициите за напояване трябва да: са в съответствие с Плана за управление на речните басейни /ПУРБ/; да имат осигурен достъп до услуги за напояване: да предвиждат измерване на потреблението на вода на база планираните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за рехабилитация на съществуващи системи за напояване трябва да са изпълнени по предварителна оценка следните условия</w:t>
            </w:r>
            <w:r>
              <w:rPr>
                <w:rFonts w:ascii="Times New Roman" w:eastAsia="Times New Roman" w:hAnsi="Times New Roman" w:cs="Times New Roman"/>
                <w:szCs w:val="24"/>
                <w:u w:val="single"/>
              </w:rPr>
              <w:t xml:space="preserve"> съгласно чл. 46, § 4 от Регламент /ЕС/ 1305/2014</w:t>
            </w:r>
            <w:r>
              <w:rPr>
                <w:rFonts w:ascii="Times New Roman" w:eastAsia="Times New Roman" w:hAnsi="Times New Roman" w:cs="Times New Roman"/>
                <w:szCs w:val="24"/>
                <w:u w:val="single"/>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В случай на водно тяло със състояние определено в съответния ПУРБ, най – малко като „добро“ с инвестициите трябва да се осигурява най – малко 15% потенциална икономия на вода.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В случай на водно тяло със състояние определено в съответния ПУРБ, като по – ниско от „добро“ с инвестициите трябва да се осигурява най – малко 15% потенциална икономия на вода и ефективно намаление на консумацията на вода с не по – малко от 50% от потенциалната икономия.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Посочените условия за инвестиции за рехабилитация на съществуващи системи за напояване не са приложими за инвестиции свързани само с енергийна ефективност, за съоръжения за съхранение на вода или за инвестиции, които използват само рециклирани води.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 свързани с нетно увеличение на напояваната площ трябва да са изпълнени следните условия съгласно чл. 46, § 5 от Регламент /ЕС/ 1305/2014: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инвестициите, водещи до нетно увеличение на напояваните площи, не е в категория по – ниска от „добро“, оценката за въздействие върху околната среда на инвестицията трябва да доказва, че същата няма да окаже значително отрицателно въздействие върху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че състоянието на водното тяло определено в съответния ПУРБ, е в категория по – ниска от „добро“; инвестицията е допустима за подпомагане ако включва и инвестиции в съществуващата напоителна инсталация, които по предварителна оценка осигуряват най – малко между 15%  и 25% потенциална икономия на вода съгласно техническите характеристики на съществуващата инсталация и инвестициите трябва да осигуряват ефективно намаление на потреблението на вода с не по – малко от 50% от потенциалната икономия в рамките на инсталацията за съответното земеделско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 за рехабилитация на съществуващи системи за напояване при определяне на потенциалната икономия на вода и ефективното намаление на консумацията на вода ще се взимат предвид и данните за предходен период от водомерните устройства или актуваните и фактурирани водни количества съобразени с утвърдените поливни и напоителни норми към съответната съществуваща система.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нови инсталации  за напояване също ще бъдат допустими/чл. 46, § 6 от Регламент /ЕС/ 1305/2014/, ако се доставя вода от съществуващ язовир въведен в експлоатация преди 31.10.2013 г., който е включен в ПУРБ на Басейнова дирекция и подлежи на контрол, включително за максимална граница за общо водочерпене или за минимален отток след язовира и не е налице нарушаване на тези граници.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Напоявани площи са площи със съществуващи напоителни инсталации, както и площи, които не се напояват, но в които към 1 януари 2007 г. е действала напоителна инсталация.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Договори по подмярката за проекти с инвестиции свързани с напояване няма да бъдат сключвани със земеделските стопани преди пълното синхронизиране с изискванията на Рамковата директива за водите на Плана за управление на речните басейни за съответния район, в който се намира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напояване по подмярката ще се подпомагат в случай, че е осигурено разрешение за водовземане от съответните структури на Министерство на околната среда и водите (МОСВ) в съответствие с Плана за управление на речните басейни и което гарантира, че няма да има влошаване на водния статус в резултат  на инвестицията или друго значително негативно въздействие върху околната среда включително от кумулативното въздействие от всички инвестиции за напояване в речния басейн.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За проектни предложения, подадени след 01.01.2024 г., се прилагат следните специфични условия:</w:t>
            </w:r>
          </w:p>
          <w:p>
            <w:pPr>
              <w:numPr>
                <w:ilvl w:val="0"/>
                <w:numId w:val="13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инвестиции за подобрение на съществуващи напоителни системи са допустими в рамките на напояваните площи;</w:t>
            </w:r>
          </w:p>
          <w:p>
            <w:pPr>
              <w:numPr>
                <w:ilvl w:val="0"/>
                <w:numId w:val="13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не са допустими за подпомагане инвестиции, свързани с нетно увеличение на напояваната площ;</w:t>
            </w:r>
          </w:p>
          <w:p>
            <w:pPr>
              <w:numPr>
                <w:ilvl w:val="0"/>
                <w:numId w:val="13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максималният обем на заявените за подпомагане съоръжения за съхраняване на вода не може да надвишава 1 млн. куб. м.;</w:t>
            </w:r>
          </w:p>
          <w:p>
            <w:pPr>
              <w:numPr>
                <w:ilvl w:val="0"/>
                <w:numId w:val="13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не се подпомага като самостоятелно проектно предложение</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доставка и монтаж на съоръжения за съхраняване на вода.</w:t>
            </w: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които включва финансиране чрез споделяне на риска в две възможности:</w:t>
            </w:r>
          </w:p>
          <w:p>
            <w:pPr>
              <w:numPr>
                <w:ilvl w:val="0"/>
                <w:numId w:val="13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Кредити за съфинансиране на проекти за инвестиции, подпомагани по подмярката;</w:t>
            </w:r>
          </w:p>
          <w:p>
            <w:pPr>
              <w:numPr>
                <w:ilvl w:val="0"/>
                <w:numId w:val="13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Самостоятелни заеми (без съфинансиране от безвъзмездните средства) отпускани съгласно целите на подмярката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за съфинансиране на проекти ще подпомогнат реализирането на одобрени проекти по подмярката, като също така ще увеличат и интереса към нея с оглед възможностите за финансиране. Самостоятелните заеми са алтернатива на помощта под формата на безвъзмездни средства, като стимулират инвестиции, допринасящи за целите на подмярката, в следствие на достъпно финансиране от избраните финансови посредници.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за инвестиции в материални и нематериални активи, които подобряват цялостните резултати и устойчивостта на земеделските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в селскостопанския сектор, предимно свързани с достъпа до финансиране, високите лихвени нива и относително ограничената склонност на търговските банки да поемат риск при инвестиции в сектора.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се предоставя на територията на цялата страна, за материални и нематериални инвестиции в новосъздадени и съществуващи земеделските стопанства за покриване нуждите на същите, съобразени с техният капацитет. Подкрепата ще бъде насочена към  инвестиции, свързани с:</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модернизация и механизация /инвестиции във физически активи/ пряко свързана с намаляване на производствените разходи и повишаване производителността на труда;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модернизация и механизация /инвестиции във физически активи/ пряко свързана с намаляване на производствените разходи и повишаване производителността на труда свързани с изпълнение на дейностите по мярка „Агроекология и климат“ и мярка „Биологично земеделие“;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съответствие с нововъведени стандарти на Общността приложими за съответните стопанства;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изграждане, реконструкция/рехабилитация на съоръжения и оборудване, включително кладенци и съоръжения за съхранение на вода за напояване, включващи изграждането на нови и подобряване на съществуващи мрежи в стопанствата;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пряко свързани с подобряване на енергийната ефективност на стопанствата;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съхранение на земеделската продукция с цел запазване качеството на продукцията;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машини и съоръжения за опазване на околната среда, включително за съхранение на оборска тор;</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недвижима собственост свързана с дейността на земеделските стопанства;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създаване и/или презасаждане на трайни насаждения, десертни лозя, медоносни дървесни видове за производство на мед и бързорастящи храсти и дървесни видове за производство на биоенергия;</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производство на енергия от възобновяеми енергийни източници  за нуждите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на територията на цялата страна за инвестиции в материални и нематериални активи, свързани със селскостопанска дейност, които подобряват цялостните резултати и устойчивостта на земеделските стопанства.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Връзка с друго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 Ще бъде осигурена система на контрол осигуряваща избягване на двойно финансиране с други финансови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Първи стълб на ОСП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предоставяна по подмярката не се припокрива с обхвата на помощта предоставяна в рамките на първи стълб от ОСП. При прилагането на мярката ще бъдат осигурени необходимите проверки за гарантиране избягването на двойно финансиране. Разплащателната агенция ще извършва кръстосана проверка, целяща избягване на двойното финансиране по ПРСР и схемите за подпомагане за подпомагане в рамките на Първи стълб. Инвестиционните проекти, които има възможоност да попаднат в обсега на схемите за подпомагане по първи стълб  от ОСП ще бъдат проверявани индивидуално за възможно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„Плодове и зеленчуци”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на производителите няма да бъдат подпомагани по подмярката за дейности включени за подпомагане в техните Оперативни програми, съгласно Регламент (EC) № 2200/96.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„Вино”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подмярката няма да бъде предоставяна за инвестиции  допустими за подпомагане по „Национална програма за подпомагане на лозаро – винарския сектор“ в съответствие с Регламент (ЕО) № 1234/2007 на Съвета от 22 октомври 2007 г. Ще бъдат осигурени контролни проверки с цел избягване на двойно финансиране, които ще се прилагат за всеки инвестиционен проект по подмярката. По подмярка 4.1 няма да се подпомагат дейности свързани с конверсия на сортовия състав на насажденията със сортове, класифицирани за съответните лозарски райони на страната, преструктуриране на лозя и подобряване на техниките за управление на лозя.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„Пчеларство”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инвестициите в пчеларство ще бъде направено пълно разграничение между инвестициите подпомагани по подмярка 4.1 и тези подпомагане по „Национална програма по пчеларство 2014-2016“ в съответствие с Регламент (ЕО) № 1234/2007 на Съвета от 22 октомври 2007 г. В рамките на „Национална програма по пчеларство 2014-2016“ за закупуване на пчелни кошери ще бъдат подпомагани земеделски производители, които притежават до 150 пчелни семейства. Ще бъдат осигурени контролни проверки с цел избягване на двойно финансиране, които ще се прилагат за всеки инвестиционен проект по мярката. По подмярка 4.1 за закупуване на пчелни кошери ще се подпомагат кандидати, които притежават над 150 пчелни семейства.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w:t>
            </w:r>
            <w:r>
              <w:rPr>
                <w:rFonts w:ascii="Times New Roman" w:eastAsia="Times New Roman" w:hAnsi="Times New Roman" w:cs="Times New Roman"/>
                <w:b/>
                <w:bCs/>
                <w:i/>
                <w:iCs/>
                <w:szCs w:val="24"/>
              </w:rPr>
              <w:t>„Тютюн”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Инвестиционни дейности няма да бъдат подпомагани в сектор „Тютюн“. Производители на тютюн ще се подпомагат за дейности извън /диверсификация/ производството на тютюн.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„Зехтин”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Производството, преработката и маркетинга на зехтин няма да бъдат подпомагани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„Хмел”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подпомагани по чл.6 от Регламент (EC) № 1952/2005 няма да бъдат подпомагани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„Захар”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ПРСР няма да се подпомагат инвестициите за преработката на суровини за производство на захар и/или сладкарски изделия.</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Земеделски производители /Физически и Юридически лица/:</w:t>
            </w:r>
          </w:p>
          <w:p>
            <w:pPr>
              <w:numPr>
                <w:ilvl w:val="0"/>
                <w:numId w:val="139"/>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следва да са регистрирани земеделски производители в съответствие със Закона за подпомагане на земеделските производители;</w:t>
            </w:r>
          </w:p>
          <w:p>
            <w:pPr>
              <w:numPr>
                <w:ilvl w:val="0"/>
                <w:numId w:val="13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 стандартен производствен обем на стопанството на кандидата следва да бъде не по - малко от 8 000 евро;</w:t>
            </w:r>
          </w:p>
          <w:p>
            <w:pPr>
              <w:numPr>
                <w:ilvl w:val="0"/>
                <w:numId w:val="13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юридически лица следва да докажат приход от земеделска дейност и/или приход от услуги директно свързани със земеделска дейност и/или преработка на земеделска продукция и/или участие и подпомагане по схемата за единно плащане на площ;</w:t>
            </w:r>
          </w:p>
          <w:p>
            <w:pPr>
              <w:numPr>
                <w:ilvl w:val="0"/>
                <w:numId w:val="13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следва да представят бизнес план /БП/, доказващ подобряване на дейността на ЗС чрез прилагане на планираните инвестиции и дейности подробно описани в представения БП.</w:t>
            </w:r>
          </w:p>
          <w:p>
            <w:pPr>
              <w:numPr>
                <w:ilvl w:val="0"/>
                <w:numId w:val="13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w:t>
            </w:r>
            <w:r>
              <w:rPr>
                <w:rFonts w:ascii="Times New Roman" w:eastAsia="Times New Roman" w:hAnsi="Times New Roman" w:cs="Times New Roman"/>
                <w:szCs w:val="24"/>
                <w:u w:val="single"/>
              </w:rPr>
              <w:t>андидатите за подпомагане подали проектно предложение след 01.01.2021 г. следва да са регистрирани земеделски производители в съответствие със Закона за подпомагане на земеделските производители от най-малко 36 месеца към датата на подаване на проектното предложение, с изключение на кандидати групи или организации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допустимост по т. 3 не се прилагат за кандидати с проекти в селски райони, създадени до 1 година преди кандидатстването за проекти с инвестиции в: сектор „животновъдство”, сектор „плодове и зеленчуци”, производство на „етерично – маслени и медицински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Дружеството получател на финансова помощ за проекти за колективни инвестиции следва да е регистрирано съгласно Търговския закон или Закона за кооперациите, като изискванията посочени по – горе се отнасят за земеделските производители участващи в това дружество.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проекти на земеделски производители за колективни инвестиции е необходимо всички ЗП участващи в дружеството кандидат да отговорят на критериите за допустимост по мярката и да нямат доминиращо влияние в управлението на дружеството кандидат. За кандидати групи или организации на производители условието по т. 2 не се прилага индивидуално за членовете, а се счита за изпълнено, ако общият стандартен производствен обем, формиран като сбор от стандартните производствени обеми на земеделските стопанства на членовете на групата или организацията, отнесен към броя на земеделските стопани, членове на групата или организацията, е не по-малко от левовата равностойност на 8 000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Групи/Организации на производители:</w:t>
            </w:r>
          </w:p>
          <w:p>
            <w:pPr>
              <w:numPr>
                <w:ilvl w:val="0"/>
                <w:numId w:val="140"/>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признати като група/организация на производители, в съответствие с националното и/или европейското законодателство за организации на производители и/или одобрени за финансова помощ по мярка 9 „Учредяване на групи и организации на производители”;</w:t>
            </w:r>
          </w:p>
          <w:p>
            <w:pPr>
              <w:numPr>
                <w:ilvl w:val="0"/>
                <w:numId w:val="1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следва да са свързани с основата земеделска дейност на членовете на организацията, която е основна и за организацията;</w:t>
            </w:r>
          </w:p>
          <w:p>
            <w:pPr>
              <w:numPr>
                <w:ilvl w:val="0"/>
                <w:numId w:val="1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следва да представят БП, доказващ подобряване на земеделската дейност на земеделските стопанства на членовете и основна за организацията чрез прилагане на планираните инвестиции и дейности подробно описани в представения БП;</w:t>
            </w:r>
          </w:p>
          <w:p>
            <w:pPr>
              <w:numPr>
                <w:ilvl w:val="0"/>
                <w:numId w:val="14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БП трябва да показва, че инвестициите са от полза на цялата организация на производители.</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микро, малки и средни предприятия, които отговарят на следните минимални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Кандидатите за подпомагане от финансовия инструмент следва да са регистрирани земеделски производители в съответствие със Закона за подпомагане на земеделските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признати като група/организация на производители, в съответствие с националното законодателство. Инвестициите следва да са свързани с дейността на групата/организацията, за сектора,  в който са регистрирани.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Планираните инвестиции трябва да доказват подобряване на резултатите от селскостопанската дейност и жизнеспособността на предприятието.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Допустими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w:t>
            </w:r>
          </w:p>
          <w:p>
            <w:pPr>
              <w:numPr>
                <w:ilvl w:val="0"/>
                <w:numId w:val="141"/>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Закупуване/придобиване, строителство или обновяване на сгради и друга недвижима собственост, използвана за земеделското производство в стопанство, включително такава използвана за опазване на околната среда.</w:t>
            </w:r>
          </w:p>
          <w:p>
            <w:pPr>
              <w:numPr>
                <w:ilvl w:val="0"/>
                <w:numId w:val="14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и/или инсталиране на нови машини, съоръжения и оборудване, необходими за подобряване на земеделския производствен процес, включително свързани с опазване на околната среда, съхранение и подготовка за продажба на земеделска продукция от стопанството, получаване на топлинна и/или електро- енергия, необходими за земеделските дейности в стопанството, подобряване на енергийната ефективност.</w:t>
            </w:r>
          </w:p>
          <w:p>
            <w:pPr>
              <w:numPr>
                <w:ilvl w:val="0"/>
                <w:numId w:val="14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и/или презасаждане на трайни насаждения, включително трайни насаждения от десертни лозя, медоносни дървесни видове /за производство на мед/ и други бързо растящи храсти и дървесни видове, използвани за производство на био-енергия.</w:t>
            </w:r>
          </w:p>
          <w:p>
            <w:pPr>
              <w:numPr>
                <w:ilvl w:val="0"/>
                <w:numId w:val="14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на съответствие с нововъведените стандарти на Общността.</w:t>
            </w:r>
          </w:p>
          <w:p>
            <w:pPr>
              <w:numPr>
                <w:ilvl w:val="0"/>
                <w:numId w:val="14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на съответствие със съществуващи стандарти на Общността - за млади земеделски производители, получаващи подкрепа по мярка 6.1.</w:t>
            </w:r>
          </w:p>
          <w:p>
            <w:pPr>
              <w:numPr>
                <w:ilvl w:val="0"/>
                <w:numId w:val="14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съоръжения и съответно оборудване необходимо за производството на мед и други пчелни продукти, както и за развъждането на пчели-майки.</w:t>
            </w:r>
          </w:p>
          <w:p>
            <w:pPr>
              <w:numPr>
                <w:ilvl w:val="0"/>
                <w:numId w:val="14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земя, необходима за изграждане/модернизиране на сгради, помещения и други недвижими активи предназначени за земеделските производствени дейности и/или за създаване/презасаждане на трайни насаждения /до 10 % от общия размер на допустимите инвестиционни разходи /Съгласно Раздел 8.1/.</w:t>
            </w:r>
          </w:p>
          <w:p>
            <w:pPr>
              <w:numPr>
                <w:ilvl w:val="0"/>
                <w:numId w:val="14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специализирани земеделски транспортни средства – като например камиони, цистерни за събиране мляко, хладилни превозни средства за транспортиране на продукция, превозни средства за транспортиране на живи животни и птици, и др.</w:t>
            </w:r>
          </w:p>
          <w:p>
            <w:pPr>
              <w:numPr>
                <w:ilvl w:val="0"/>
                <w:numId w:val="141"/>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Рехабилитация на съществуващи и изграждане на нови съоръжения и оборудване за напояване, включващи изграждането на нови и подобряване на съществуващи мрежи в стопанствата, включително кладенци и съоръжения за съхранение на вода, както и закупуване на техническо оборудване за тяхната експлоатация, включително нови тръбопроводи, системи за капково напояване, инсталации за дъждуване, помпени станции, техники/съоръжения за съхраняване/опазване на водата,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Нематериални инвестиции: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1.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2. 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3. Закупуване на софтуер;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4. Разходите свързани за достигане съответствие с международни признати стандарти, като: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системи за управление на качеството в земеделските стопанства, въвеждане на добри производствени практики, подготовка за сертификация.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придобиването, включително отпускането на лизинг, или подобренията на недвижимо имущество, без да се засягат ограниченията, посочени в член 4 от R.480 / 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до пазарната цена на актива;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Без да се засяга член 60, параграф 2 от регламент 1305/2013, общи разходи, свързани с разноските по букви а) и б), например хонорари на архитекти, инженери и консултанти, хонорари, свързани с консултации относно екологичната и икономическата устойчивост, включително проучвания за техническа осъществимост. Проучванията за техническа осъществимост продължават да бъдат разход, който отговаря на условията, дори когато на база на техните резултати не се правят разходи по букви а) и 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придобиването или развитието на компютърен софтуер и придобиването на патенти, лицензи, авторски права, търговски марки;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 Оборотни средства, които допълват нова инвестиция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ж) ДДС, съгласно изискванията на чл. 37, пар.11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 покупка на машини, съоръжения и оборудване втора употреба;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 покупка на животни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трябва са свързани с производството на селскостопански продукти включени в приложение I на Договора или памук, с изключение на</w:t>
            </w:r>
            <w:r>
              <w:rPr>
                <w:rFonts w:ascii="Times New Roman" w:eastAsia="Times New Roman" w:hAnsi="Times New Roman" w:cs="Times New Roman"/>
                <w:szCs w:val="24"/>
              </w:rPr>
              <w:br/>
            </w:r>
            <w:r>
              <w:rPr>
                <w:rFonts w:ascii="Times New Roman" w:eastAsia="Times New Roman" w:hAnsi="Times New Roman" w:cs="Times New Roman"/>
                <w:szCs w:val="24"/>
              </w:rPr>
              <w:t>риба и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Техническите характеристики на съоръженията за напояване, земеделската техника и оборудването за обработка на почвата и прибиране на реколтата обект на подпомагане по мярката, трябва да съответстват на ИЗП от земеделския производител.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не се подпомагат инвестиции, за които е установено, че ще оказват отрицателно въздействие върху околната среда /Виж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ще се предоставя за инвестиции за постигане на съответствие с нововъведени стандарти на Общността. За този тип инвестиции с цел съобразяване с тези изисквания подпомагането може да бъде предоставено в рамките на 12 месеца от датата, на която изискванията стават задължителни за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нововъведените стандарти на Общността и правното основание, за чието въвеждане се осигурява подкрепа по подмярката ще бъде посочен в Приложение 1 към Раздел 8.2 от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проекти с инвестиции, предприети от млади фермери получаващи подкрепа при условията определени по подмярка 6.1</w:t>
            </w:r>
            <w:r>
              <w:rPr>
                <w:rFonts w:ascii="Times New Roman" w:eastAsia="Times New Roman" w:hAnsi="Times New Roman" w:cs="Times New Roman"/>
                <w:i/>
                <w:iCs/>
                <w:szCs w:val="24"/>
              </w:rPr>
              <w:t>,</w:t>
            </w:r>
            <w:r>
              <w:rPr>
                <w:rFonts w:ascii="Times New Roman" w:eastAsia="Times New Roman" w:hAnsi="Times New Roman" w:cs="Times New Roman"/>
                <w:szCs w:val="24"/>
              </w:rPr>
              <w:t xml:space="preserve"> финансова помощ ще бъде предоставяна и за инвестиции за посрещане изискванията на съществуващи стандарти на Общността. Финансовата помощ може да бъде отпусната в рамките на максимум 24 месеца от датата на създаването на стопанството на младия фермер.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нитратно уязвими зони няма да се подпомагат съществуващи стопанства за инвестиции свързани с изграждане на съоръжения за съхранение на оборски тор с изключение на проекти представени от млади фермери спазващи посочения по – горе гратисен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инвестиции за производство на енергия от възобновяеми енергийни източници  ще се предоставя само за покриване нуждите на земеделските стопанства. По мярката няма да се предоставя подкрепа за продажба на електрическа, топлинна енергия и/или енергия за охлаждане.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Инсталациите за производство на енергия от ВЕИ трябва да са в съответствие с условията за устойчивост в Закона за енергията от възобновяеми източници.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енергия.Използваните суровини от  зърнени и други богати на скорбяла култури, захарни култури, маслодайни култури и суровини, които се използват за фуражи с цел производство на биоенергия, включително биогорива се ограничават до 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w:t>
            </w:r>
            <w:r>
              <w:rPr>
                <w:rFonts w:ascii="Times New Roman" w:eastAsia="Times New Roman" w:hAnsi="Times New Roman" w:cs="Times New Roman"/>
                <w:i/>
                <w:iCs/>
                <w:szCs w:val="24"/>
              </w:rPr>
              <w:t>(например: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ЗЕВИ).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u w:val="single"/>
              </w:rPr>
              <w:t>Информация относно условията за допустимост на инвестиции за напояване е посочена в раздел 1.1.1.3.1.1 Описание на вида операция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изпълнение на интегрирани проекти, бизнес плана на кандидатите следва да показва, че изпълнението на същия води до по – добри финансови резултати от дейността на кандидата, отколкото ако операциите или дейностите се изпълняват по отделно.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ЗП, който отговарят на определението за „малко стопанство“ няма да бъдат подпомагани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БП на всички кандидати, които изпълняват критериите за допустимост ще бъдат оценени. За всички проекти с икономически обосновани БП ще бъде направена селекция, следвайки приоритетите по мярката и чрез даване на приоритет на посочените по – горе кандидати.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са проекти, които покриват минимален брой точки в резултат на селекцията по критериите за оценка определени от Комитета по наблюдение.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 ще гарантират подпомагане на чувствителни сектори в земеделското производство и биологично такова и осигуряващи допълнителна заетост. Приоритет ще бъде осигурен и за навлизането на млади фермери, които  са получили подкрепа за създаване на стопанства на млади фермери и полупазарни стопанства (малки стопанства) през периода 2007 – 2013 и периода 2014 - 2020 и не са получавали подпомагане по Програмата за инвестиционни дейности по мерки 121 и 4.1, с цел осигуряване на приемственост в селското стопанство. По мярката ще бъде осигурен приоритет за кандидати на територията на селските райони в страната, Северозападен район и райони с природни и други ограничения. По мярката ще бъде предоставен приоритет за проекти с инвестиции за повишаване на енергийната ефективност,иновации в стопанствата, включително технологии водещи до намаляване на емисиите съгласно Регламент за прилагане на директива 2009/125/ЕС,</w:t>
            </w:r>
            <w:r>
              <w:rPr>
                <w:rFonts w:ascii="Times New Roman" w:eastAsia="Times New Roman" w:hAnsi="Times New Roman" w:cs="Times New Roman"/>
                <w:szCs w:val="24"/>
                <w:u w:val="single"/>
              </w:rPr>
              <w:t> включително инвестиции и дейности, които допринасят за устойчивото и цифрово икономическо възстановяване. </w:t>
            </w:r>
            <w:r>
              <w:rPr>
                <w:rFonts w:ascii="Times New Roman" w:eastAsia="Times New Roman" w:hAnsi="Times New Roman" w:cs="Times New Roman"/>
                <w:szCs w:val="24"/>
              </w:rPr>
              <w:t>Приоритет ще бъде предоставян за проекти с интегриран подход и допринасящи за насърчаване на кооперирането между производителите, включително за дейности свързани с опазване на околната среда и постигане на стандартите на ЕС.При инвестиции за напояване приоритет ще се предоставя за инвестиции предприети от земеделски стопани членове на сдружения за напояване, както и за инвестиции, които ползват вода от инфраструктура с по – малки загуби и по – висока ефективност при  използване на водните ресурси.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в обхвата на Инструмента на Европейския съюз за възстановяване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финансовите средства от Инструмента на Европейския съюз за възстановяване ще се подпомагат  инвестиции, осигуряващи опазване на компонентите на околната среда, включително ВЕИ и инвестиции в иновативни за стопанството технологии, като - иновативни производствени технологии, цифрови технологии за производство и организация в селското стопанство, автоматизиране на работните процеси в селскостопанското производство, включително подходи приложени чрез Европейското партньорство за иновации (например: инвестиции за ефективно използване на ресурсите, включително прецизно и интелигентно земеделие, иновации и цифровизация и модернизация на производствените машини и оборудване).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реглмамент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финансовия инструмент са определени следните максимални нива на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1305/2013при самостоятелни заеми (без съфинансиране от безвъзмездните средства), отпускани съгласно целите на подмярката, брутния еквивалент на помощта от финансовия инстумент не може да надхвърлямаксималните размери на помощта, приложими за подмярката, съгласно Анекс II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кредита, който ще се финансира чрез финансовия инструмент е до 2 000 000 лв. за инвестиционни кредити. Допустими за финансиране са и оборотни средства, които допълват инвестиция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 50 % от общия размер на допустимите за финансово подпомагане разходи, като същата може да се увеличава на база общия размер на допустимите за финансово подпомагане разходи в следните случаи: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представени от млади земеделски стопани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интегрирани проекти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свързани със сливания на организации на производители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в райони с природни и други специфични ограничения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за колективни инвестиции представени от 6 до 10 ЗП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за колективни инвестиции, представени от над 10 ЗП и/или групи/организации на производители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дейности, подпомагани по линия на ЕПИ за селскостопанска производителност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в стопанства изпълняващи ангажименти по мярка „Биологично земеделие” или сходни ангажименти по мярка 214 „Агроекологични плащания“, направление „Биологично земеделие“ от ПРСР 2007 -2013 г. финансовата помощ се увеличава с 10 %.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Допълнителната финансова помощ за млади фермери се предоставя в случай, че заявлението за подпомагане е представено от кандидат на възраст от 18 години и не повече от 40 години към датата на кандидатстване за финансова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един проект на индивидуален бенефициент е не повече от 60 %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проекти за колективни инвестиции е не повече от 70 % от общия размер на допустимите за финансово подпомагане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в рамките на 15 000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един кандидат за периода на прилагане на Програмата е в рамките на 1 000 000 евро, като максималният размер на допустимите разходи за един проект не може да надхвърля 1 000 000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инвестиции в земеделска техника за един кандидат за периода на прилагане на Програмата е в рамките на 500 000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6 до 10 земеделски производители за периода на прилагане на Програмата е в рамките на 1 000 000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инвестиции в земеделска техника за проекти за колективни инвестиции представени от 6 до 10 земеделски производители за периода на прилагане на Програмата е в рамките на 750 000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над 10 земеделски производители и/или групи/организации на производители за периода на прилагане на Програмата е в рамките на 1 000 000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инвестиции в земеделска техника за проекти за колективни инвестиции представени от над 10 земеделски производители и/или групи/организации на производители за периода на прилагане на Програмата е в рамките на 1 000 000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един кандидат, за изпълнение на интегриран проект за периода на прилагане на Програмата е в рамките на 1 000 000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Във връзка с Регламент (ЕС) 2020/2220 от 23 декември 2020 година за проектни предложения подадени след 01.01.2021 г. се прилагат следните финансови условия:</w:t>
            </w:r>
          </w:p>
          <w:p>
            <w:pPr>
              <w:numPr>
                <w:ilvl w:val="0"/>
                <w:numId w:val="14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проекти с размер на заявените за подпомагане разходи до 1 000 000 евро, включително: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е в размер до 50 % от общия размер на допустимите за финансово подпомагане разходи, като същата може да се увеличава на база общия размер на допустимите за финансово подпомагане разходи в следните случаи:</w:t>
            </w:r>
          </w:p>
          <w:p>
            <w:pPr>
              <w:numPr>
                <w:ilvl w:val="0"/>
                <w:numId w:val="14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в обхвата на допълнителните средства по линия на Next Generation финансовата помощ се увеличава с до 25 %.</w:t>
            </w:r>
          </w:p>
          <w:p>
            <w:pPr>
              <w:numPr>
                <w:ilvl w:val="0"/>
                <w:numId w:val="14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представени от кандидати групи и организации на производители с до 10 %;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за инвестиции в земеделска техника и общи разходи по проекта е в размер до 50 %.</w:t>
            </w:r>
          </w:p>
          <w:p>
            <w:pPr>
              <w:numPr>
                <w:ilvl w:val="0"/>
                <w:numId w:val="14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проекти с размер на заявените за подпомагане разходи от 1 000 001 евро до 1 500 000 евро, включително: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е в размер до 35 % от общия размер на допустимите за финансово подпомагане разходи, като същата може да се увеличава на база общия размер на допустимите за финансово подпомагане разходи в следните случаи:</w:t>
            </w:r>
          </w:p>
          <w:p>
            <w:pPr>
              <w:numPr>
                <w:ilvl w:val="0"/>
                <w:numId w:val="14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в обхвата на допълнителните средства по линия на Next Generation финансовата помощ се увеличава с до 25 %.</w:t>
            </w:r>
          </w:p>
          <w:p>
            <w:pPr>
              <w:numPr>
                <w:ilvl w:val="0"/>
                <w:numId w:val="14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представени от кандидати групи и организации на производители с до 10 %;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за инвестиции в земеделска техника и общи разходи по проекта е в размер до 35 %.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Максималният размер на допустимите разходи за един кандидат за периоди на прием проведени след 01.01.2021 г. е в рамките на 1 500 000 евро, като максималният размер на допустимите разходи за един проект не може да надхвърля 1 500 000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Максималният размер на допустимите разходи за инвестиции в земеделска техника за един кандидат за периоди на прием проведени след 01.01.2021 г. е в рамките на 250 000 евро. Разходите за земеделска техника не се считат за инвестиции в обхвата на дейностите по Next Generation във връзка с предоставянето на по-висок интензитет на финансова помощ</w:t>
            </w:r>
            <w:r>
              <w:rPr>
                <w:rFonts w:ascii="Times New Roman" w:eastAsia="Times New Roman" w:hAnsi="Times New Roman" w:cs="Times New Roman"/>
                <w:szCs w:val="24"/>
                <w:u w:val="single"/>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проектни предложения подадени след 01.01.2024 г. се прилагат следните финансови условия: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е в размер до 50 % от общия размер на допустимите за финансово подпомагане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Минималният размер на допустимите разходи за един кандидат за периоди на прием проведени след 01.01.2024 г. е в размер на 15 000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Максималният размер на допустимите разходи за един кандидат за периоди на прием проведени след 01.01.2024 г. е в рамките на до 450 000 евро, като максималният размер на допустимите разходи за един проект не може да надхвърля 450 000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за неизпълнение на проектите в резултат на ограничен достъп на бенефициентите до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двойно финансиране на активи (дейности), които могат да бъдат подпомогнати по първи стълб на ОСП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Съществува риск от подпомагане на дейности, свързани с производството на продукти, извън приложение 1 на Договора;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Съществува риск от одобряване на земеделска техника, която не отговаря на капацитета на стопанството.</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4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146"/>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Улесняване на достъпа до финансиране, чрез сключване на споразумения с търговските банки за предоставяне на финансов ресурс на одобрените кандидати;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Отделните операции и бенефициенти, допустими по мерките от ПРСР са разграничени с тези по І стълб от ОСП;</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Дефиниране в нормативната уредба</w:t>
            </w:r>
            <w:r>
              <w:rPr>
                <w:rFonts w:ascii="Times New Roman" w:eastAsia="Times New Roman" w:hAnsi="Times New Roman" w:cs="Times New Roman"/>
                <w:szCs w:val="24"/>
                <w:u w:val="single"/>
              </w:rPr>
              <w:t xml:space="preserve"> или в насоките,</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7.2. Изискване на документи в нормативната уредба</w:t>
            </w:r>
            <w:r>
              <w:rPr>
                <w:rFonts w:ascii="Times New Roman" w:eastAsia="Times New Roman" w:hAnsi="Times New Roman" w:cs="Times New Roman"/>
                <w:szCs w:val="24"/>
                <w:u w:val="single"/>
              </w:rPr>
              <w:t xml:space="preserve"> или в насоките</w:t>
            </w:r>
            <w:r>
              <w:rPr>
                <w:rFonts w:ascii="Times New Roman" w:eastAsia="Times New Roman" w:hAnsi="Times New Roman" w:cs="Times New Roman"/>
                <w:szCs w:val="24"/>
              </w:rPr>
              <w:t>,</w:t>
            </w:r>
            <w:r>
              <w:rPr>
                <w:rFonts w:ascii="Times New Roman" w:eastAsia="Times New Roman" w:hAnsi="Times New Roman" w:cs="Times New Roman"/>
                <w:szCs w:val="24"/>
                <w:u w:val="single"/>
              </w:rPr>
              <w:t xml:space="preserve">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даващи възможност за проверка и определяне на съответствието с определените приоритети;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7.3. Контролните процедури включват елементи за проверка за наличие на изкуствено създадени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8.4.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9.1. За целите на извършвания контрол ще бъде изготвен подробен списък с включените в Анекс I към Договора продукти;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10.1.В нормативната уредба,</w:t>
            </w:r>
            <w:r>
              <w:rPr>
                <w:rFonts w:ascii="Times New Roman" w:eastAsia="Times New Roman" w:hAnsi="Times New Roman" w:cs="Times New Roman"/>
                <w:szCs w:val="24"/>
                <w:u w:val="single"/>
              </w:rPr>
              <w:t xml:space="preserve"> или в насоките,</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или друг документ, определящ условията за кандидатстване и условията за изпълнение на одобрените проекти, както и</w:t>
            </w:r>
            <w:r>
              <w:rPr>
                <w:rFonts w:ascii="Times New Roman" w:eastAsia="Times New Roman" w:hAnsi="Times New Roman" w:cs="Times New Roman"/>
                <w:szCs w:val="24"/>
              </w:rPr>
              <w:t xml:space="preserve">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11.1. Ще бъде изготвена методология за оценка съответствието на капацитета на подпомаганата техника с размера на земята;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11.2. Контролните процедури ще включват проверки за оценка за съответствието на капацитета на подпомаганата техника с размера на земята.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осигуряване на сътрудничеството между производителите, чрез предприемане на по-ефективни и икономически изгодни инвестиции в общи съоръжения, оборудване, инфраструктура и др.</w:t>
            </w:r>
          </w:p>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мерки/подмерки включени в Програмата, едната от които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раздел 8.1 "Общи условия"</w:t>
            </w:r>
          </w:p>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бъде насочено към чувствителни сектори в земеделското производство, включително осигуряващи допълнителна заетост. Приоритетите и целевото насочване на помощта са съобразени с нуждите, очертани в извършения анализ с цел повишаване конкурентоспособността на земеделските стопанства и модернизиране на производствените процеси. Приоритетното насочване на средствата ще бъде осигурено чрез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Преходен период за въвеждане на стандарти за качеството на сурово мляко съгласно Регламент /ЕО/№ 853/2004 и Наредба № 4 от 2008 г. за специфичните изисквания при производството, съхранението и транспортирането на сурово краве мляко и изискванията за търговия и пускане на пазара на мляко и млечни продукти.</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4.1.2. "Инвестиции в земеделски стопанства по Тематична подпрограма за развитие на малки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47"/>
              </w:numPr>
              <w:rPr>
                <w:b w:val="0"/>
              </w:rPr>
            </w:pPr>
            <w:r>
              <w:rPr>
                <w:b w:val="0"/>
              </w:rPr>
              <w:t>4.1 — подкрепа за инвестиции в земеделски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Малките стопанства в България се характеризират с опит и традиции в производство на продукти с високо качество, които са традиционни за българското земеделие и търсени от българските потребители. Производствени практики, насочени към опазване на природните ресурси. Тези силни страни влияят положително върху жизнеспособността и стабилността на малките стопанства и имат силен принос за устойчивото развитие на селските райони в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Едновременно с това са идентифицирани редица  слаби характеристики, които водят до по-ниска производителност, по-високи разходи, по-ниска конкурентоспособност и доходи на малките земеделски стопанства като физическо и морално остаряло оборудване и ниска степен на механизация на производството, липса на напоителни съоръжения, недостатъчен оборотен капитал, ниска кредитоспособност, неподходяща специализация в производства, които имат намаляващ пазар или конкуренция от производители с по-ниски разходи, неефективен мащаб на производството и др.  Част от тези характеристики определят по-ниската производителност и конкурентоспособност на малките стопанства, а друга част от тях намаляват възможностите на стопанствата да реагират на промените в пазарна среда или да се възползват от възникващите пазарни възможности.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Модернизирането на физическите активи на малките земеделски стопанствата е от съществено значение за подобряване на икономическите им резултати, тъй като улеснява въвеждането на нови процеси и технологии за повишаване качеството на произвежданата продукция, намаляване на производствените разходи и разнообразяването на дейностите в стопанството, включително към неземеделските сектори, както и прехода от конвенционално към биологично земеделско производство. То е важно за пълно спазване на стандартите, особено на онези свързани с ветеринарните и фитосанитарните изисквания, хуманното отношение към животните, опазването на околната среда, хигиената и безопасните условия на труд.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Важен фактор за бъдещото развитие на малките стопанства е предоставянето на възможност за изграждането и реконструкцията на инфраструктурата за напояване, което от своя страна да създаде благоприятни условия за получаване на устойчиви и качествени добиви от селскостопанските култури, отчитайки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Развитието на някои от тях в секторите на зеленчукопроизводство, трайни насаждения и други е в пряка зависимост от наличието на вода и доброто управление на водите като цяло.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Широкия обхват на мярката и ролята и по отношение приоритета насочен към повишаване на конкурентоспособността на всички видове селскостопанска дейност и укрепване на жизнеспособността чрез подпомагане на инвестиции на малките стопанствата я превръща в ключова. Подобряване на икономическите резултати и улесняване на преструктурирането и модернизирането им, особено с оглед увеличаването на пазарното участие и ориентация ще бъде постигнато чрез предвидената инвестиционна подкрепа по мярката насочена към инвестициите във физически капитал за подобряване производителността на труда и качеството на произвежданата продукцията, включително стимулиране развитието на приоритетни земеделски сектори в страната, като „плодове и зеленчуци“ и „етерично-маслени и лекарствени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Също така се предвижда инвестиционна подкрепа за рехабилитацията и модернизацията на хидромелиоративните системи, които са от ключово значение за повишаване на производителността в приоритетните сектори, повишаване на ефективността на използването на водите и адаптация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Необходимостта от подобряване или изграждане на хидромелиоративната инфраструктура, включително поливна техника и технология в земеделските стопанства ще бъде постигната чрез инвестиции в модернизация и въвеждане на ефективно управление на системите, насърчаване на ефективното използване на водата. Подпомагането в тази област ще бъде приоритетно насочено към чувствителните земеделски култури, каквито са зеленчуците,овощните насаждения и етерично-маслени и медицински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икономическите ползи за земеделските стопани, инвестициите в напояване ще доведат и до значително подобряване и ефективно използване на водите.. Българските власти въвеждат като минимално изискване 15 % от потенциалната икономия на вода, което надхвърля минималното изискване на регламента. По този начин ще се стимулират инвестиции във водоспестяващи технологии, ще се намали количеството на иззетата вода за напояване и ще се подобри статуса на водните тела. Инвестициите в инфраструктура за напояване не трябва да водят до влошаване състоянието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възможностите пред малките животновъдни стопанства в планинските райони на страната за допълнително позициониране в пазарни ниши свързани с предлагане на пазара на традиционни местни продукти с високо качество насочени към краен потребител.</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Подпомагането от финансовия инструмент ще бъде предоставяно за инвестиции в материални и нематериални активи, в съответсвие с чл. 45 от регламент 1305/2013, които подобряват цялостните резултати и устойчивостта на малките земеделските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предимно свързани с достъпа до финансиране от малките земеделски стопанства и по-високите лихвени нива за тях.</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операция се подпомагат материални и нематериални дълготрайни инвестиции, които водят до подобряване на икономическата устойчивост и резултати на стопанството. Могат да бъдат подкрепяни следните видове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модернизация или увеличаване на физическия капитал с оглед намаляване на преките разходи за производство, повишаване на производителността на труда и качеството или разширяване на производството;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подобряване на пред-пазарната подготовка или съхранение на продукцията (като оборудване за оборудване за почистване, сортиране, пакетиране на продукцията и сгради за специализирано съхранение и обработка, осигуряване на вентилация, изолация и охлаждане);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създаване и/или презасаждане на трайни насаждения, десертни лозя, медоносни дървесни видове за производство на мед и бързорастящи храсти и дървесни видове за производство на биоенергия;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в изграждане, реконструкция/рехабилитация на съоръжения и оборудване, включително кладенци и съоръжения за съхранение на вода за напояване, включващи изграждането на нови и подобряване на съществуващи мрежи в стопанствата;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намаляване на потреблението на 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производство на биоенергия за нуждите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в машини, оборудване и съоръжения за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постигане съответствие с нововъведени стандарти на Общността приложими за съответните стопанства.</w:t>
            </w:r>
          </w:p>
          <w:p>
            <w:pPr>
              <w:numPr>
                <w:ilvl w:val="0"/>
                <w:numId w:val="14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съоръжения и съответно оборудване с изключение на закупуване на пчелни кошери, необходими за производството на мед и други пчелни продукти, както и за развъждането на пчели-майки.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за инвестиции в материални и нематериални активи, свързани със селскостопанска дейност, които подобряват цялостните резултати и устойчивостта на малките земеделските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 инструмент ще предоставя финансиране под формата на заем с поделяне на риска. Ще се финансират кредити за съфинансиране на проекти за инвестиции на малки земеделки стопанства, подпомагани по подмярката. Отпусканите кредити ще подпомогнат реализирането на одобрени проекти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45 и 46 от Регламент (ЕС) № 1305/2013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Чл.13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13 от делегиран акт (проект)на Комисията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разпоредби.Чл. 5 от Регламент (ЕО)  № 1242/2008 на Комисията за установяване на типология на Общността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и/или „етерично-маслени и лекарствени култури“. Подкрепата за малки земеделски стопанства от сектор „Животновъдство“ ще се предоставя за стопанства, които попадат в обхвата на планински район съгласно Наредбата за определяне на критериите за необлагодетелстваните райони и териториалния им обхват - приета с ПМС № 30 от 15.02.2008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земеделски стопани, които са подписали договор за получаване на безвъзмездна финансова помощ по подмярката.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придобиване и подобряване на недвижимо имущество, включително чрез лизинг;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нови машини, съоръжения и оборудване, включително компютърен софтуер до пазарната стойност на активите, включително чрез лизинг;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косачки, закупуване на дробилки (прикачен инвентар, който директно дроби малки храсти и ги компостира), закупуване на преносими сушилни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Рехабилитация на съществуващи и изграждане на нови съоръжения и оборудване за напояване, включващи изграждането на нови и подобряване на съществуващи мрежи в стопанствата, включително кладенци и съоръжения за съхранение на вода, както и закупуване на техническо оборудване за тяхната експлоатация, включително нови тръбопроводи, системи за капково напояване, инсталации за дъждуване, помпени станции, техники/съоръжения за съхраняване/опазване на водата,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Общи разходи свързани със съответния проект за предпроектни проучвания, такси, хонорари за архитекти, инженери и консултантски услуги, различни от тези предоставяни по мярката по чл.15 консултански услуги,управление на стопанството и услуги по заместване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ноу-хау, патенти права и лицензи, търговски марки и процеси необходими за изготвяне и изпълнение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разходите, включени в одобрения проект за получаване на безвъзмездна финансова помощ по подмярката, които не са финансирани с безвъзмездни средства (само частта за самоучастие);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разходите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Оборотни средства, които допълват инвестицията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ДДС, съгласно изискванията на чл. 37 пар.11 от регламент 1303/2013;</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 „етерично-маслени и лекарствени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представят бизнес план, който да съдържа описание на дейностите и инвестициите, които ще се извършват през периода на подпомагане. Той трябва да показва по какъв начин прилагането на проекта ще доведе до подобряване цялостната дейност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изпълнение на интегрирани проекти, бизнес плана на кандидатите следва да показва, че изпълнението на същия води до по – добри финансови резултати от дейността на кандидата, отколкото ако операциите или дейностите се изпълняват по отделно.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проекти на земеделски стопани за колективни инвестиции е необходимо всички ЗС участващи в дружеството кандидат да отговорят на критериите за допустимост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инвестиции за напояване трябва да: са в съответствие с Плана за управление на речните басейни /ПУРБ/; да имат осигурен достъп до услуги за напояване: да предвиждат измерване на потреблението на вода на база планираните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 за рехабилитация на съществуващи системи за напояване трябва да са изпълнени по предварителна оценка следните условия съгласно чл. 46, § 4 от Регламент /ЕС/ 1305/2014: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водно тяло със състояние определено в съответния ПУРБ, най – малко като „добро“ с инвестициите трябва да се осигурява най – малко 15% потенциална икономия на вода.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водно тяло със състояние определено в съответния ПУРБ, като по – ниско от „добро“ с инвестициите трябва да се осигурява най – малко 15% потенциална икономия на вода и ефективно намаление на консумацията на вода с не по – малко от 50% от потенциалната икономия.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Посочените условия за инвестиции за рехабилитация на съществуващи системи за напояване не са приложими за инвестиции свързани само с енергийна ефективност, за съоръжения за съхранение на вода или за инвестиции, които използват само рециклирани води.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 свързани с нетно увеличение на напояваната площ трябва да са изпълнени следните условия съгласно чл. 46, § 5 от Регламент /ЕС/ 1305/2014: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инвестициите, водещи до нетно увеличение на напояваните площи, оценката за въздействие върху околната среда на инвестицията трябва да доказва, че същата няма да окаже значително отрицателно въздействие върху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че състоянието на водното тяло определено в съответния ПУРБ, е в категория по – ниска от „добро“; инвестицията е допустима за подпомагане ако включва и инвестиции в съществуващата напоителна инсталация, които по предварителна оценка осигуряват най – малко между 15%  и 25% потенциална икономия на вода съгласно техническите характеристики на съществуващата инсталация и инвестициите трябва да осигуряват ефективно намаление на потреблението на вода с не по – малко от 50% от потенциалната икономия в рамките на инсталацията за съответното земеделско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нови инсталации  за напояване също ще бъдат допустими /чл. 46, § 6 от Регламент /ЕС/ 1305/2014/, ако се доставя вода от съществуващ язовир въведен в експлоатация преди 31.10.2013 г., който е включен в ПУРБ на Басейнова дирекция и подлежи на контрол, включително за максимална граница за общо водочерпене или за минимален отток след язовира и не е налице нарушаване на тези граници.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Площи, които не се напояват, но към 01.01.2007 г. в тях е действала напоителна инсталация се считат за напоявани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Договори по подмярката за проекти с инвестиции свързани с напояване няма да бъдат сключвани със земеделските стопани преди пълното синхронизиране с изискванията на Рамковата директива за водите на Плана за управление на речните басейни за съответния район, в който се намира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напояване по подмярката ще се подпомагат в случай, че е осигурено разрешение за водовземане от съответните структури на Министерство на околната среда и водите (МОСВ) в съответствие с Плана за управление на речните басейни и което гарантира, че няма да има влошаване на водния статус в резултат  на инвестицията или друго значително негативно въздействие върху околната среда включително от кумулативното въздействие от всички инвестиции за напояване в речния басейн.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стопанства от секторите животновъдство, плодове и зеленчуци, биологично производство, стопанства разположени в планински и необлагодетелствани райони, както и за инвестиции в енергийна ефективност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критерите за подбор, точките за всеки критерии, както и минималния брой точки, над които дейността ще бъде одобрена за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инвестиции за напояване приоритет ще се предоставя за инвестиции предприети от земеделски стопани членове на сдружения за напояване, както и за инвестиции, които ползват вода от инфраструктура с по – малки загуби и по – висока ефективност при  използване на водните ресурси.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 като се вземат предвид и разпоредбите на чл. 7 (3)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инвестиционния кредит, който ще се финансира чрез финансовия инструмент не може да надхвърля сумата на разходите, включени в одобрения проект за получаване на безвъзмездна финансова помощ по подмярката. Максималния размер на инвесиционния кредит се определя в съответствие с разпоредбите на чл. 37 (9)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финансиране са и оборотни средства, които допълват инвестицията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до 60%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финансовата помощ се увеличава с 10 процентни пункта, като максималното комбинирано подпомагане не може да надхвърля 80% в следните случаи:</w:t>
            </w:r>
          </w:p>
          <w:p>
            <w:pPr>
              <w:numPr>
                <w:ilvl w:val="0"/>
                <w:numId w:val="14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представени от млади селскостопански производители - 10 %;</w:t>
            </w:r>
          </w:p>
          <w:p>
            <w:pPr>
              <w:numPr>
                <w:ilvl w:val="0"/>
                <w:numId w:val="14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колективни инвестиции или интегрирани проекти, които включват подпомагане в рамките на повече от една мярка – 10 %;</w:t>
            </w:r>
          </w:p>
          <w:p>
            <w:pPr>
              <w:numPr>
                <w:ilvl w:val="0"/>
                <w:numId w:val="14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в райони с природни и други специфични ограничения съгласно член 31  - 10 %;</w:t>
            </w:r>
          </w:p>
          <w:p>
            <w:pPr>
              <w:numPr>
                <w:ilvl w:val="0"/>
                <w:numId w:val="14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дейности, подпомагани по линия на ЕПИ за селскостопанска производителност – 10 %;</w:t>
            </w:r>
          </w:p>
          <w:p>
            <w:pPr>
              <w:numPr>
                <w:ilvl w:val="0"/>
                <w:numId w:val="14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за изпълнение на дейности по член 28 и член 29 – 15 %.</w:t>
            </w:r>
          </w:p>
          <w:p>
            <w:pPr>
              <w:numPr>
                <w:ilvl w:val="0"/>
                <w:numId w:val="14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интегриращи хоризонталните приоритети за иновации, опазване и възстановяване на околната среда, включително биологично производство, икономия на ресурси и адаптация към климатичните промени – 10 %.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1250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едно проектно предложение е 25 000 евро, а за проекти представляващи колективни инвестиции 70 000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проекти за колективни инвестиции и интегрирани проекти е не повече от 90% от общия размер на допустимите за финансово подпомагане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Административен капацитет.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Дефиниране в нормативната уредба, или в насоките, или друг документ, определящ условията за кандидатстване и условията за изпълнение на одобрените проекти на допълнителни изисквания и дефиниции, свързани с определяне на допустимостта, в т.ч. изисквания, на които трябва да отговаря земеделското стопанство на кандидата, както и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за предотвратяване на </w:t>
            </w:r>
            <w:r>
              <w:rPr>
                <w:rFonts w:ascii="Times New Roman" w:eastAsia="Times New Roman" w:hAnsi="Times New Roman" w:cs="Times New Roman"/>
                <w:szCs w:val="24"/>
                <w:u w:val="single"/>
              </w:rPr>
              <w:t>изкуствено създадените</w:t>
            </w:r>
            <w:r>
              <w:rPr>
                <w:rFonts w:ascii="Times New Roman" w:eastAsia="Times New Roman" w:hAnsi="Times New Roman" w:cs="Times New Roman"/>
                <w:szCs w:val="24"/>
              </w:rPr>
              <w:t xml:space="preserve">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Опитът от прилагане на мярка 112 „Създаване на стопанства на млади фермери“  и мярка 141 „Подпомагане на полупазарни стопанства в процес на преструктуриране“ показва, че децентрализирането им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подмярка 4.2.2. „Инвестиции в преработка/маркетинг на селскостопански продукти по Тематичната подпрограма за развитие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 Проверките ще включват системни административни проверки на всички заявления за помощ и ще се допълват от проверки на място на база анализ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осигуряване на сътрудничеството между производителите, чрез предприемане на по-ефективни и икономически изгодни инвестиции в общи съоръжения, оборудване, инфраструктура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 мерки включени в Програмата, едната от който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раздел 8.1 "Общи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стопанства от секторите живтотновъдство, плодове и зеленчуци, биологично производство,стопанства разположени в планински и необлагодетелствани райони, както и за инвестиции в енергийна ефективност и иновации.</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Преходен период за въвеждане на стандарти за качеството на сурово мляко съгласно Регламент /ЕО/№ 853/2004 и Наредба № 4 от 2008 г. за специфичните изисквания при производството, съхранението и транспортирането на сурово краве мляко и изискванията за търговия и пускане на пазара на мляко и млечни продукти.</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pStyle w:val="Heading5"/>
        <w:jc w:val="left"/>
        <w:rPr>
          <w:b w:val="0"/>
        </w:rPr>
      </w:pPr>
      <w:r>
        <w:rPr>
          <w:b w:val="0"/>
        </w:rPr>
        <w:br w:type="page"/>
      </w:r>
      <w:r>
        <w:rPr>
          <w:b w:val="0"/>
        </w:rPr>
        <w:t>Подмярка 4.2  „Инвестиции в преработка/маркетинг на селскостопански продукти“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50"/>
              </w:numPr>
              <w:rPr>
                <w:b w:val="0"/>
              </w:rPr>
            </w:pPr>
            <w:r>
              <w:rPr>
                <w:b w:val="0"/>
              </w:rPr>
              <w:t>4.2 — подкрепа за инвестиции в преработката, предлагането на пазара и/или развитието на селскостопански продукти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бъде насочено към модернизиране на физическите активи на предприятията и земеделски производители преработващи земеделски продукти с цел производство на нови и качествени продукти, включително такива свързани с къси вериги на доставка. Инвестиционната подкрепа ще бъде насочена и към по-ефективно използване на ресурсите и постигане на стандартите на ЕС с цел повишаване на нивото на добавяне на стойност към земеделските продукти. Чрез модернизиране на активите ще се постигне въвеждане на нови и енергоспестяващи технологии и иновации. Чрез инвестиционна подкрепа насочена към преработка на земеделска продукция ще позволи осигуряването на заетост в селските райони. Подпомагането по мярката ще бъде насочено към по - пълно интегриране между преработвателите и доставчиците на суровини с цел производство на качествени и със специфични характеристики хранителни продукти, създаване на възможностите за логистична свързаност между доставчици, търговци и скъсяване на пътя до пазара. По доброто интегриране между производители и преработватели ще позволи намаляване на суровинната уязвимост за уязвимите сектори от ХВП. Чрез подпомагането по мярката ще се насърчи сътрудничеството между земеделските производители при предприемане на общи инвестиции.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Подпомагането от финансовия инструмент ще бъде предоставяно за инвестиции в материални и нематериални активи, които подобряват цялостните резултати и устойчивостта на предприятията и земеделските производители, преработващи земеделски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в преработвателния сектор, предимно свързани с достъп до финансиране и високи лихвени нива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се предоставя на територията на цялата страна за новосъздадени и съществуващи предприятия за инвестиции в материални и/или нематериални активи подобряващи цялостната дейност на предприятията. Инвестициите, обект на подкрепа следва да са свързани с:</w:t>
            </w:r>
          </w:p>
          <w:p>
            <w:pPr>
              <w:numPr>
                <w:ilvl w:val="0"/>
                <w:numId w:val="15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Преработка и/или маркетинг на продукти в обхвата на Приложение I към Договора за функциониране на Европейския съюз или на памук, с изключение на рибни продукти;</w:t>
            </w:r>
          </w:p>
          <w:p>
            <w:pPr>
              <w:numPr>
                <w:ilvl w:val="0"/>
                <w:numId w:val="15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нови продукти, процеси и технологии за продукти в обхвата на Приложение I към Договора за функциониране на Европейския съюз или на памук, с изключение на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ще бъде насочена към закупуване и изграждане на инвестиции, свързани с:</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процеси и технологии за производство на продукти, включително такива свързани с къси вериги на доставка;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изграждане, придобиване и модернизиране на сгради и други недвижими активи необходими за производството и маркетинга;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инсталиране на нови машини и оборудване за подобряване на производствения процес и маркетинга;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активи за съхранение, преработка, пакетиране, охлаждане, замразяване и сушене с цел запазване качеството на продукцията и суровината;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специализирани транспортни средства за превоз на суровини и/или готова продукция, включително хладилни транспортни средства;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внедряването на системи за управление на качеството;</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производство на енергия от възобновяеми енергийни източници за собствено потребление;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съответствие със стандартите на Общността, включително пречиствателни съоръжения.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на територията на цялата страна за инвестиции в материални и нематериални активи, които подобряват цялостните резултати и устойчивостта на предприятия и земеделските стопани, прерабоващи земеделски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обхваща инвестиции, които са свързани с преработката, предлагането на пазара и/или развитието на селскостопански продукти, които попадат в обхвата на приложение I към Договора или на памук, с изключение на рибни продукти.  Резултатът от производствения процес може да бъде продукт, който не е включен в обхвата на посоченото приложение.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 инструмент ще предоставя финансиране под формата на заем с поделяне на риска в две възможности:</w:t>
            </w:r>
          </w:p>
          <w:p>
            <w:pPr>
              <w:numPr>
                <w:ilvl w:val="0"/>
                <w:numId w:val="15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Кредити за съфинансиране на проекти за инвестиции, подпомагани по подмярката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или</w:t>
            </w:r>
          </w:p>
          <w:p>
            <w:pPr>
              <w:numPr>
                <w:ilvl w:val="0"/>
                <w:numId w:val="15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Самостоятелни заеми (без съфинансиране от безвъзмездните средства) отпускани съгласно целите на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за съфинансиране на проекти ще подпомогнат реализирането на одобрени проекти по подмярката. Самостоятелните заеми са алтернатива на помощта под формата на безвъзмездни средства, като стимулират инвестиции, допринасящи за целите на подмярката, в следствие на достъпно финансиране от избраните финансови посредници.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Регламент (ЕС) 2023/2831 на Комисията от 13 декември 2023 година относно прилагането на членове 107 и 108 от Договора за функционирането на Европейския съюз към помощта de minimis, за проектни предложения подадени след 01.01.2024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подмярката ще бъде осигурено пълно разграничаване на подкрепата по мярката с други схеми и мерки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на контрол осигуряваща избягване на двойно финансиране с други финансови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 xml:space="preserve">Първи стълб на ОСП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предоставяна по подмярката не се припокрива с обхвата на помощта предоставяна в рамките на първи стълб от ОСП. При прилагането на мярката ще бъдат осигурени необходимите проверки за гарантиране избягването на двойно финансиране. Разплащателната агенция ще извършва кръстосана проверка, целяща избягване на двойното финансиране по ПРСР и схемите за подпомагане за подпомагане в рамките на първи стълб. Инвестиционните проекти, които има възможоност да попаднат в обсега на схемите за подпомагане по първи стълб  от ОСП ще бъдат проверявани индивидуално за възможно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„Плодове и зеленчуци”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на производителите няма да бъдат подпомагани по подмярката за дейности включени за подпомагане в техните Оперативни програми, съгласно Регламент (EC) № 2200/96.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„Вино”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подмярката няма да бъде предоставяна за инвестиции  допустими за подпомагане по „Национална програма за подпомагане на лозаро – винарския сектор“ в съответствие с Регламент (ЕО) № 1234/2007 на Съвета от 22 октомври 2007 г. Ще бъдат осигурени контролни проверки с цел избягване на двойно финансиране, които ще се прилагат за всеки инвестиционен проект по подмярката. По подмярка 4.2 няма да се подпомагат дейности свързани с инвестиции за производство на лозаро-винарски продукти и общи разходи свързани с тях допустими за подпомагане по „Национална програма за подпомагане на лозаро – винарския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„Пчеларство”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бъдат осигурени контролни проверки с цел избягване на двойно финансиране, които ще се прилагат за всеки инвестиционен проект по мярката. За инвестициите свързани с преработката на пчелен мед ще бъде направено пълно разграничение между инвестициите подпомагани по подмярка 4.2 и тези подпомагане по „Национална програма по пчеларство 2014-2016“. В рамките на ПРСР 2014-2020 ще се подпомагат микро-, малки, средни и големи предприятия за инвестиции в рамките на самите предприятия. Ще бъдат осигурени контролни проверки с цел избягване на двойно финансиране, които ще се прилагат за всеки инвестиционен проект по подмярка 4.2.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w:t>
            </w:r>
            <w:r>
              <w:rPr>
                <w:rFonts w:ascii="Times New Roman" w:eastAsia="Times New Roman" w:hAnsi="Times New Roman" w:cs="Times New Roman"/>
                <w:b/>
                <w:bCs/>
                <w:i/>
                <w:iCs/>
                <w:szCs w:val="24"/>
              </w:rPr>
              <w:t>„Тютюн”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Инвестиционни дейности няма да бъдат подпомагани в сектор „Тютюн“. Производители на тютюн ще се подпомагат за дейности извън /диверсификация/ производството на тютюн.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„Зехтин”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Производството, преработката и маркетинга на зехтин няма да бъдат подпомагани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„Хмел”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подпомагани по чл.6 от Регламент (EC) № 1952/2005 няма да бъдат подпомагани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„Захар”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ПРСР няма да се подпомагат инвестициите за преработката на суровини за производство на захар и/или сладкарски изделия.</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Бенефициенти: </w:t>
            </w:r>
          </w:p>
          <w:p>
            <w:pPr>
              <w:numPr>
                <w:ilvl w:val="0"/>
                <w:numId w:val="15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производители регистрирани съгласно Закона за подпомагане на земеделските производители  и Групи/Организации на производители;</w:t>
            </w:r>
          </w:p>
          <w:p>
            <w:pPr>
              <w:numPr>
                <w:ilvl w:val="0"/>
                <w:numId w:val="15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Предприятия /Физически и Юридически лица/, включително пазари на производители регистрирани съгласно Закона за стоковите борси и тържища.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земеделски производители, който отговарят на определението за „малко стопанство“ няма да бъдат подпомагани по мярката.</w:t>
            </w:r>
          </w:p>
          <w:p>
            <w:pPr>
              <w:numPr>
                <w:ilvl w:val="0"/>
                <w:numId w:val="15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следва да са физически или юридически лица регистрирани по Търговския закон или Закона за кооперациите, които са микро, малки, средни и големи* предприятия, дефинирани съгласно Препоръка 2003/361/ЕО на Комисията.</w:t>
            </w:r>
          </w:p>
          <w:p>
            <w:pPr>
              <w:numPr>
                <w:ilvl w:val="0"/>
                <w:numId w:val="15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следва да представят бизнес план, доказващ подобряване на дейността на стопанството/предприятието чрез прилагане на планираните инвестиции и дейности подробно описани в представения бизнес план.</w:t>
            </w:r>
          </w:p>
          <w:p>
            <w:pPr>
              <w:numPr>
                <w:ilvl w:val="0"/>
                <w:numId w:val="15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 стандартен производствен обем на кандидатите земеделски производители следва да бъде не по - малко от 8 000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Предприятия, които надхвърлят критериите посочени в чл.3, ал.1 от Закон за малки и средни предприятия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групи/организации на производители трябва да отговарят на следните условия:</w:t>
            </w:r>
          </w:p>
          <w:p>
            <w:pPr>
              <w:numPr>
                <w:ilvl w:val="0"/>
                <w:numId w:val="15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признати като организация на производители, в съответствие с националното и/или европейското законодателство за организации на производители и/или одобрени за финансова помощ по мярка 9 „Учредяване на групи и организации на производители”;</w:t>
            </w:r>
          </w:p>
          <w:p>
            <w:pPr>
              <w:numPr>
                <w:ilvl w:val="0"/>
                <w:numId w:val="15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следва да са пряко свързани с основата земеделска дейност на членовете и основна за групата/организацията;</w:t>
            </w:r>
          </w:p>
          <w:p>
            <w:pPr>
              <w:numPr>
                <w:ilvl w:val="0"/>
                <w:numId w:val="15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показва подобряване на цялостната дейност на стопанствата на членовете на групата/организацията чрез прилагане на планираните инвестиции и дейности и че инвестициите са от полза на цялата организация на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Кандидатите за подпомагане, подали проектно предложение след 01.01.2021 г. следва да са извършвали дейности по преработка от най-малко 36 месеца към датата на подаване на проектното предложение;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w:t>
            </w:r>
            <w:r>
              <w:rPr>
                <w:rFonts w:ascii="Times New Roman" w:eastAsia="Times New Roman" w:hAnsi="Times New Roman" w:cs="Times New Roman"/>
                <w:szCs w:val="24"/>
                <w:u w:val="single"/>
              </w:rPr>
              <w:t>а кандидати земеделски стопани, подали проектно предложение след 01.01.2021 г. условието се счита за изпълнено, ако същите са регистрирани земеделски производители в съответствие със Закона за подпомагане на земеделските производители от най-малко 36 месеца към датата на подаване на проектното предложение;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w:t>
            </w:r>
            <w:r>
              <w:rPr>
                <w:rFonts w:ascii="Times New Roman" w:eastAsia="Times New Roman" w:hAnsi="Times New Roman" w:cs="Times New Roman"/>
                <w:szCs w:val="24"/>
                <w:u w:val="single"/>
              </w:rPr>
              <w:t>андидати групи или организации на производители подали проектно предложение след 01.01.2021 г. условието се счита за изпълнено ако същите са извършвали дейност от най-малко 36 месеца към датата на подаване на проектното предложение;</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физически лица или юридически лица регистрирани по Търговския закон или Закона за кооперациите, които са жизнеспособни микро, малки и средни предприятия. Планираните инвестиции трябва да доказват подобряване на резултатите от преработвателната дейност и жизнеспособността на предприятието.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 инвестиции:</w:t>
            </w:r>
          </w:p>
          <w:p>
            <w:pPr>
              <w:numPr>
                <w:ilvl w:val="0"/>
                <w:numId w:val="157"/>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изграждане, придобиване и модернизиране на сгради и други недвижими активи необходими за производството и маркетинга;</w:t>
            </w:r>
          </w:p>
          <w:p>
            <w:pPr>
              <w:numPr>
                <w:ilvl w:val="0"/>
                <w:numId w:val="15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и инсталиране на нови машини и оборудване за подобряване на производствения процес и маркетинга в т.ч. за преработка, пакетиране, охлаждане, замразяване, сушене и съхраняване, за производство на нови продукти, въвеждане на нови технологии и процеси, за опазване на околната среда, за производство на енергия от възобновяеми енергийни източници, включително чрез преработка на растителна и животинска първична и вторична биомаса, за подобряване на енергийната ефективност и за подобряване и контрол на качеството и безопасността на суровините и храните;</w:t>
            </w:r>
          </w:p>
          <w:p>
            <w:pPr>
              <w:numPr>
                <w:ilvl w:val="0"/>
                <w:numId w:val="15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закупуване на специализирани транспортни средства, включително хладилни такива, за превоз на суровините и/или  на готовата продукция използвани и произвеждани от предприятието;</w:t>
            </w:r>
          </w:p>
          <w:p>
            <w:pPr>
              <w:numPr>
                <w:ilvl w:val="0"/>
                <w:numId w:val="15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изграждане и/или модернизиране на лаборатории за нуждите на предприятието;</w:t>
            </w:r>
          </w:p>
          <w:p>
            <w:pPr>
              <w:numPr>
                <w:ilvl w:val="0"/>
                <w:numId w:val="15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инвестиции за постигане на съответствие с новоприети стандарти на Общността;</w:t>
            </w:r>
          </w:p>
          <w:p>
            <w:pPr>
              <w:numPr>
                <w:ilvl w:val="0"/>
                <w:numId w:val="157"/>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закупуване на земя, необходима за изграждане/модернизиране на сгради, помещения и други недвижими активи предназначени за производствена дейност /до 10 % от общия размер на допустимите инвестиционни разходи /Съгласно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Нематериални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Закупуване на софтуер;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Разходите свързани за достигане съответствие с международни признати стандарти, само в случаите, в които същите част от общ проект на кандидата: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Разходи за въвеждане на добри производствени практики, системи за управление на кчеството и подготовка за сертификация в предприятията.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придобиването, включително отпускането на лизинг, или подобренията на недвижимо имущество, без да се засягат ограниченията, посочени в член 4 от R.480 / 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до пазарната цена на актива;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без да се засяга член 60, параграф 2 от регламент 1305/2013, общи разходи, свързани с разноските по букви а) и б), например хонорари на архитекти, инженери и консултанти, хонорари, свързани с консултации относно екологичната и икономическата устойчивост, включително проучвания за техническа осъществимост. Проучванията за техническа осъществимост продължават да бъдат разход, който отговаря на условията, дори когато на база на техните резултати не се правят разходи по букви а) и 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придобиването или развитието на компютърен софтуер и придобиването на патенти, лицензи, авторски права, търговски марки;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 разходите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 Оборотни средства, които допълват подпомогната инвестиция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ж) ДДС, съгласно изискванията на чл. 37 пар.11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 покупка на машини, съоръжения и оборудване втора употреба.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Няма да се подпомагат инвестиции, за които е установено, че ще оказват отрицателно въздействие върху околната среда /Виж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ще бъде предоставена за инвестиции  за постигане на съответствие със стандартите на Общността.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нововъведените стандарти на Общността и правното основание, за чието въвеждане се осигурява подкрепа по мярката ще бъде посочен в Приложение 1към Раздел 8.2 от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инвестиции за производство на енергия от възобновяеми енергийни източници  ще се предоставя само за покриване нуждите на предприятията. По мярката няма да се предоставя подкрепа за продажба на електрическа, топлинна енергия и/или енергия за охлаждане.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Инсталациите за производство на енергия от ВЕИ трябва да са в съответствие с условията за устойчивост в Закона за енергията от възобновяеми източници.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за производство на биоенергия кандидатът трябва да докаже наличието на суровинна база.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Използваните суровини от  зърнени и други богати на скорбяла култури, захарни култури, маслодайни култури и суровини, които се използват за фуражи с цел производство на биоенергия, включително биогорива се ограничават до 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w:t>
            </w:r>
            <w:r>
              <w:rPr>
                <w:rFonts w:ascii="Times New Roman" w:eastAsia="Times New Roman" w:hAnsi="Times New Roman" w:cs="Times New Roman"/>
                <w:i/>
                <w:iCs/>
                <w:szCs w:val="24"/>
              </w:rPr>
              <w:t>(например: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ЗЕВИ).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проекти на земеделски производители за колективни инвестиции е необходимо всички ЗП участващи в дружеството кандидат да отговорят на критериите за допустимост по мярката и да нямат доминиращо влияние в управлението на дружеството кандидат.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Дружеството получател на финансова помощ за проекти за колективни инвестиции следва да е регистрирано съгласно Търговския закон или Закона за кооперациите.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Няма да се подпомагат проекти включващи единствено маркетинг на продукти, с изключение на случаите, когато кандидатът е пазар на производители и/или когато тези продукти са получени в резултат на преработка, извършена от кандидата.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 ще се предоставя за избрани първични производствени сектори свързани с преработката/маркетинг на продукти, описани в Приложение І на Договора за функциониране на Европейския съюз и памук.</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1.Мляко и млечни продукти, включително яйца от птици,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2.Месо и месни продукти,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3.Плодове и зеленчуци, включително гъби,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4.Пчелен мед,</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5.Зърнени, мелничарски  и нишестени продукти,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6.Растителни и животински масла и мазнини,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7.Технически и медицински култури, включително маслодайна роза и билки,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8.Готови храни за селскостопански животни,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9.Гроздова мъст, вино и оцет,</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10.Производство на енергия чрез преработка на растителни и животински продукти с изключение на биомаса от рибни продукти.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БП на всички кандидати, които изпълняват критериите за допустимост ще бъдат оценени. За всички проекти с икономически обосновани БП ще бъде направена селекция, следвайки приоритетите по мярката и чрез даване на приоритет на посочените по – горе кандидати.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са проекти, които покриват минимален брой точки в резултат на селекцията по критериите за оценка определени от Комитета по наблюдение.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Критериите за подбор ще гарантират насочване на финансовата помощ към проекти за постигне въвеждане на нови и енергоспестяващи технологии и иновации в ХВП за преработка на суровини от чувствителни сектори, които могат да осигурят съответната суровинна база, включително инвестиции за покриване стандартите на ЕС и преработка и производство на биологични продукти, включително технологии водещи до намаляване на емисиите, </w:t>
            </w:r>
            <w:r>
              <w:rPr>
                <w:rFonts w:ascii="Times New Roman" w:eastAsia="Times New Roman" w:hAnsi="Times New Roman" w:cs="Times New Roman"/>
                <w:szCs w:val="24"/>
                <w:u w:val="single"/>
              </w:rPr>
              <w:t>включително инвестиции и дейности, които допринасят за устойчивото и цифрово икономическо възстановяване.</w:t>
            </w:r>
            <w:r>
              <w:rPr>
                <w:rFonts w:ascii="Times New Roman" w:eastAsia="Times New Roman" w:hAnsi="Times New Roman" w:cs="Times New Roman"/>
                <w:szCs w:val="24"/>
              </w:rPr>
              <w:t> Приоритет ще бъде осигурен и за проекти осигуряващи устойчива заетост в селските райони и насърчават кооперирането и интеграцията между земеделските производители и предприятия от хранително – преработвателната промишленост. За постигане балансирано разпределение на средствата ще бъде осигурен приоритет за кандидати на територията на, Северозападен район и райони с природни и други специфични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в обхвата на Инструмента на Европейския съюз за възстановяване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финансовите средства от Инструмента на Европейския съюз за възстановяване ще се подпомагат  инвестиции, осигуряващи опазване на компонентите на околната среда, включително ВЕИ и инвестиции в иновативни за предприятието технологии, като - иновативни технологии, автоматизиране на производствените и оргонизационни процеси, включително подходи приложени чрез Европейското партньорство за иновации.</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финансовия инструмент са определени следните максимални нива на подпомагане:</w:t>
            </w:r>
          </w:p>
          <w:p>
            <w:pPr>
              <w:numPr>
                <w:ilvl w:val="0"/>
                <w:numId w:val="15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w:t>
            </w:r>
          </w:p>
          <w:p>
            <w:pPr>
              <w:numPr>
                <w:ilvl w:val="0"/>
                <w:numId w:val="15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самостоятелни заеми (без съфинансиране от безвъзмездните средства), отпускани съгласно целите на подмярката, брутния еквивалент на помощта от финансовия инстумент не може да надхвърля максималните размери на помощта, приложими за подмярката, съгласно Анекс II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Помощта за инвестиции свързани с преработка и/или маркетинг се отпуска в съответствие с 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в случаите на преработка на продукти от Приложение І в продукти извън Приложение І, а </w:t>
            </w:r>
            <w:r>
              <w:rPr>
                <w:rFonts w:ascii="Times New Roman" w:eastAsia="Times New Roman" w:hAnsi="Times New Roman" w:cs="Times New Roman"/>
                <w:szCs w:val="24"/>
                <w:u w:val="single"/>
              </w:rPr>
              <w:t>за проектни предложения подадени след 01.01.2024 г. се отпуска в съответствие с Регламент (ЕС) 2023/2831  относно прилагането на членове 107 и 108 от Договора за функционирането на Европейския съюз към помощта de minimis, в случаите на преработка на продукти от Приложение І в продукти извън Приложение І.</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кредита, който ще се финансира чрез финансовия инструмент е до 2 000 000 лв. за инвестиционни кредити. Допустими за финансиране са и оборотни средства, които допълват инвестицияи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 50 % от общия размер на допустимите за финансово подпомагане разходи и 40% от общия размер на допустимите за финансово подпомагане разходи за големи предприятия по смисъла на Закона за МСП.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финансовата помощ се увеличава с 10 % от общия размер на допустимите за финансово подпомагане разходи в следните случаи:</w:t>
            </w:r>
          </w:p>
          <w:p>
            <w:pPr>
              <w:numPr>
                <w:ilvl w:val="0"/>
                <w:numId w:val="15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дейности, подпомагани по линия на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един бенефициент е не повече от 90 %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инвестиции свързани с преработка и/или маркетинг се отпуска в съответствие с 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в случаите на преработка на продукти от Приложение І в продукти извън Приложение І:</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Помощта за инвестиции свързани с преработка и/или маркетинг за проектни предложения подадени след 01.01.2024 г. се отпуска в съответствие с Регламент (ЕС) 2023/2831 на Комисията от 13 декември 2023 година относно прилагането на членове 107 и 108 от Договора за функционирането на Европейския съюз към помощта de minimis, в случаите на преработка на продукти от Приложение І в продукти извън Приложение І.</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в рамките на  15 000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един кандидат за периода на прилагане на Програмата е в рамките на 2 000 000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един кандидат за интегриран проект за периода на прилагане на Програмата е в рамките на 2 000 000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6 до 10 производители за периода на прилагане на Програмата е в рамките на 2 000 000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над 10 производители и/или групи/организации на производители за периода на прилагане на Програмата е в рамките на 2 000 000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Общите правила за държавна помощ по подмярката се прилагат за инвестиции в преработка/ маркетинг на продукти от Приложение I в продукти извън Приложение I.</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Във връзка с Регламент (ЕС) 2020/2220 от 23 декември 2020 година за проектни предложения подадени след 01.01.2021 г. се прилагат следните финансови условия:</w:t>
            </w:r>
          </w:p>
          <w:p>
            <w:pPr>
              <w:numPr>
                <w:ilvl w:val="0"/>
                <w:numId w:val="16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проекти с размер на заявените за подпомагане разходи до 2 000 000 евро, включително: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е в размер до 50 % от общия размер на допустимите за финансово подпомагане разходи, като същата може да се увеличава на база общия размер на допустимите за финансово подпомагане разходи в следните случаи:</w:t>
            </w:r>
          </w:p>
          <w:p>
            <w:pPr>
              <w:numPr>
                <w:ilvl w:val="0"/>
                <w:numId w:val="16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в обхвата на допълнителните средства по линия на Next Generation финансовата помощ се увеличава с до 25 %;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за общи разходи по проекта е в размер до 50 %.</w:t>
            </w:r>
          </w:p>
          <w:p>
            <w:pPr>
              <w:numPr>
                <w:ilvl w:val="0"/>
                <w:numId w:val="16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проекти с размер на заявените за подпомагане разходи от 2 000 001 евро до 3 000 000 евро, включително: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е в размер до 35 % от общия размер на допустимите за финансово подпомагане разходи, като същата може да се увеличава на база общия размер на допустимите за финансово подпомагане разходи в следните случаи:</w:t>
            </w:r>
          </w:p>
          <w:p>
            <w:pPr>
              <w:numPr>
                <w:ilvl w:val="0"/>
                <w:numId w:val="16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в обхвата на допълнителните средства по линия на Next Generation финансовата помощ се увеличава с до 25 %;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за общи разходи по проекта е в размер до 35 %.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Максималният размер на допустимите разходи за един кандидат за периоди на прием проведени след 01.01.2021 г. е в рамките на 3 000 000 евро, като максималният размер на допустимите разходи за един проект не може да надхвърля 3 000 000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проектни предложения подадени след 01.01.2024 г. се прилагат следните финансови условия: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е в размер до 50 % от общия размер на допустимите за финансово подпомагане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Минималният размер на допустимите разходи за един кандидат за периоди на прием проведени след 01.01.2024 г. е в размер на 15 000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Максималният размер на допустимите разходи за един кандидат за периоди на прием проведени след 01.01.2024 г. е в рамките на до 700 000 евро, като максималният размер на допустимите разходи за един проект не може да надхвърля 700 000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проектни предложения за инвестиции в преработка/ маркетинг на продукти от Приложение I в продукти извън Приложение I максималният размер на допустимите разходи за един кандидат за периоди на прием проведени след 01.01.2024 г. е в рамките на до 600 000 евро, като максималният размер на допустимите разходи за един проект не може да надхвърля 600 000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за неизпълнение на проектите в резултат на ограничен достъп на бенефициентите до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двойно финансиране на активи (дейности), които могат да бъдат подпомогнати по първи стълб на ОСП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 След резките промени в икономическа обстановка, в резултат на COVID 19  и руската инвазия в Украйна, съществува риск за поддържане съответствието с критериите за подбор, за които е получен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Съществува риск от подпомагане на дейности, свързани преработка на суровини и крайни продукти от нея извън Анекс I към Договора;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Съществува риск от некоректно определяне интензитета на помощта в резултат на неправилното отнасяне на предприятие от по-висока към по-ниска категория, съгласно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Съществува риск от неправилно определяне размера на помощта за дейности, свързани преработка на суровини от Анекс I към Договора в крайни продукти извън Анекса, в резултат на неспазване на изискванията на Регламент 702/2014 г. </w:t>
            </w:r>
            <w:r>
              <w:rPr>
                <w:rFonts w:ascii="Times New Roman" w:eastAsia="Times New Roman" w:hAnsi="Times New Roman" w:cs="Times New Roman"/>
                <w:szCs w:val="24"/>
                <w:u w:val="single"/>
              </w:rPr>
              <w:t>или с Регламент (ЕС) 2023/2831 на Комисията от 13 декември 2023 година.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6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16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164"/>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Улесняване на достъпа до финансиране, чрез сключване на споразумения с търговските банки за предоставяне на финансов ресурс на одобрените кандидати;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Отделните операции и бенефициенти, допустими по мерките от ПРСР са разграничени с тези по І стълб от ОСП;</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6.4. На електронната страница на Програмата ще се публикуват подробни указания относно начина на промяна по договорите;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7.2. Изискване на документи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7.3. Контролните процедури включват елементи за проверка за наличие на изкуствено създадени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7.4. Актуализиране на изискванията за поддържане съответствие с критериите за подбор след одобрение на проекта спрямо динамичната икономическа обстановка, водеща до постоянно променящи се пазарни условия, които оказват негативен ефект върху устойчивостта на инвестициите;</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8.1. За целите на извършвания контрол ще бъде изготвен подробен списък с включените в Анекс I към Договора суровини за преработка и крайни продукти от нея. За тези, при които крайният продукт не е включен Анекс І към Договора ще се прилагат правилата за държавните помощи, освен в случаите на групово освобождаване;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9.1.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 както</w:t>
            </w:r>
            <w:r>
              <w:rPr>
                <w:rFonts w:ascii="Times New Roman" w:eastAsia="Times New Roman" w:hAnsi="Times New Roman" w:cs="Times New Roman"/>
                <w:szCs w:val="24"/>
              </w:rPr>
              <w:t xml:space="preserve">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9.2.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 с които ще се осигури коректен размер на интензитета на помощта;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10.2. При извършване на проверките за вида на предприятието, ще бъдат въведени допълнителни работни документи, отразяващи по-добрата проследимост на извършваните проверки при спазване на изискването за одитна пътека;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11.1. Въвеждане на указания и контролни процедури за начините за проверка на изискванията, свързани преработка на суровини от Анекс I към Договора в крайни продукти извън Анекса, при спазване на разпоредбите на Регламент 702/2014 г.</w:t>
            </w:r>
            <w:r>
              <w:rPr>
                <w:rFonts w:ascii="Times New Roman" w:eastAsia="Times New Roman" w:hAnsi="Times New Roman" w:cs="Times New Roman"/>
                <w:szCs w:val="24"/>
                <w:u w:val="single"/>
              </w:rPr>
              <w:t xml:space="preserve"> и Регламент (ЕС) 2023/2831 на Комисията от 13 декември 2023 година, </w:t>
            </w:r>
            <w:r>
              <w:rPr>
                <w:rFonts w:ascii="Times New Roman" w:eastAsia="Times New Roman" w:hAnsi="Times New Roman" w:cs="Times New Roman"/>
                <w:szCs w:val="24"/>
              </w:rPr>
              <w:t>с които ще се осигури коректен размер на интензитета на помощта.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бъде насочено към модернизиране на физическите активи на предприятията, преработващи земеделски продукти, в това число чрез подпомагане на инвестиции, свързани с внедряване на иновации и повишаване на енергийната ефективност.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Приоритетите и целевото насочване на помощта са съобразени с нуждите, очертани в извършения анализ. Приоритетното насочване на средствата ще бъде осигурено посредством критериите за подбор.</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 стандарти за защита и хуманно отношение към животните и намаляване до минимум на страданията им по време на клане съгласно Регламент /ЕО/№ 853/2004 /чл.10, §3, Приложение III, ГЛАВА II и Директива 93/119/ЕС/22.12.1993 за защита на животните при клане и Наредба № 4 от 15 юли 2014 г. за специфичните изисквания към производството на суровини и храни от животински произход в кланични пунктове, тяхното транспортиране и пускане на пазара.</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4.2.2 "Инвестиции в преработка/маркетинг на селскостопански продукти по Тематичната подпрограма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65"/>
              </w:numPr>
              <w:rPr>
                <w:b w:val="0"/>
              </w:rPr>
            </w:pPr>
            <w:r>
              <w:rPr>
                <w:b w:val="0"/>
              </w:rPr>
              <w:t>4.2 — подкрепа за инвестиции в преработката, предлагането на пазара и/или развитието на селскостопански продукти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Конкурентоспособността на малките стопанства (предприятия) в условията на силно наситения пазар на хранителни стоки в значителна степен зависи от подобряване на ефективността на производството и маркетинга, въвеждане на иновации, подобряване на качеството и безопасността на храните, опазване на околната среда, подобряване условията на труд и хигиена. Малките партиди и непостоянното качество на продукцията също влошават пазарните позиции на тези стопанства. Липсата на умения и знания на малките стопанства за проучване на пазарите, слабата информираност за пазарната конюнктура и маркетинг на продукцията също влошава техните пазарни позиции и намалява способността на земеделските производители да отговорят бързо и адекватно на пазарните тенденции.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Особено в малките животновъдни стопанства ще бъде осигурена подкрепа за добавяне на стойност към произведената продукция чрез подпомагане на малки преработвателни мощности.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Подпомагането от финансовия инструмент ще бъде предоставяно за инвестиции в материални и нематериални активи, които подобряват цялостните резултати и устойчивостта на малките стопанства, преработващи земеделски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в преработвателния сектор, предимно свързани с достъп до финансиране и високи лихвени нива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ind w:left="357"/>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тази подмярка се предоставя за инвестиции в материални и/или нематериални активи, които се отнасят до:</w:t>
            </w:r>
          </w:p>
          <w:p>
            <w:pPr>
              <w:numPr>
                <w:ilvl w:val="0"/>
                <w:numId w:val="16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или модернизация на съществуващи мощности за преработка на земеделски продукти, включени в Анекс 1;</w:t>
            </w:r>
          </w:p>
          <w:p>
            <w:pPr>
              <w:numPr>
                <w:ilvl w:val="0"/>
                <w:numId w:val="16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и/или модернизация на капацитета на местните мрежи за прибиране, приемане, съхранение, климатизиране, сортиране и пакетиране на земеделска продукция;</w:t>
            </w:r>
          </w:p>
          <w:p>
            <w:pPr>
              <w:numPr>
                <w:ilvl w:val="0"/>
                <w:numId w:val="16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опазване на околната среда/климата, включително инсталации за пречистване на отпадъчни води в преработването и маркетинга;</w:t>
            </w:r>
          </w:p>
          <w:p>
            <w:pPr>
              <w:numPr>
                <w:ilvl w:val="0"/>
                <w:numId w:val="16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и прилагане на системи за управление на качеството и хранителната безопасност, ако са свързани с материалните инвестиции по проекта;</w:t>
            </w:r>
          </w:p>
          <w:p>
            <w:pPr>
              <w:numPr>
                <w:ilvl w:val="0"/>
                <w:numId w:val="1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Обработка на селскостопанската биомаса за производство на (електро)енергия от възобновяеми източници от участници, различни от земеделските стопанства. Предвидената подкрепа е само за производство на енергия за собствено потребление.;</w:t>
            </w:r>
          </w:p>
          <w:p>
            <w:pPr>
              <w:numPr>
                <w:ilvl w:val="0"/>
                <w:numId w:val="16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на съответствие със стандарт(ите) на Съюза, които ще станат задължителни за стопанствата в близко бъдеще.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за инвестиции в материални и нематериални активи, свързани със селскостопанска дейност, които подобряват цялостните резултати и устойчивостта на малките земеделските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 инструмент ще предоставя финансиране под формата на заем с поделяне на риска. Ще се финансират кредити за съфинансиране на проекти за инвестиции на малки земеделки стопанства, подпомагани по подмярката. Отпусканите кредити ще подпомогнат реализирането на одобрени проекти по подмярката.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13 от делегиран акт (проект)на Комисията за допълнение на някои разпоредби на Регламент (ЕС) № 1305/2013 на Европейския парламент и на Съвета относно подпомагане на рзвитието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и/или „етерично –маслени и лекарствени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малки земеделски стопанства от сектор „Животновъдство“ ще се предоставя за стопанства, които попадат в обхвата на планински район съгласно Наредбата за определяне на критериите за необлагодетелстваните райони и териториалния им обхват - приета с ПМС № 30 от 15.02.2008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земеделски стопани, които са подписали договор за получаване на безвъзмездна финансова помощ по подмярката.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придобиване и подобряване на недвижимо имущество, включително чрез лизинг;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нови машини, съоръжения и оборудване, включително компютърен софтуер до пазарната стойност на активите, включително чрез лизинг;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Общи разходи свързани със съответния проект за предпроектни проучвания, такси, хонорари за архитекти, инженери и консултантски услуги, различни от тези предоставяни по мярката по чл.15;</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ноу-хау, патенти права и лицензи, търговски марки и процеси необходими за изготвяне и изпълнение на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съоръжения, оборудване за преработка на пчелен мед и пчелни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разходите, включени в одобрения проект за получаване на безвъзмездна финансова помощ по подмярката, които не са финансирани с безвъзмездни средства (само частта за самоучастие):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разходите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Оборотни средства, които допълват инвестицията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ДДС, съгласно изискванията на чл. 37 пар.11 от регламент 1303/2013;</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 „етерично-маслени и лекарствени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получили минимум 33 % от общия доход за преходната година от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представят бизнес план, който да съдържа описание на дейностите и инвестициите, които ще се извършват през периода на подпомагане.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инвестиции за производство на енергия от възобновяеми енергийни източници  ще се предоставя само за покриване нуждите на земеделските стопанства. По мярката няма да се предоставя подкрепа за продажба на електрическа, топлинна енергия и/или енергия за охлаждане.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на електрическа, топлинна енергия и/или енергия за охлаждане за собствено потребление ще се подпомагат, в случай, че същите не надхвърлят необходимото количество енергия за покриване собствените нужди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подкрепят инвестиции свързани с преработката на пчелен мед, като няма да се подпомагат  дейности подпомагани по „Национална програма по пчеларство 2014-2016.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които:</w:t>
            </w:r>
          </w:p>
          <w:p>
            <w:pPr>
              <w:numPr>
                <w:ilvl w:val="0"/>
                <w:numId w:val="16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насърчават заетостта чрез разкриването на работни места и запазване на съществуващите работни места;</w:t>
            </w:r>
          </w:p>
          <w:p>
            <w:pPr>
              <w:numPr>
                <w:ilvl w:val="0"/>
                <w:numId w:val="1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се извършва в по-слабо развити райони на територията на Република България (Северозападен район);</w:t>
            </w:r>
          </w:p>
          <w:p>
            <w:pPr>
              <w:numPr>
                <w:ilvl w:val="0"/>
                <w:numId w:val="1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 въвеждат нови процеси и технологии, целящи опазването на околната среда;</w:t>
            </w:r>
          </w:p>
          <w:p>
            <w:pPr>
              <w:numPr>
                <w:ilvl w:val="0"/>
                <w:numId w:val="16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насърчават се ефективни технологии за намаляване на емисиите, по-специално на прахови частици при обработката на биомаса.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критерите за подбор, точките за всеки критерии, както и минималния брой точки, над които дейността ще бъде одобрена за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 като се вземат предвид и разпоредбите на чл. 7 (3)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инвестиционния кредит, който ще се финансира чрез финансовия инструмент не може да надхвърля сумата на разходите, включени в одобрения проект за получаване на безвъзмездна финансова помощ по подмярката. Максималния размер на инвесиционния кредит се определя в съответствие с разпоредбите на чл. 37 (9)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финансиране са и оборотни средства, които допълват инвестиция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 60%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Размерът на финансовата помощ се увеличава с 10 процентни пункта, </w:t>
            </w:r>
            <w:r>
              <w:rPr>
                <w:rFonts w:ascii="Times New Roman" w:eastAsia="Times New Roman" w:hAnsi="Times New Roman" w:cs="Times New Roman"/>
                <w:szCs w:val="24"/>
                <w:u w:val="single"/>
              </w:rPr>
              <w:t xml:space="preserve">като максималното комбинирано подпомагане не може да надхвърля 80% </w:t>
            </w:r>
            <w:r>
              <w:rPr>
                <w:rFonts w:ascii="Times New Roman" w:eastAsia="Times New Roman" w:hAnsi="Times New Roman" w:cs="Times New Roman"/>
                <w:szCs w:val="24"/>
              </w:rPr>
              <w:t>за проекти с  дейности, подпомагани по линия на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1 250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помощта за едно проектно предложение е 75 000 евро, а за проекти представляващи колективни инвестиции 100 000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проекти за колективни инвестиции и интегрирани проекти е не повече от 90% от общия размер на допустимите за финансово подпомагане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Административен капацитет.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Дефиниране в нормативната уредба, или в насоките, или друг документ, определящ условията за кандидатстване и условията за изпълнение на одобрените проекти на допълнителни изисквания и дефиниции, свързани с определяне на допустимостта, в т.ч. изисквания, на които трябва да отговаря земеделското стопанство на кандидата, както и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за предотвратяване на </w:t>
            </w:r>
            <w:r>
              <w:rPr>
                <w:rFonts w:ascii="Times New Roman" w:eastAsia="Times New Roman" w:hAnsi="Times New Roman" w:cs="Times New Roman"/>
                <w:szCs w:val="24"/>
                <w:u w:val="single"/>
              </w:rPr>
              <w:t>изкуствено създадените</w:t>
            </w:r>
            <w:r>
              <w:rPr>
                <w:rFonts w:ascii="Times New Roman" w:eastAsia="Times New Roman" w:hAnsi="Times New Roman" w:cs="Times New Roman"/>
                <w:szCs w:val="24"/>
              </w:rPr>
              <w:t xml:space="preserve">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Опитът от прилагане на мярка 112 „Създаване на стопанства на млади фермери“  и мярка 141 „Подпомагане на полупазарни стопанства в процес на преструктуриране“ показва, че децентрализирането им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подмярка 4.2.2. „Инвестиции в преработка/маркетинг на селскостопански продукти по Тематичната подпрограма за развитие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 Проверките ще включват системни административни проверки на всички заявления за помощ и ще се допълват от проверки на място на база анализ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 мерки включени в Програмата, едната от който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които:</w:t>
            </w:r>
          </w:p>
          <w:p>
            <w:pPr>
              <w:numPr>
                <w:ilvl w:val="0"/>
                <w:numId w:val="16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насърчават заетостта чрез разкриването на работни места и запазване на съществуващите работни места;</w:t>
            </w:r>
          </w:p>
          <w:p>
            <w:pPr>
              <w:numPr>
                <w:ilvl w:val="0"/>
                <w:numId w:val="1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се извършва в по-слабо развити райони на територията на Република България (Северозападен район);</w:t>
            </w:r>
          </w:p>
          <w:p>
            <w:pPr>
              <w:numPr>
                <w:ilvl w:val="0"/>
                <w:numId w:val="1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 въвеждат нови процеси и технологии, целящи опазването на околната среда;</w:t>
            </w:r>
          </w:p>
          <w:p>
            <w:pPr>
              <w:numPr>
                <w:ilvl w:val="0"/>
                <w:numId w:val="16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насърчават се ефективни технологии за намаляване на емисиите, по-специално на прахови частици при обработката на биомаса.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 стандарти за защита и хуманно отношение към животните и намаляване до минимум на страданията им по време на клане съгласно Регламент /ЕО/№ 853/2004 /чл.10, §3, Приложение III, ГЛАВА II и Директива 93/119/ЕС/22.12.1993 за защита на животните при клане и Наредба № 4 от 15 юли 2014 г. за специфичните изисквания към производството на суровини и храни от животински произход в кланични пунктове, тяхното транспортиране и пускане на пазара.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4.3 "Подкрепа за инвестиции в инфраструктура - развитие, модернизация или адаптиране на земеделската и горска инфраструктура"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70"/>
              </w:numPr>
              <w:rPr>
                <w:b w:val="0"/>
              </w:rPr>
            </w:pPr>
            <w:r>
              <w:rPr>
                <w:b w:val="0"/>
              </w:rPr>
              <w:t>4.3 — подкрепа за инвестиции в инфраструктура, свързана с развитието, модернизирането или адаптирането на селското и горското стопанство</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през последните години се отчитат тенденции, свързани с нарастваща несигурност на селскостопанската дейност при продължителни периоди на засушаване.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Очакваните промени в моделите на валежите също ще доведат до диференцирани въздействия върху регионалните добиви на българското земеделско производство според съответните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Повече от две десетилетия на недостатъчни инвестиции в напоителните системи са довели до значително влошаване на състоянието им, в следствие, на което в страната е отчетено намаляване на поливните площи и ограничаване на възможностите за насърчаване на конкурентоспособността на селското стопанство, особено в годините с неблагоприятни климатични условия. В тази връзка в националните стратегически документи, свързани с напояването в селското стопанство се поставят приоритети, свързани с развитието на сектора на поливното земеделие в контекста на адаптирането към климатичните изменения.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Следвайки тази логика подпомагането по подмярката ще бъде насочено към реконструкция/рехабилитация и модернизация на хидромелиорационна инфраструктура </w:t>
            </w:r>
            <w:r>
              <w:rPr>
                <w:rFonts w:ascii="Times New Roman" w:eastAsia="Times New Roman" w:hAnsi="Times New Roman" w:cs="Times New Roman"/>
                <w:szCs w:val="24"/>
                <w:u w:val="single"/>
              </w:rPr>
              <w:t>използвана само за селскостопански нужди</w:t>
            </w:r>
            <w:r>
              <w:rPr>
                <w:rFonts w:ascii="Times New Roman" w:eastAsia="Times New Roman" w:hAnsi="Times New Roman" w:cs="Times New Roman"/>
                <w:szCs w:val="24"/>
              </w:rPr>
              <w:t>, с цел намаляване на загубите на вода и адаптиране на селското стопанство към последиците от изменението на климата. Чрез подкрепата по подмярката ще се гарантира ефективно използване на водните ресурси посредством въвеждането на нови технологии, които водят до реално намаляване на загубите и на консумацията на вода в селското стопанство, повишаване на конкурентните предимства, както и до намаляване натиска върху водните тела. По–ефективното използване на водата ще благоприятства за подържане на доброто състояние на водните тела, включително ще оказва благоприятен ефект при адаптиране на селското стопанство към последиците от изменението на климата. Използвайки този подход чрез ефективното напояване на земеделските земи ще се осигури добра основа за развитието на земеделския сектор едновременно с адаптацията към промените в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интервенциите по подмярката ще се осигури насърчаването на икономии на вода и енергийно ефективни технологии, които са заложени като основен елемент при определяне на допустимите и приоритетни дейности, подпомагани по ПРСР в рамките на ОСП. Този подход е в съответствие и кореспондира изцяло с поставените цели в Рамковата директива за водите (РДВ), свързани с опазването от влошаване и подобряването на качеството на водните екосистеми, чрез приемане и прилагане на Планове за управление на речните басейни (ПУРБ) и програмите от мерки към тях. Целевото насочване на помощта чрез ПРСР за постигане на по – добра ефективност на системите ще гарантира и постигане на по–високо ниво на показателя за потенциална относителна икономия на вода след извършване на съответните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програмата от мерки за постигане на екологичните цели на ПУРБ на Басейновите дирекции в България са включени мерки като - намаляване на водовземането чрез намаляване загубите на вода и смекчаване на натиска от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този контекст, като основен елемент при предоставянето на подпомагане по подмярката е насърчаването на инвестиции в реконструкция/рехабилитация и модернизация на хидромелиоративна инфраструктура, чрез която се постига най-малко 15% потенциална икономия на вода, което от своя страна се очаква да окаже и положително влияние върху състоянието на водните тела определени в съответния ПУРБ. Предвидените за подпомагане по подмярката интервенции са в съответствие със заложените мерки, приоритети и цели в ПУРБ.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друга страна допустимите дейности по подмярката са част от мерките, предвидени за постигане в Националната стратегия за управление и развитие на водния сектор, свързани със запазване и подобряване на състоянието на водните обекти.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Възстановяването на общата инфраструктура за напояване чрез реконструкция и модернизация, е една от целите, заложени и в приетата през 2016 г. в страната „Обща стратегия за управление и развитие на хидромелиорациите и защита от вредното въздействие на водите“ и е в съответствие с идентифицираните нужди, посочени във фокус област 5А „Повишаване на ефективността при потреблението на вода в селското стопанство“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във водоразпределителната мрежа ще се фокусират върху възстановяването на съществуващата инфраструктура по начин, който съчетава внедряването на оптимизирани съоръжения и качествени услуги за доставка на вода на земеделските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подпомагането по подмярка 4.3 ще се търси допълняемост с подпомаганите дейности по подмярка 4.1 за инвестиции в напоителни системи в самите стопанства, като ще осигури на повече земеделски стопанства достъп до хидромелиоративни съоръжения.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подпомагането по подмярка 4.3 ще бъдат определени критерии за подбор с предвиден  приоритет за хидромелиоративни системи, доставящи вода за напояване до земеделски стопанства с изразено зеленчукопроизводство, отглеждане на трайни насаждения и други поливни култури, които имат най-голяма потребност от инвестиционна подкрепа в поливна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подмярката ще бъдат насочени чрез критериите за подбор и към области, които са определени в анализ от Световна банка, че хидромелиорационна инфраструктура е с по-нисък коефициент на полезно действие. По този начин ще се гарантира по-ефективното използване на водата, включително чрез използване на нови технологии, които водят до реално намаляване на потреблението и загубите на вода, както и до намаляване натиска върху водните тела. Планираният размер на показателя – поливни площи от 35 000 ха е съобразен с потенциалните площи, за които могат да бъдат реализирани интервенции до края на 2023 г. от страна на допустимите бенефициенти. Отчитайки разпределението на поливните площи, които попадат в обхвата на стопанисваната от различните видове бенефициенти поливна инфраструкура, Управляващия орган ще приложи диверсифициран подход по отношение на обема на инвестиционните дейности, като по този начин ще се осигури възможност за реалистично постигане на целите към 2023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насочване на подпомагането към подобрени практики за управление на водите, ще се гарантира ефективното използване на водата (намаляване на загубите на вода), ефективността на напояването и ще се подобрят възможностите за насърчаване на конкурентоспособността на селското стопанство.</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се прилага на територията на цялата страна, за дейности свързани с материални и нематериални инвестиции за реконструкция и модернизация на инфраструктурата за напояване, както и за покриване нуждите от поетапно възстановяване на съществуващите хидромелиорационни съоръжения. Приоритетно насочване на помощта ще бъде осъществено, чрез определянето на критериите за подбор, които дават приоритет както на хидромелиоративни системи в страната, при които се използва вода от инфраструктура с по-големи загуби и по-ниска ефективност при използване на водните ресурси, така и на системи, при които се използва вода за напояване на сектори с изразено зеленчукопроизводство, трайни насаждиня и други поливни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Подкрепата ще бъде насочена към инвестиции в напоителни системи </w:t>
            </w:r>
            <w:r>
              <w:rPr>
                <w:rFonts w:ascii="Times New Roman" w:eastAsia="Times New Roman" w:hAnsi="Times New Roman" w:cs="Times New Roman"/>
                <w:szCs w:val="24"/>
                <w:u w:val="single"/>
              </w:rPr>
              <w:t>използвани само за селскостопански цели </w:t>
            </w:r>
            <w:r>
              <w:rPr>
                <w:rFonts w:ascii="Times New Roman" w:eastAsia="Times New Roman" w:hAnsi="Times New Roman" w:cs="Times New Roman"/>
                <w:szCs w:val="24"/>
              </w:rPr>
              <w:t>извън земеделските стопанства, включващи:</w:t>
            </w:r>
          </w:p>
          <w:p>
            <w:pPr>
              <w:numPr>
                <w:ilvl w:val="0"/>
                <w:numId w:val="17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Ремонт/реконструкция/рехабилитация на напоителни инсталации и напоителна инфраструктура;</w:t>
            </w:r>
          </w:p>
          <w:p>
            <w:pPr>
              <w:numPr>
                <w:ilvl w:val="0"/>
                <w:numId w:val="17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и инсталиране на нови машини, съоръжения и оборудване за напояване, измерване и мониторинг, включително и такива, пряко свързани с подобряване на енергийната ефективност и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под формата на възстановяване на действително направени и платени допустими разходи.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Връзка с друго законодателство</w:t>
            </w:r>
          </w:p>
          <w:p>
            <w:pPr>
              <w:numPr>
                <w:ilvl w:val="0"/>
                <w:numId w:val="17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2000/60/EО на Европейския парламент и на Съвета от 23 октомври 2000 година за установяване на рамка за действията на Общността в областта на политиката за водите;</w:t>
            </w:r>
          </w:p>
          <w:p>
            <w:pPr>
              <w:numPr>
                <w:ilvl w:val="0"/>
                <w:numId w:val="17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45 от Регламент (ЕС) № 1305/2013</w:t>
            </w:r>
          </w:p>
          <w:p>
            <w:pPr>
              <w:numPr>
                <w:ilvl w:val="0"/>
                <w:numId w:val="17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46, от Регламент (ЕС) № 1305/2013;</w:t>
            </w:r>
          </w:p>
          <w:p>
            <w:pPr>
              <w:numPr>
                <w:ilvl w:val="0"/>
                <w:numId w:val="17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17, параграф 8 от Регламент (ЕС) № 1305/2013;</w:t>
            </w:r>
          </w:p>
          <w:p>
            <w:pPr>
              <w:numPr>
                <w:ilvl w:val="0"/>
                <w:numId w:val="17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Рамкова директива за водите;</w:t>
            </w:r>
          </w:p>
          <w:p>
            <w:pPr>
              <w:numPr>
                <w:ilvl w:val="0"/>
                <w:numId w:val="17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Закон за водите и актовете по прилагането му; </w:t>
            </w:r>
          </w:p>
          <w:p>
            <w:pPr>
              <w:numPr>
                <w:ilvl w:val="1"/>
                <w:numId w:val="172"/>
              </w:numPr>
              <w:spacing w:before="0" w:after="0"/>
              <w:ind w:left="1440" w:hanging="244"/>
              <w:jc w:val="left"/>
              <w:rPr>
                <w:rFonts w:ascii="Times New Roman" w:eastAsia="Times New Roman" w:hAnsi="Times New Roman" w:cs="Times New Roman"/>
                <w:szCs w:val="24"/>
              </w:rPr>
            </w:pPr>
            <w:r>
              <w:rPr>
                <w:rFonts w:ascii="Times New Roman" w:eastAsia="Times New Roman" w:hAnsi="Times New Roman" w:cs="Times New Roman"/>
                <w:szCs w:val="24"/>
              </w:rPr>
              <w:t>Закон за сдруженията за напояване и актовете по прилагането му;</w:t>
            </w:r>
          </w:p>
          <w:p>
            <w:pPr>
              <w:numPr>
                <w:ilvl w:val="0"/>
                <w:numId w:val="17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Закон за устройството на територията; </w:t>
            </w:r>
          </w:p>
          <w:p>
            <w:pPr>
              <w:numPr>
                <w:ilvl w:val="1"/>
                <w:numId w:val="172"/>
              </w:numPr>
              <w:spacing w:before="0" w:after="0"/>
              <w:ind w:left="1440" w:hanging="244"/>
              <w:jc w:val="left"/>
              <w:rPr>
                <w:rFonts w:ascii="Times New Roman" w:eastAsia="Times New Roman" w:hAnsi="Times New Roman" w:cs="Times New Roman"/>
                <w:szCs w:val="24"/>
              </w:rPr>
            </w:pPr>
            <w:r>
              <w:rPr>
                <w:rFonts w:ascii="Times New Roman" w:eastAsia="Times New Roman" w:hAnsi="Times New Roman" w:cs="Times New Roman"/>
                <w:szCs w:val="24"/>
              </w:rPr>
              <w:t>Закон за биологичното разнообразие.</w:t>
            </w:r>
          </w:p>
          <w:p>
            <w:pPr>
              <w:numPr>
                <w:ilvl w:val="0"/>
                <w:numId w:val="17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Закон за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на контрол, която ще гарантира избягване на двойно финансиране с други финансови инструменти за едни и същи дейности.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Бенефициери могат да бъдат оператори, предоставящина услугата „Доставяне на вода за напояване“, които са:</w:t>
            </w:r>
          </w:p>
          <w:p>
            <w:pPr>
              <w:numPr>
                <w:ilvl w:val="0"/>
                <w:numId w:val="173"/>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учредени и регистрирани по реда на Закона за сдружения за напояване (ЗСН).</w:t>
            </w:r>
          </w:p>
          <w:p>
            <w:pPr>
              <w:numPr>
                <w:ilvl w:val="0"/>
                <w:numId w:val="17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учредени и регистрирани по реда на Търговския закон (ТЗ) или Закона за кооперациите (ЗК).</w:t>
            </w:r>
          </w:p>
          <w:p>
            <w:pPr>
              <w:numPr>
                <w:ilvl w:val="0"/>
                <w:numId w:val="173"/>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„Напоителни системи“ ЕАД.</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Допустими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 xml:space="preserve">Допустимите разходи за инвестиции  по подмярката следва да бъдат в съответствие с чл. 46, от Регламент (ЕС) № 1305/2013 на </w:t>
            </w:r>
            <w:r>
              <w:rPr>
                <w:rFonts w:ascii="Times New Roman" w:eastAsia="Times New Roman" w:hAnsi="Times New Roman" w:cs="Times New Roman"/>
                <w:szCs w:val="24"/>
                <w:u w:val="single"/>
              </w:rPr>
              <w:t xml:space="preserve">Европейския парламент и на </w:t>
            </w:r>
            <w:r>
              <w:rPr>
                <w:rFonts w:ascii="Times New Roman" w:eastAsia="Times New Roman" w:hAnsi="Times New Roman" w:cs="Times New Roman"/>
                <w:szCs w:val="24"/>
                <w:u w:val="single"/>
              </w:rPr>
              <w:t>Съвета</w:t>
            </w:r>
            <w:r>
              <w:rPr>
                <w:rFonts w:ascii="Times New Roman" w:eastAsia="Times New Roman" w:hAnsi="Times New Roman" w:cs="Times New Roman"/>
                <w:szCs w:val="24"/>
                <w:u w:val="single"/>
              </w:rPr>
              <w:t xml:space="preserve"> от 17 декември 2013 година</w:t>
            </w:r>
            <w:r>
              <w:rPr>
                <w:rFonts w:ascii="Times New Roman" w:eastAsia="Times New Roman" w:hAnsi="Times New Roman" w:cs="Times New Roman"/>
                <w:szCs w:val="24"/>
                <w:u w:val="single"/>
              </w:rPr>
              <w:t xml:space="preserve">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r>
              <w:rPr>
                <w:rFonts w:ascii="Times New Roman" w:eastAsia="Times New Roman" w:hAnsi="Times New Roman" w:cs="Times New Roman"/>
                <w:szCs w:val="24"/>
                <w:u w:val="single"/>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 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разходи са ограничени до разходите, свързани със съществуващи напоителни системи за материални и нематериални инвестиции, предмет на разпоредбите в секция 8.1, приложими за настоящата подмярка.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 за:</w:t>
            </w:r>
          </w:p>
          <w:p>
            <w:pPr>
              <w:numPr>
                <w:ilvl w:val="0"/>
                <w:numId w:val="174"/>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Реконструкция/рехабилитация/ремонт на сгради и друга недвижима собственост (облужващи сгради, помпени станции, изравнители, водохващания, линейна инфраструктура и др.), използвани за дейности, свързани изцяло с напояване, включително такива, използвани за опазване на околната среда (с изключение на естествени и изкуствени водоеми/водохранилища, както и язовири).</w:t>
            </w:r>
          </w:p>
          <w:p>
            <w:pPr>
              <w:numPr>
                <w:ilvl w:val="0"/>
                <w:numId w:val="17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и/или инсталиране на нови машини, съоръжения и оборудване, необходими за подобряване на дейностите, свързани с напояване, включително свързани с опазване на околната среда и подобряване на енергийната ефективност и за подобряване на проводимостта на напоителните съоръжения.</w:t>
            </w:r>
          </w:p>
          <w:p>
            <w:pPr>
              <w:numPr>
                <w:ilvl w:val="0"/>
                <w:numId w:val="174"/>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инсталиране на системи за отчитане и мониторинг на ползваните количества вода, включително свързани с превенция от вредното въздействие върху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Нематериални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Общи разходи[1],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както и разходи за организация и управление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Разходи за ноу-хау, придобиване на патентни права и лицензи, необходими за изготвяне и изпълнение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Закупуване на софтуер, пряко свързан с дейността;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Общите разходи по т.1 може да са възникнали не по – рано от 01.01.2014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са допустими в случаите, когато не подлежат на възстановяване в съответствие с националното законодателство в областта на ДДС.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за възложители по Закона за обществените поръчки (ЗОП) и по Постановление № 160 на МС от 1.07.2016 г. за определяне правилата за разглеждане и оценяване на оферти и сключването на договорите в процедурата за избор с публична покана от бенефициенти на безвъзмездна финансова помощ от Европейските структурни и инвестиционни фондове (ПМС № 160 от 2016 г.) е допустимо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до 12% от стойността на одобрената публична помощ по проекта за общи разходи и при наличие на документи от проведената съгласно изискванията на ЗОП/ Постановление № 160 процедура за избор на изпълнител/и;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разликата до 50% от стойността на одобрената публична помощ по проекта след провеждане на всички процедури и сключване на договор за избор на изпълнител/и по ЗОП или по ПМС № 160 от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разходи, свързани с предоставянето на услугите за доставка на вода за напояване са недопустими за подпомагане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Недопустими са разходи за дейности, свързани с изграждане, рекострукция и ремонт на естествени и изкуствени водоеми (водохранилища).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Съгласно буква „в“, параграф 2,а чл. 45 от Регламент № 1305</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tbl>
            <w:tblPr>
              <w:tblW w:w="5000" w:type="pct"/>
              <w:tblCellSpacing w:w="0" w:type="dxa"/>
              <w:tblBorders>
                <w:top w:val="outset" w:sz="6" w:space="0" w:color="808080"/>
                <w:left w:val="outset" w:sz="6" w:space="0" w:color="808080"/>
                <w:bottom w:val="outset" w:sz="6" w:space="0" w:color="808080"/>
                <w:right w:val="outset" w:sz="6" w:space="0" w:color="808080"/>
              </w:tblBorders>
              <w:tblCellMar>
                <w:top w:w="0" w:type="dxa"/>
                <w:left w:w="0" w:type="dxa"/>
                <w:bottom w:w="0" w:type="dxa"/>
                <w:right w:w="0" w:type="dxa"/>
              </w:tblCellMar>
            </w:tblPr>
            <w:tblGrid>
              <w:gridCol w:w="10424"/>
            </w:tblGrid>
            <w:tr>
              <w:tblPrEx>
                <w:tblW w:w="5000" w:type="pct"/>
                <w:tblCellSpacing w:w="0" w:type="dxa"/>
                <w:tblBorders>
                  <w:top w:val="outset" w:sz="6" w:space="0" w:color="808080"/>
                  <w:left w:val="outset" w:sz="6" w:space="0" w:color="808080"/>
                  <w:bottom w:val="outset" w:sz="6" w:space="0" w:color="808080"/>
                  <w:right w:val="outset" w:sz="6" w:space="0" w:color="808080"/>
                </w:tblBorders>
                <w:tblCellMar>
                  <w:top w:w="0" w:type="dxa"/>
                  <w:left w:w="0" w:type="dxa"/>
                  <w:bottom w:w="0" w:type="dxa"/>
                  <w:right w:w="0" w:type="dxa"/>
                </w:tblCellMar>
              </w:tblPrEx>
              <w:trPr>
                <w:tblCellSpacing w:w="0" w:type="dxa"/>
              </w:trPr>
              <w:tc>
                <w:tcPr>
                  <w:tcW w:w="450" w:type="pct"/>
                  <w:tcBorders>
                    <w:top w:val="inset" w:sz="6" w:space="0" w:color="808080"/>
                    <w:left w:val="inset" w:sz="6" w:space="0" w:color="808080"/>
                    <w:bottom w:val="inset" w:sz="6" w:space="0" w:color="808080"/>
                    <w:right w:val="inset" w:sz="6" w:space="0" w:color="808080"/>
                  </w:tcBorders>
                  <w:noWrap w:val="0"/>
                  <w:tcMar>
                    <w:top w:w="8" w:type="dxa"/>
                    <w:left w:w="8" w:type="dxa"/>
                    <w:bottom w:w="8" w:type="dxa"/>
                    <w:right w:w="8" w:type="dxa"/>
                  </w:tcMar>
                  <w:vAlign w:val="center"/>
                  <w:hideMark/>
                </w:tcPr>
                <w:p>
                  <w:pPr>
                    <w:spacing w:before="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 мярката не се подпомагат инвестиции, за които е установено, че ще оказват отрицателно въздействие върху околната среда /Виж Раздел 8.1/.</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по подмярката са инвестициионни разходи за инфраструктура за напояване извън земеделските стопанства.</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 xml:space="preserve">Допустимите </w:t>
                  </w:r>
                  <w:r>
                    <w:rPr>
                      <w:rFonts w:ascii="Times New Roman" w:eastAsia="Times New Roman" w:hAnsi="Times New Roman" w:cs="Times New Roman"/>
                      <w:b w:val="0"/>
                      <w:bCs w:val="0"/>
                      <w:i w:val="0"/>
                      <w:iCs w:val="0"/>
                      <w:smallCaps w:val="0"/>
                      <w:color w:val="000000"/>
                      <w:szCs w:val="24"/>
                      <w:u w:val="single" w:color="000000"/>
                    </w:rPr>
                    <w:t>инвестиции</w:t>
                  </w:r>
                  <w:r>
                    <w:rPr>
                      <w:rFonts w:ascii="Times New Roman" w:eastAsia="Times New Roman" w:hAnsi="Times New Roman" w:cs="Times New Roman"/>
                      <w:b w:val="0"/>
                      <w:bCs w:val="0"/>
                      <w:i w:val="0"/>
                      <w:iCs w:val="0"/>
                      <w:smallCaps w:val="0"/>
                      <w:color w:val="000000"/>
                      <w:szCs w:val="24"/>
                    </w:rPr>
                    <w:t xml:space="preserve"> </w:t>
                  </w:r>
                  <w:r>
                    <w:rPr>
                      <w:rFonts w:ascii="Times New Roman" w:eastAsia="Times New Roman" w:hAnsi="Times New Roman" w:cs="Times New Roman"/>
                      <w:b w:val="0"/>
                      <w:bCs w:val="0"/>
                      <w:i w:val="0"/>
                      <w:iCs w:val="0"/>
                      <w:smallCaps w:val="0"/>
                      <w:color w:val="000000"/>
                      <w:szCs w:val="24"/>
                      <w:u w:val="single" w:color="000000"/>
                    </w:rPr>
                    <w:t xml:space="preserve">по подмярката </w:t>
                  </w:r>
                  <w:r>
                    <w:rPr>
                      <w:rFonts w:ascii="Times New Roman" w:eastAsia="Times New Roman" w:hAnsi="Times New Roman" w:cs="Times New Roman"/>
                      <w:b w:val="0"/>
                      <w:bCs w:val="0"/>
                      <w:i w:val="0"/>
                      <w:iCs w:val="0"/>
                      <w:smallCaps w:val="0"/>
                      <w:color w:val="000000"/>
                      <w:szCs w:val="24"/>
                      <w:u w:val="single" w:color="000000"/>
                    </w:rPr>
                    <w:t xml:space="preserve">са ограничени </w:t>
                  </w:r>
                  <w:r>
                    <w:rPr>
                      <w:rFonts w:ascii="Times New Roman" w:eastAsia="Times New Roman" w:hAnsi="Times New Roman" w:cs="Times New Roman"/>
                      <w:b w:val="0"/>
                      <w:bCs w:val="0"/>
                      <w:i w:val="0"/>
                      <w:iCs w:val="0"/>
                      <w:smallCaps w:val="0"/>
                      <w:color w:val="000000"/>
                      <w:szCs w:val="24"/>
                      <w:u w:val="single" w:color="000000"/>
                    </w:rPr>
                    <w:t xml:space="preserve">само </w:t>
                  </w:r>
                  <w:r>
                    <w:rPr>
                      <w:rFonts w:ascii="Times New Roman" w:eastAsia="Times New Roman" w:hAnsi="Times New Roman" w:cs="Times New Roman"/>
                      <w:b w:val="0"/>
                      <w:bCs w:val="0"/>
                      <w:i w:val="0"/>
                      <w:iCs w:val="0"/>
                      <w:smallCaps w:val="0"/>
                      <w:color w:val="000000"/>
                      <w:szCs w:val="24"/>
                      <w:u w:val="single" w:color="000000"/>
                    </w:rPr>
                    <w:t>до материални и нематериални инвестиции, свързани със съществуващи напоителни системи</w:t>
                  </w:r>
                  <w:r>
                    <w:rPr>
                      <w:rFonts w:ascii="Times New Roman" w:eastAsia="Times New Roman" w:hAnsi="Times New Roman" w:cs="Times New Roman"/>
                      <w:b w:val="0"/>
                      <w:bCs w:val="0"/>
                      <w:i w:val="0"/>
                      <w:iCs w:val="0"/>
                      <w:smallCaps w:val="0"/>
                      <w:color w:val="000000"/>
                      <w:szCs w:val="24"/>
                      <w:u w:val="single" w:color="000000"/>
                    </w:rPr>
                    <w:t>.</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За инвестиции за ремонт/реконструкция/рехабилитация на съществуващи системи за напояване трябва да са изпълнени следните условия, съгласно чл. 46, § 4 от Регламент /ЕС/ 1305/2013:</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В случай на водно тяло със състояние, определено в съответния ПУРБ най – малко като „добро“, с инвестициите трябва да се осигурява най – малко 15% потенциална икономия на вода.</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В случай на водно тяло със състояние, определено в съответния ПУРБ като по – ниско от „добро“, с инвестициите трябва да се осигурява най – малко 15% потенциална икономия на вода и ефективно намаление на консумацията на вода с не по–малко от 50% от потенциалната икономия.</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Посочените условия за инвестиции за рехабилитация на съществуващи системи за напояване не са приложими за инвестиции, свързани само с енергийна ефективност, за съоръжения за съхранение на вода или за инвестиции, които използват само рециклирани води.</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За инвестиции, свързани с нетно увеличение на напояваната площ трябва да са изпълнени следните условия съгласно чл. 46, § 5 от Регламент /ЕС/ 1305/2013:</w:t>
                  </w:r>
                </w:p>
                <w:p>
                  <w:pPr>
                    <w:numPr>
                      <w:ilvl w:val="0"/>
                      <w:numId w:val="175"/>
                    </w:numPr>
                    <w:spacing w:before="240" w:after="0"/>
                    <w:ind w:left="720" w:hanging="21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 xml:space="preserve">състоянието на водното тяло, определено в съответния ПУРБ, не е в категория по–ниска от „добро“ и </w:t>
                  </w:r>
                </w:p>
                <w:p>
                  <w:pPr>
                    <w:numPr>
                      <w:ilvl w:val="0"/>
                      <w:numId w:val="175"/>
                    </w:numPr>
                    <w:spacing w:before="0" w:after="240"/>
                    <w:ind w:left="720" w:hanging="21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анализа и</w:t>
                  </w:r>
                  <w:r>
                    <w:rPr>
                      <w:rFonts w:ascii="Times New Roman" w:eastAsia="Times New Roman" w:hAnsi="Times New Roman" w:cs="Times New Roman"/>
                      <w:b w:val="0"/>
                      <w:bCs w:val="0"/>
                      <w:i w:val="0"/>
                      <w:iCs w:val="0"/>
                      <w:smallCaps w:val="0"/>
                      <w:color w:val="000000"/>
                      <w:szCs w:val="24"/>
                    </w:rPr>
                    <w:t xml:space="preserve"> </w:t>
                  </w:r>
                  <w:r>
                    <w:rPr>
                      <w:rFonts w:ascii="Times New Roman" w:eastAsia="Times New Roman" w:hAnsi="Times New Roman" w:cs="Times New Roman"/>
                      <w:b w:val="0"/>
                      <w:bCs w:val="0"/>
                      <w:i w:val="0"/>
                      <w:iCs w:val="0"/>
                      <w:smallCaps w:val="0"/>
                      <w:color w:val="000000"/>
                      <w:szCs w:val="24"/>
                      <w:u w:val="single" w:color="000000"/>
                    </w:rPr>
                    <w:t>оценката за въздействие върху околната среда на инвестицията трябва да доказва, че същата няма да окаже отрицателно въздействие върху околната среда.</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За инвестиции в съществуващи напоителни системи свързани с нетно увеличение на напояваната площ, трябва да са изпълнени условията по чл. 46, § 6 от Регламент /ЕС/ 1305/201</w:t>
                  </w:r>
                  <w:r>
                    <w:rPr>
                      <w:rFonts w:ascii="Times New Roman" w:eastAsia="Times New Roman" w:hAnsi="Times New Roman" w:cs="Times New Roman"/>
                      <w:b w:val="0"/>
                      <w:bCs w:val="0"/>
                      <w:i w:val="0"/>
                      <w:iCs w:val="0"/>
                      <w:smallCaps w:val="0"/>
                      <w:color w:val="000000"/>
                      <w:szCs w:val="24"/>
                      <w:u w:val="single" w:color="000000"/>
                    </w:rPr>
                    <w:t>3</w:t>
                  </w:r>
                  <w:r>
                    <w:rPr>
                      <w:rFonts w:ascii="Times New Roman" w:eastAsia="Times New Roman" w:hAnsi="Times New Roman" w:cs="Times New Roman"/>
                      <w:b w:val="0"/>
                      <w:bCs w:val="0"/>
                      <w:i w:val="0"/>
                      <w:iCs w:val="0"/>
                      <w:smallCaps w:val="0"/>
                      <w:color w:val="000000"/>
                      <w:szCs w:val="24"/>
                      <w:u w:val="single" w:color="000000"/>
                    </w:rPr>
                    <w:t>, а именно:</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В случай, че състоянието на водното тяло, определено в съответния ПУРБ, е в категория по–ниска от „добро“, инвестицията е допустима за подпомагане, ако включва и инвестиции в съществуващата напоителна инсталация, които по предварителна оценка осигуряват най–малко 15%  потенциална икономия на вода съгласно техническите характеристики на съществуващата инсталация и инвестициите трябва да осигуряват ефективно намаление на потреблението на вода с не по–малко от 50% от потенциалната икономия.</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За инвестиции за ремонт/реконструкция/рехабилитация на съществуващи системи за напояване при определяне на потенциалната икономия на вода и ефективното намаление на консумацията на вода ще се взимат предвид и данните за предходен период от водомерните устройства или актуваните и фактурирани водни количества, съобразени с утвърдените поливни и напоителни норми към съответната съществуваща система.</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Всички инвестициите за напояване трябва да: са в съответствие с Плана за управление на речните басейни /ПУРБ/ и да предвиждат измерване на потреблението на вода на база планираните инвестиции.</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Площи, които не се напояват, но към 01.01.2007 г. в тях е действала напоителна инсталация, се считат за напоявани площи.</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Инвестиции за напояване по подмярката ще се подпомагат, в случай че е осигурено разрешение за водовземане от съответните структури на Министерство на околната среда и водите (МОСВ) в съответствие с Плана за управление на речните басейни и то гарантира, че няма да има влошаване на водния статус в резултат на инвестицията или друго негативно въздействие върху околната среда, включително от кумулативното въздействие от всички инвестиции за напояване в речния басейн.</w:t>
                  </w:r>
                </w:p>
                <w:p>
                  <w:pPr>
                    <w:spacing w:before="24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за подпомагане са проекти, които покриват минимален брой точки в резултат на селекцията по критериите за оценка, определени от Комитета по наблюдение.</w:t>
                  </w:r>
                </w:p>
              </w:tc>
            </w:tr>
          </w:tbl>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критериите за подбор ще се осигури целево насочване на финансовата помощ към инфраструктура, свързана с осигуряване на възможности за земеделските стопани за отглеждане и развитие на приоритетни сектори, като: зеленчукопроизводство, трайни насаждения и други поливни култури, включително системи, които осигуряват достъп до напояване до по–голям брой земеделски стопани или поливни площи. Приоритет ще бъде осигурен за напоителни системи, които се намират в незадоволително състояние и за които се отчитат изключително ниски нива на ефективност, с цел минимизиране загубите на вода и повишаване на тяхната ефективност чрез постигане на по–високо ниво на показателя за потенциална относителна икономия на вода.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Също така ще бъде осигурен приоритет и за инвестиции в инфраструктура, която осигурява допълняемост с използването на съвременни и ефективни напоителни системи, в земеделските стопанства, до които се доставя вода за напояване, включително такива подпомогнати по ПРСР в рамките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бъде предоставен и за проекти, свързани с внедряване на иновативни технологии, включително такива, свързани с опазване на компонентите на околната среда и повишаване на тяхната ефективност.</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безвъзмездната финансова помощ е в размер до 100% от общия размер на допустимите за финансово подпомагане разходи за проекта. Интензитетът на помощта се прилага в съответствие с разпоредбите на Регламент (ЕС) 1305/2013, Приложение II „Размери и ставки на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процент на подпомагане се основава на проучване на инвестиционния потенциал и интерес за прилагане на различните групи бенефициенти, извършено от УО през 2018 г. Предвиденият процент финансова помощ ще стимулира собствениците и ползвателите на главната хидромелиоративна инфраструктура да инвестират в нейното възстановяване, което съществено ще подобри водоснабдителните услуги за земеделските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в рамките на 15 000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целия период на прилагане на ПРСР 2014 - 2020 г. за кандидати по т. 1 и 2 от раздел 4 „Бенефициери“  не може да надхвърля левовата равностойност на 1 500 000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кандидати по т. 3 от раздел 4 „Бенефициери“ за едно проектно предложение не може да надхвърля левовата равностойност на 6 000 000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7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одобряване на разходи над пазарната стойност;</w:t>
            </w:r>
          </w:p>
          <w:p>
            <w:pPr>
              <w:numPr>
                <w:ilvl w:val="0"/>
                <w:numId w:val="17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двойно финансиране на активи (дейности), които могат да бъдат подпомогнати с други публични средства;</w:t>
            </w:r>
          </w:p>
          <w:p>
            <w:pPr>
              <w:numPr>
                <w:ilvl w:val="0"/>
                <w:numId w:val="17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санкции към бенефициерите, поради неразбиране на договорните задължения и ангажименти, което от своя страна води до по-високо ниво на грешка;</w:t>
            </w:r>
          </w:p>
          <w:p>
            <w:pPr>
              <w:numPr>
                <w:ilvl w:val="0"/>
                <w:numId w:val="17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промяна на условията, за които кандидатът е получил приоритет;</w:t>
            </w:r>
          </w:p>
          <w:p>
            <w:pPr>
              <w:numPr>
                <w:ilvl w:val="0"/>
                <w:numId w:val="17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неспазване на правилата за обществени поръчки, в случаите, когато е приложимо за кандидати-възложители по ЗОП;</w:t>
            </w:r>
          </w:p>
          <w:p>
            <w:pPr>
              <w:numPr>
                <w:ilvl w:val="0"/>
                <w:numId w:val="17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Трудности при проверката на ефективното намаляване на ползваната вода при проектите за напояване на ниво инфраструктура за напояване.</w:t>
            </w:r>
          </w:p>
          <w:p>
            <w:pPr>
              <w:numPr>
                <w:ilvl w:val="0"/>
                <w:numId w:val="176"/>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невъзможност за осъществяване на проекта в резултат на ограничен достъп до финансиране на бенефициерите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7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Разходите се оценяват посредством подходяща система за оценка, като например референтни разходи и сравняване на различни оферти.</w:t>
            </w:r>
          </w:p>
          <w:p>
            <w:pPr>
              <w:numPr>
                <w:ilvl w:val="0"/>
                <w:numId w:val="17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Контролните процедури ще включват административни проверки за избягване на неправомерното двойно финансиране в рамките на други схеми за подпомагане включително и от предходния програмен период. Когато е налице финансиране от други източници, тези проверки гарантират, че общият размер на полученото подпомагане не надхвърля максималните допустими суми или проценти на подпомагане.</w:t>
            </w:r>
          </w:p>
          <w:p>
            <w:pPr>
              <w:numPr>
                <w:ilvl w:val="0"/>
                <w:numId w:val="17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Контролните процедури включват елементи за проверка за наличие на изкуствено създадени условия, както и включват проверки за спазването на условията, за които бенефициера е получил приоритет.</w:t>
            </w:r>
          </w:p>
          <w:p>
            <w:pPr>
              <w:numPr>
                <w:ilvl w:val="0"/>
                <w:numId w:val="17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нормативната уредба, или в насоките, или друг документ, определящ условията за кандидатстване и условията за изпълнение на одобрените проекти, както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numPr>
                <w:ilvl w:val="0"/>
                <w:numId w:val="17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 да се гарантира спазването на изискванията на инвестициите, от гледна точка на въздействието върху околната среда, ще бъдат изисквани от Министерството на околната среда и водите издаване на съответните документи, в съответствие с Плана за управление на речните басейни, които гарантират, че няма да има влошаване на водния статус в резултат на инвестициите в хидромелиоративна инфраструктура.</w:t>
            </w:r>
          </w:p>
          <w:p>
            <w:pPr>
              <w:numPr>
                <w:ilvl w:val="0"/>
                <w:numId w:val="17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член 194а, ал. 1 от Закона за водите, такса за водовземане се определя на базата на обема на водата, която се измерва с помощта на измервателни прибори, които отговарят на изискванията. Изискването за наличие на измервателни устройства е едно от условията за издаване на разрешителни за водовземане, подлежащи на контрол от органа, издал съответното разрешение.</w:t>
            </w:r>
          </w:p>
          <w:p>
            <w:pPr>
              <w:numPr>
                <w:ilvl w:val="0"/>
                <w:numId w:val="177"/>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Ползвателите на финансова помощ за инвестиционна подкрепа могат да поискат от Разплащателната агенция авансово плащане в размер до 50% от публичната подкрепа. Авансово плащане към ползватели на финансова помощ се извършва след учредяване на банкова гаранция или друга равностойна гаранция, в размер на 100% от размера на исканото авансово плащане.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попадащи в територии от Натура 2000, преди одобрението им ще бъдат проверявани за съответствие с разпоредбите на Закона за биологичното разнообразие и съответните подзаконови нормативни актове за неговото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инвестиционните проекти оценката на въздействието върху околната среда (ОВОС) или решение по оценка на въздействие върху околната среда съгласно Закона за опазване на околната среда ще се извършва от съответните структури на Министерство на околната среда и водите (МОСВ).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съответните структури на МОСВ ще извършват и оценка за съвместимостта на инвестиционните предложения с предмета и целите на опазване на защитените зони съгласно Наредба за условията и реда за извършване на оценка за съвместимостта на планове, програми.</w:t>
            </w:r>
          </w:p>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Насочеността на подкрепата по подмярка 4.3 за напояване съответства напълно на целите на ПРСР 2014-2020, като осигурява целево насочване на финансовата помощ към напоителни системи, които към момента се намират в незадоволително състояние и за които се отчитат ниски нива на ефективност. Насочването на подпомагането е в съответствие с представената от Световна банка рамка за програмиране, към хидромелиоративни системи, доставящи вода за напояване до земеделски стопанства със застъпено зеленчукопроизводство, отглеждане на трайни насаждения и поливни култури. По този начин чрез подмярка 4.3 българските власти ще осигурят допълнително целево насочване на помощта към земеделски стопанства, извършващи своята дейност в посочените по – горе селскостопански сектори, определени в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Приоритетното насочване на средствата ще бъде осигурено чрез критериите за подбор.</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От гледна точка прилагането на мярката и натрупания до момента опит по отношение на предоставянето и администрирането на подобен тип подпомагане, като рискови области може да бъдат определени следните такива:</w:t>
            </w:r>
          </w:p>
          <w:p>
            <w:pPr>
              <w:numPr>
                <w:ilvl w:val="0"/>
                <w:numId w:val="17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Възможни затруднение при определяне на разумността на разходите и точно прилагане на критериите за подбор на проектните предложения.</w:t>
            </w:r>
          </w:p>
          <w:p>
            <w:pPr>
              <w:numPr>
                <w:ilvl w:val="0"/>
                <w:numId w:val="17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Липсата на достатъчна информираност сред потенциалните кандидати за възможностите и изискванията за подпомагане водещи до повишаване нивото на грешка по проектните предложения и мярката.</w:t>
            </w:r>
          </w:p>
          <w:p>
            <w:pPr>
              <w:numPr>
                <w:ilvl w:val="0"/>
                <w:numId w:val="17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 на адекватен контрол по отношение на провеждане на обществени поръчки от публични бенефициенти допустими за подпомагане.</w:t>
            </w:r>
          </w:p>
          <w:p>
            <w:pPr>
              <w:numPr>
                <w:ilvl w:val="0"/>
                <w:numId w:val="17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Възможни затруднения при подготовка на процедурите и системата за проверка и контрол от страна прилагащия орган свързани с някои нови възможности за подпомагане в рамките на ПРСР 2014-2020.</w:t>
            </w:r>
          </w:p>
          <w:p>
            <w:pPr>
              <w:numPr>
                <w:ilvl w:val="0"/>
                <w:numId w:val="17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балансирано разпределение на бюджета на мярката между отделните подпомагани сектори.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Действията свързани с преодоляване на рисковите области ще бъдат насочени към: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Ясно и точно дефиниране в приложимото законодателство,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на основни и допълнителни изисквания свързани с  допустимите дейности и кандидати и възможностите за тяхното верифициране. Подобряване на системите за контрол и усъвършенстване на съществуващите такива, включително подобряване на комуникацията с други заинтересовани страни/органи компетентни по прилагането на свързано с различните видове инвестиции национално законодателство. Оптимизиране работата на системите за контрол с цел избягване на субективизъм при осъществяване на различните етапи на оценка</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Широкия обхват на мярката и ролята и по отношение приоритета насочен към повишаване на конкурентоспособността на всички видове селскостопанска дейност и укрепване на жизнеспособността чрез подпомагане на инвестиции на стопанствата и предприятията я превръща в ключова от ПРСР. Създаването на адекватна система за контрол и оценка използвайки вече натрупания положителен опит от подобен тип подпомагане в комбинация с оптимизиране на приложимото национално законодателство  ще позволи в оптимална степен мярката да постигне заложените цели. Осигуряването на информираност за потенциалните кандидати и подобряване на административния капацитет ще позволи минимизиране на възможността от грешки, както на ниво проекти, така и на ниво мярка, включително навременното коректно изпълнение на подпомаганите дейности.  Целевото насочване на финансовия ресурс от своя страна ще предостави възможност за постигане на максимален ефект от подпомагането на мярката особено за чувствителните сектори определени в Програмата.</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pStyle w:val="BodyText"/>
              <w:jc w:val="both"/>
              <w:rPr>
                <w:b w:val="0"/>
              </w:rPr>
            </w:pPr>
          </w:p>
        </w:tc>
      </w:tr>
    </w:tbl>
    <w:p>
      <w:pPr>
        <w:spacing w:after="100"/>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осигуряване на сътрудничеството между производителите, чрез предприемане на по-ефективни и икономически изгодни инвестиции в общи съоръжения, оборудване, инфраструктура и др.</w:t>
            </w:r>
          </w:p>
          <w:p>
            <w:pPr>
              <w:pStyle w:val="BodyText"/>
              <w:spacing w:after="100"/>
              <w:jc w:val="both"/>
              <w:rPr>
                <w:b w:val="0"/>
              </w:rPr>
            </w:pPr>
          </w:p>
        </w:tc>
      </w:tr>
    </w:tbl>
    <w:p>
      <w:pPr>
        <w:spacing w:after="100"/>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мерки/подмерки включени в Програмата, едната от които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pStyle w:val="BodyText"/>
              <w:spacing w:after="100"/>
              <w:jc w:val="both"/>
              <w:rPr>
                <w:b w:val="0"/>
              </w:rPr>
            </w:pPr>
          </w:p>
        </w:tc>
      </w:tr>
    </w:tbl>
    <w:p>
      <w:pPr>
        <w:spacing w:after="100"/>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раздел 8.1 "Общи усложия"</w:t>
            </w:r>
          </w:p>
          <w:p>
            <w:pPr>
              <w:pStyle w:val="BodyText"/>
              <w:spacing w:after="100"/>
              <w:jc w:val="both"/>
              <w:rPr>
                <w:b w:val="0"/>
              </w:rPr>
            </w:pPr>
          </w:p>
        </w:tc>
      </w:tr>
    </w:tbl>
    <w:p>
      <w:pPr>
        <w:spacing w:after="100"/>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spacing w:after="100"/>
              <w:jc w:val="both"/>
              <w:rPr>
                <w:b w:val="0"/>
              </w:rPr>
            </w:pPr>
          </w:p>
        </w:tc>
      </w:tr>
    </w:tbl>
    <w:p>
      <w:pPr>
        <w:spacing w:after="100"/>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1.      Преходен период за въвеждане на стандарти за качеството на сурово мляко съгласно Регламент /ЕО/№ 853/2004 и Наредба № 4 от 2008 г. за специфичните изисквания при производството, съхранението и транспортирането на сурово краве мляко и изискванията за търговия и пускане на пазара на мляко и млечни продукти;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2.      Минимални стандарти за защита и хуманно отношение към животните и намаляване до минимум на страданията им по време на клане съгласно Регламент /ЕО/№ 853/2004 /чл.10, §3, Приложение III, ГЛАВА II и  Директива 93/119/ЕС/22.12.1993 за защита на животните при клане и Наредба № 4 от 15 юли 2014 г. за специфичните изисквания към производството на суровини и храни от животински произход в кланични пунктове, тяхното транспортиране и пускане на пазара.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spacing w:after="100"/>
              <w:jc w:val="both"/>
              <w:rPr>
                <w:b w:val="0"/>
              </w:rPr>
            </w:pPr>
          </w:p>
        </w:tc>
      </w:tr>
    </w:tbl>
    <w:p>
      <w:pPr>
        <w:spacing w:after="100"/>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приоритетите, включени в отделните подмерки ще бъде постигано с целеви приеми и критерии за оценка, чиято тежест ще бъде определена в националното законодателство за прилагане на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Недопустими разходи за подмерки 4.1, 4.2 и 4.4:</w:t>
            </w:r>
          </w:p>
          <w:p>
            <w:pPr>
              <w:numPr>
                <w:ilvl w:val="0"/>
                <w:numId w:val="17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обикновена подмяна и поддръжка;</w:t>
            </w:r>
          </w:p>
          <w:p>
            <w:pPr>
              <w:numPr>
                <w:ilvl w:val="0"/>
                <w:numId w:val="1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възникнали при изпълнение на договори за лизинг, разходи за застраховки, разходи за лихви, разходи за неустойки и такси, други разходи, свързани с договора за лизинг, режийни разходи и разходи за застраховки;</w:t>
            </w:r>
          </w:p>
          <w:p>
            <w:pPr>
              <w:numPr>
                <w:ilvl w:val="0"/>
                <w:numId w:val="1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които подлежат на възстановяване в съответствие с националното законодателство в областта на ДДС /Съгласно Раздел 8.1/.</w:t>
            </w:r>
          </w:p>
          <w:p>
            <w:pPr>
              <w:numPr>
                <w:ilvl w:val="0"/>
                <w:numId w:val="1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оборудване втора ръка;</w:t>
            </w:r>
          </w:p>
          <w:p>
            <w:pPr>
              <w:numPr>
                <w:ilvl w:val="0"/>
                <w:numId w:val="1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Принос в натура;</w:t>
            </w:r>
          </w:p>
          <w:p>
            <w:pPr>
              <w:numPr>
                <w:ilvl w:val="0"/>
                <w:numId w:val="1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инвестиции в селското стопанство – закупуване на права за производство и плащане, закупуване на животни, закупуване на едногодишни растения и тяхното засаждане;</w:t>
            </w:r>
          </w:p>
          <w:p>
            <w:pPr>
              <w:numPr>
                <w:ilvl w:val="0"/>
                <w:numId w:val="1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 за която е установено, че ще оказва отрицателно въздействие върху околната среда;</w:t>
            </w:r>
          </w:p>
          <w:p>
            <w:pPr>
              <w:numPr>
                <w:ilvl w:val="0"/>
                <w:numId w:val="17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преди подаването на заявление за финансиране от страна на бенефициента независимо дали всички свързани плащания са направени или не с изключение на разходите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извършени след 01.01.2014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Финансови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Авансово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авансовото плащане е 50% от общия размер на одобрената финансова помощ по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се предоставя при изпълнение на следните условия:</w:t>
            </w:r>
          </w:p>
          <w:p>
            <w:pPr>
              <w:numPr>
                <w:ilvl w:val="0"/>
                <w:numId w:val="180"/>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Авансовото плащане е предварително посочено и е част от поетия от страна на бенефициента ангажимент;</w:t>
            </w:r>
          </w:p>
          <w:p>
            <w:pPr>
              <w:numPr>
                <w:ilvl w:val="0"/>
                <w:numId w:val="18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Налична е банкова гаранция или еквивалентна такава съответстваща на 100 % от размера на авансовото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Административно и финансово 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Продължителност на инвестиционните операции за подмерки 4.1, 4.2 и 4.4.: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включващи инвестиции в инфраструктура или    производствени инвестиции, в срок от пет години или три години за МСП от крайното плащане към      бенефициенти или в рамките на периода от време, определен в   правилата за държавните помощи когато е приложимо не следва да са        налице следните обстоятелства:</w:t>
            </w:r>
          </w:p>
          <w:p>
            <w:pPr>
              <w:numPr>
                <w:ilvl w:val="0"/>
                <w:numId w:val="18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Прекратяване или преместване на производствена дейност;</w:t>
            </w:r>
          </w:p>
          <w:p>
            <w:pPr>
              <w:numPr>
                <w:ilvl w:val="0"/>
                <w:numId w:val="18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Промяна на собствеността на дадена позиция от инфраструктурата, която дава на дадено търговско дружество или публично правна организация неправомерно преимущество;</w:t>
            </w:r>
          </w:p>
          <w:p>
            <w:pPr>
              <w:numPr>
                <w:ilvl w:val="0"/>
                <w:numId w:val="18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Значителна промяна, която засяга естеството, целите или условията за изпълнение и която би довела до подкопаване на нейните първоначални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неизпълнение на посочените условия бенефициентите възстановяват получения принос от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Процент съфинансиране: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85% от размера на финансовата помощ по мярката се осигурява от ЕЗФРСР, а 15% от националния бюджет.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Разграничаване с други дейности подпомагани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Разграничението с мярка „Основни услуги и обновяване на селата в селските райони“ „Инвестиции в материалните активи“ е на основа допустими дейности. Подпомаганите дейности по мярка „Инвестиции в материалните активи“ няма да са допустими за подпомагане по мярка „Основни услуги и обновяване на селата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Разграничението с мярка „Развитие на стопанства и предприятия“ е на основа допустими дейности и кандидати. Подпомаганите дейностите по мярка „Инвестиции в материалните активи“ няма да са допустими за подпомагане по мярка „Развитие на стопанства и предприятия“. По мярка „Инвестиции в материалните активи“ ще се подпомагат инвестиции в инсталации за възобновяема енергия за собствено потребление в стопанствата и предприятията. Допустимите кандидати по мярка 4.1 ще се подпомагат за производство на енергия от ВЕИ за за собствено потребление само за нуждите на земеделските стопанства. По мярка 4.2 ще се подпомагат инвестиции за производство на енергия от ВЕИ за собствени нужди при преработка на продукти от избраните по мярката сектори и попадащи в обхвата на Приложение І от Договора. Всички останали кандидати ще бъдат подпомагани за производство на енергия от ВЕИ за собствени нужди в рамките на мерки 6.2 и 6.4.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Разграничението с мярка „Сътрудничество“ е на основа допустими кандидати. По мярка „Сътрудничество“ ще се подпомагат дейности представени от оперативни групи в рамките на ЕПИ. По мярка „Инвестиции в материалните активи“ ще се подпомагат допустими за подпомгане кандидат съгласно критериите определени в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Процедури по подмярка 4.3 относно: </w:t>
            </w:r>
          </w:p>
          <w:p>
            <w:pPr>
              <w:numPr>
                <w:ilvl w:val="0"/>
                <w:numId w:val="182"/>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Набиране на проектни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Процесът на избиране на </w:t>
            </w:r>
            <w:r>
              <w:rPr>
                <w:rFonts w:ascii="Times New Roman" w:eastAsia="Times New Roman" w:hAnsi="Times New Roman" w:cs="Times New Roman"/>
                <w:b/>
                <w:bCs/>
                <w:szCs w:val="24"/>
              </w:rPr>
              <w:t xml:space="preserve">проектни предложения </w:t>
            </w:r>
            <w:r>
              <w:rPr>
                <w:rFonts w:ascii="Times New Roman" w:eastAsia="Times New Roman" w:hAnsi="Times New Roman" w:cs="Times New Roman"/>
                <w:szCs w:val="24"/>
              </w:rPr>
              <w:t>за финансиране ще се осъществява с публични обяви. Изборът на проекти се извършва от оценителни комисии. Процесът на оценка ще бъде проследим в ИСУН 2020.</w:t>
            </w:r>
          </w:p>
          <w:p>
            <w:pPr>
              <w:numPr>
                <w:ilvl w:val="0"/>
                <w:numId w:val="183"/>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Класирането на подадените </w:t>
            </w:r>
            <w:r>
              <w:rPr>
                <w:rFonts w:ascii="Times New Roman" w:eastAsia="Times New Roman" w:hAnsi="Times New Roman" w:cs="Times New Roman"/>
                <w:b/>
                <w:bCs/>
                <w:szCs w:val="24"/>
              </w:rPr>
              <w:t xml:space="preserve">проектни предложения </w:t>
            </w:r>
            <w:r>
              <w:rPr>
                <w:rFonts w:ascii="Times New Roman" w:eastAsia="Times New Roman" w:hAnsi="Times New Roman" w:cs="Times New Roman"/>
                <w:szCs w:val="24"/>
              </w:rPr>
              <w:t>по всяка обява ще се осъществява съгласно критериите за подбор, одобрени от Комитета за наблюдение на Програмата.</w:t>
            </w:r>
          </w:p>
          <w:p>
            <w:pPr>
              <w:numPr>
                <w:ilvl w:val="0"/>
                <w:numId w:val="184"/>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Условия за съставяне на комисии за оценка по подмерките: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всяка обява се определя конкретен състав на комисията, като се спазват правилата за липса на конфликт на интереси.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Процедури за избор на изпълнители по подмярка 4.1 и подмярка 4.2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Процедура за избор на изпълнител по реда на Постановление № 160 от 1 юли 2016 г. за определяне правилата за разглеждане и оценяване на оферти и сключването на договорите в процедурата за избор с публична покана от бенефициенти на безвъзмездна финансова помощ от европейските структурни и инвестиционни фондове, се провежда от кандидати/бенефициенти, които не са възложители по смисъла на Закона обществените поръчки, в случаите, когато размерът на предоставената (одобрената) безвъзмездна финансова помощ е по-голям от 50 на сто от общата сума на одобрения проект, както и за специфични разходи, описани в националните правила за прилагане на подмерките.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1" w:name="_Toc256000121"/>
      <w:r>
        <w:rPr>
          <w:b w:val="0"/>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bookmarkEnd w:id="121"/>
      <w:r>
        <w:rPr>
          <w:b w:val="0"/>
        </w:rPr>
        <w:t xml:space="preserve"> </w:t>
      </w:r>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18, чл. 45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и чл. 13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Неблагоприятните климатични събития, природните бедствия и катастрофичните събития оказват силно въздействие върху селското стопанство и в много случаи могат да доведат до затруднения в селскостопанското производство със значителни икономически щети.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Африканската чума по свинете (African swine fever) е едно от най-сериозните заболявания при домашните и дивите свине поради своите високи нива на смъртност, липсата на лечение и ваксина. Веднъж проникнала в дадена държава, болестта има значително негативно въздействие върху националната, регионалната и международната търговия, поминъка на свиневъдите и ловното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Още повече изкореняването му е изключително трудно и при дивите свине може да отнеме години. През 2018 г. заболяването Африканска чума по свинете е констатирано за първи път на територията на страната в животновъден обект тип „лично стопанство“, намиращ се в обл. Варна. По данни на Българската агенция за безопасност на храните огнище на АЧС се появява отново в страната през 2019 г. в обл. Плевен, като огнището е установено при отглеждане на домашни свине. През 2019 са регистрирани и 14 случая на АЧС при дивите свине в областите Силистра, Добрич и Варна.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Наложените мерки от Българската агенция по безопасност на храните включват  периодични клинични прегледи във всички видове свиневъдни обекти, серологични и вирусологични изследвания на кръвни и органни проби от домашни и диви свине при съмнение за възникване на болестта, убиване и обезвреждане на инфектирани и контактни възприемчиви животни, обезщетяване на собствениците за принудително убити и заклани животни и продукти, добити от тях, повишаване на осведомеността на всички заинтересовани лица, ветеринарни лекари, фермери, ловци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друга страна през последните години в България се установени огнища и на други силно заразни болести като, високопатогенна инфлуенца по птиците, антракс, бруцелоза  и чума по дребните преживни животни.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В тази връзка българските власти планират подпомагането по мярката да бъде насочено към съществуващи земеделски стопанства, извършвали земеделска дейност преди 01.01.2018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Появата на силно заразни болести може да доведе до сериозни смущения в селскостопанското производство и да причини икономически щети за земеделските стопани. За превенция и преодоляване на тези рискове е необходимо да се осигури подкрепа за ограничаване на въздействието на природни бедствия и катастрофични събитие, и от друга, подкрепа за възстановяване на производствения потенциал, повреден в резултат на природните бедствия и катастрофичните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контекста на щетите и загубите от подобни бедствия, стопанствата се нуждаят от подобрение системи за биологична сигурност на ниво животновъдна ферма.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Сравнително базовата степен на налични съоръжения за дезинфекция, използвани в повечето стопанства покриващи базовото ниво на биологична сигурност и липсата на допълнителни съоръжения за превенция, за да се избегне контакт на диви животни и домашни животни от тези стопанства, са фактори които благоприятстват появата и разширяването на епизоотии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 xml:space="preserve">От друга страна географското положение, особеностите на атмосферната циркулация и релефът предопределят България като една от страните в Европа с високи честота и мощност на градовите процеси, а през последните години се наблюдава увеличаване на честотата и силата на опасните явления като градушки, наводнения и мълнии. </w:t>
            </w:r>
            <w:r>
              <w:rPr>
                <w:rFonts w:ascii="Times New Roman" w:eastAsia="Times New Roman" w:hAnsi="Times New Roman" w:cs="Times New Roman"/>
                <w:szCs w:val="24"/>
                <w:u w:val="single"/>
              </w:rPr>
              <w:t xml:space="preserve">За намаляване на пораженията от градушки в България е изградена национална система за противоградова защита, която обхваща районите с най-голяма интензивност на градобитните процеси. </w:t>
            </w:r>
            <w:r>
              <w:rPr>
                <w:rFonts w:ascii="Times New Roman" w:eastAsia="Times New Roman" w:hAnsi="Times New Roman" w:cs="Times New Roman"/>
                <w:szCs w:val="24"/>
                <w:u w:val="single"/>
              </w:rPr>
              <w:t>В тази връзка подпомагането</w:t>
            </w:r>
            <w:r>
              <w:rPr>
                <w:rFonts w:ascii="Times New Roman" w:eastAsia="Times New Roman" w:hAnsi="Times New Roman" w:cs="Times New Roman"/>
                <w:szCs w:val="24"/>
                <w:u w:val="single"/>
              </w:rPr>
              <w:t xml:space="preserve"> на дейности по защита от градушки и усъвършенстването в тази насока, разширяването на обхвата ѝ и диверсификацията на методите за градозащита са обусловени от огромния ѝ икономически и социален ефект, който имат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се прилага със следните подмерки: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5.1 Подкрепа за инвестиции в превантивни мерки, насочени към ограничаване на последствията от вероятни природни бедствия, неблагоприятни климатични явления и катастрофични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5.2 Инвестиции за възстановяване на потенциала на земеделските земи и на селскостопанския производствен потенциал, нарушени от природни бедствия, неблагоприятни климатични явления и катастрофични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 мярката ще се подпомагат дейности, които се отнасят за епизоотии, възникнали след 1 януари 2018 г., но не по – рано от датата на тяхното настъпване и установяване от Компетентния орган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Области на въздействие: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превантивни мерки, насочени към намаляване на риска и ограничаване на последствията, ще помогнат за защита на селскостопанското производство от въздействието на природни бедствия, ще ограничат възможността за разширяване на африканската чума по свинете и други заразни болести, наблюдавани при птици и дребни преживни животни, докато инвестициите за възстановяване на потенциала за производство на селскостопанска продукция ще повлияят на възстановяването на състоянието преди тези събития и връзките между тези елементи и природната среда. Подпомагането косвено ще осигури възможност за подобряване на конкурентоспособността и устойчивостта на стопанствата в случай на такива бедствия или явления, включително ще осигури възможност за повишаване на оперативния капацитет на компетентните власти и ще оптимизира времето за реакция. Компетентният орган в страната, който осъществява контрола по отношение спазването на законовите изисквания, свързани с ветеринарномедицинската дейност, здравеопазването на животните и хуманното отношение към тях е Българската агенция по безопасност на храните, включително чрез  разработване на програми за профилактика, ограничаване и ликвидиране на болестите по животните. Част от дейностите, изпълнявани от агенцията са насочени към оценка и комуникация на риска, както и лабораторно-диагностична и научноизследователска дейност. Включването на агенцията като допустим публичен субект за подпомагане ще осигури повишаване нивото на превантивните мерки чрез подкрепа, насочена към лабораторно-диагностична и научноизследователска дейност.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От друга страна чрез определянето за допустим бенефициент на Изпълнителна агенция борба с градушките могат да бъдат направени инвестиции, свързани с подобряване работата на противоградовата защита в страната, както и да бъде осъществявано наблюдение и ранно предупреждение за опасни метеорологични явления.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мярката допринасят за постигане на целите 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3Б „Подпомагане на превенцията и управлението на риска на стопанствата“, както и междусекторните цели в областта на  околната среда, както е посочено и в анализа и интервенционната логика на Програмата.</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5.1 Подкрепа за инвестиции в превантивни мерки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85"/>
              </w:numPr>
              <w:rPr>
                <w:b w:val="0"/>
              </w:rPr>
            </w:pPr>
            <w:r>
              <w:rPr>
                <w:b w:val="0"/>
              </w:rPr>
              <w:t>5.1. - подкрепа за инвестиции в превантивни мерки, насочени към ограничаване на последствията от вероятни природни бедствия, неблагоприятни климатични явления и катастрофични събития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Подпомагането по подмярката ще бъде насочено към превенция и ограничаване на възможностите за разпространението на епизоотии и масови заразни болести по селскостопанските животните, както и превенция </w:t>
            </w:r>
            <w:r>
              <w:rPr>
                <w:rFonts w:ascii="Times New Roman" w:eastAsia="Times New Roman" w:hAnsi="Times New Roman" w:cs="Times New Roman"/>
                <w:szCs w:val="24"/>
                <w:u w:val="single"/>
              </w:rPr>
              <w:t>от </w:t>
            </w:r>
            <w:r>
              <w:rPr>
                <w:rFonts w:ascii="Times New Roman" w:eastAsia="Times New Roman" w:hAnsi="Times New Roman" w:cs="Times New Roman"/>
                <w:szCs w:val="24"/>
                <w:u w:val="single"/>
              </w:rPr>
              <w:t>опасни метеорологични явления - градушки.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подпомагат дейности, свързани с повишаване на оперативния капацитет на публични субекти за предотвратяване на епизоотии, както и борбата с тях, включително чрез намаляване на времето за реакция от страна на компетентните органи.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подпомагат дейности за животновъдни обекти, специализирани в отглеждането на свине, овце, кози и птици, насочени към:</w:t>
            </w:r>
          </w:p>
          <w:p>
            <w:pPr>
              <w:numPr>
                <w:ilvl w:val="0"/>
                <w:numId w:val="18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закупуване или изграждане на инсталации и оборудване за дезинфекция;</w:t>
            </w:r>
          </w:p>
          <w:p>
            <w:pPr>
              <w:numPr>
                <w:ilvl w:val="0"/>
                <w:numId w:val="1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изграждане на огради и преградни съоръжения в рамките на стопанствата;</w:t>
            </w:r>
          </w:p>
          <w:p>
            <w:pPr>
              <w:numPr>
                <w:ilvl w:val="0"/>
                <w:numId w:val="1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съоръжения и оборудване свързано с превенция, включително за безопасно съхранение на фураж;</w:t>
            </w:r>
          </w:p>
          <w:p>
            <w:pPr>
              <w:numPr>
                <w:ilvl w:val="0"/>
                <w:numId w:val="1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със съхранение на странични животински продукти;</w:t>
            </w:r>
          </w:p>
          <w:p>
            <w:pPr>
              <w:numPr>
                <w:ilvl w:val="0"/>
                <w:numId w:val="18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санитарна инфраструктура в т. ч. за осигуряване на качество на водата, обновяване на помещенията, в които се отглеждат животните, обособяване на място или контейнер за временно съхранение на трупове от умрели животни, съоръжение за съхранение и обеззаразяване на тор, торови течности и технологични води.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 подмярката ще се подпомагат дейности, свързани с повишаване на оперативния капацитет на публични субекти за осигуряване на надеждна и ефективна защита от градушки и други неблагоприятни климатични явления, обхващаща земеделските площи на територията на цялата страна. Целевата подкрепа ще осигури надграждане на необходимата метеорологичната радарна мрежа, чрез въвеждането в експлоатация на нови радарни мрежи и прилежащото към тях оборудване и обслужващи транспортни средства.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подмярката се предоставя под формата на  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е допустимо, при условие че е представена банкова гаранция, съответстващ на процента от 100% от сумата на аванса, съгласно чл. 45 (4) и чл. 63 от Регламент (ЕС) 1305/2014.</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tbl>
            <w:tblPr>
              <w:tblStyle w:val="Table"/>
              <w:tblW w:w="5000"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10420"/>
            </w:tblGrid>
            <w:tr>
              <w:tblPrEx>
                <w:tblW w:w="5000"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c>
                <w:tcPr>
                  <w:tcW w:w="450" w:type="pct"/>
                  <w:noWrap w:val="0"/>
                  <w:tcMar>
                    <w:top w:w="25" w:type="dxa"/>
                    <w:left w:w="25" w:type="dxa"/>
                    <w:bottom w:w="25"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Закон за ветеринарномедицинската дейност;</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Наредба № 44 от 2006 г. за ветеринарномедицинските изисквания към животновъдните обекти;</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Наредба № 6 от 2007 г. за условията и реда за пасищно отглеждане на свине от източнобалканската порода и нейните кръстоски;</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bl>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Публични органи – Българска агенция по безопасност на храните /БАБХ/</w:t>
            </w:r>
            <w:r>
              <w:rPr>
                <w:rFonts w:ascii="Times New Roman" w:eastAsia="Times New Roman" w:hAnsi="Times New Roman" w:cs="Times New Roman"/>
                <w:szCs w:val="24"/>
                <w:u w:val="single"/>
              </w:rPr>
              <w:t>,</w:t>
            </w:r>
            <w:r>
              <w:rPr>
                <w:rFonts w:ascii="Times New Roman" w:eastAsia="Times New Roman" w:hAnsi="Times New Roman" w:cs="Times New Roman"/>
                <w:szCs w:val="24"/>
                <w:u w:val="single"/>
              </w:rPr>
              <w:t xml:space="preserve"> Национален диагностичен научноизследователски ветеринарномедицински институт /НДНИВМИ/ и Изпълнителна агенция борба с градушките /ИАБГ/;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Частни субекти – Регистрирани земеделски стопани.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За Публични органи - Българска агенция по безопасност на храните /БАБХ/ и Национален диагностичен научноизследователски ветеринарномедицински институт /НДНИВМИ/: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w:t>
            </w:r>
          </w:p>
          <w:p>
            <w:pPr>
              <w:numPr>
                <w:ilvl w:val="0"/>
                <w:numId w:val="187"/>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оборудване, инструменти и съоръжения за лаборатории;</w:t>
            </w:r>
          </w:p>
          <w:p>
            <w:pPr>
              <w:numPr>
                <w:ilvl w:val="0"/>
                <w:numId w:val="18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специализирано мобилно оборудване за пренасяне на проби;</w:t>
            </w:r>
          </w:p>
          <w:p>
            <w:pPr>
              <w:numPr>
                <w:ilvl w:val="0"/>
                <w:numId w:val="187"/>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инсталации, включително разходите за монтаж и въвеждане в експлоатация на лаборатории.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Нематериални инвестиции:</w:t>
            </w:r>
          </w:p>
          <w:p>
            <w:pPr>
              <w:numPr>
                <w:ilvl w:val="0"/>
                <w:numId w:val="188"/>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акредитация на лаборатории;</w:t>
            </w:r>
          </w:p>
          <w:p>
            <w:pPr>
              <w:numPr>
                <w:ilvl w:val="0"/>
                <w:numId w:val="18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лицензи, придобиване и разработка на софтуер за лаборатории;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За Публични органи -</w:t>
            </w:r>
            <w:r>
              <w:rPr>
                <w:rFonts w:ascii="Times New Roman" w:eastAsia="Times New Roman" w:hAnsi="Times New Roman" w:cs="Times New Roman"/>
                <w:szCs w:val="24"/>
              </w:rPr>
              <w:t> </w:t>
            </w:r>
            <w:r>
              <w:rPr>
                <w:rFonts w:ascii="Times New Roman" w:eastAsia="Times New Roman" w:hAnsi="Times New Roman" w:cs="Times New Roman"/>
                <w:b/>
                <w:bCs/>
                <w:szCs w:val="24"/>
              </w:rPr>
              <w:t>Изпълнителна агенция борба с градушките /ИАБГ/: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w:t>
            </w:r>
          </w:p>
          <w:p>
            <w:pPr>
              <w:numPr>
                <w:ilvl w:val="0"/>
                <w:numId w:val="189"/>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строително – монтажни дейности свързани с изграждане на кули използвани за монтаж на радарни станции, вкл. прилежаща инфраструктура към тях;</w:t>
            </w:r>
          </w:p>
          <w:p>
            <w:pPr>
              <w:numPr>
                <w:ilvl w:val="0"/>
                <w:numId w:val="18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радарни станции, вкл. оборудване за анализ и съхранение на бази данни;</w:t>
            </w:r>
          </w:p>
          <w:p>
            <w:pPr>
              <w:numPr>
                <w:ilvl w:val="0"/>
                <w:numId w:val="18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специализирани транспортни средства за превоз на противоградна техника и специфични товари;</w:t>
            </w:r>
          </w:p>
          <w:p>
            <w:pPr>
              <w:numPr>
                <w:ilvl w:val="0"/>
                <w:numId w:val="18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инсталации, включително разходи за монтаж и въвеждане в експлоатация на радарни станции.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Нематериални инвестиции:</w:t>
            </w:r>
          </w:p>
          <w:p>
            <w:pPr>
              <w:numPr>
                <w:ilvl w:val="0"/>
                <w:numId w:val="190"/>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лицензи, придобиване и разработка на софтуер за противоградна защита;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За Частни субекти – Регистрирани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w:t>
            </w:r>
          </w:p>
          <w:p>
            <w:pPr>
              <w:numPr>
                <w:ilvl w:val="0"/>
                <w:numId w:val="191"/>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съоръжения и оборудване за дезинфекция;</w:t>
            </w:r>
          </w:p>
          <w:p>
            <w:pPr>
              <w:numPr>
                <w:ilvl w:val="0"/>
                <w:numId w:val="19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инсталации, оборудване за осигуряване на биосигурност и инфраструктура, в т. ч. помещения за персонала (например изграждане и оборудване на филтъра с душове, съблекални и т.н.) в стопанствата;</w:t>
            </w:r>
          </w:p>
          <w:p>
            <w:pPr>
              <w:numPr>
                <w:ilvl w:val="0"/>
                <w:numId w:val="19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изграждане на огради или закупуване на преградни съоръжения;</w:t>
            </w:r>
          </w:p>
          <w:p>
            <w:pPr>
              <w:numPr>
                <w:ilvl w:val="0"/>
                <w:numId w:val="19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изграждане или закупуване на съоръжения или системи за повишаване безопасността при съхранение на фуражи;</w:t>
            </w:r>
          </w:p>
          <w:p>
            <w:pPr>
              <w:numPr>
                <w:ilvl w:val="0"/>
                <w:numId w:val="19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оборудване и изграждане на места, свързани със съхранение на странични животински продукти, вкл. оборудване и съоръжения за инсинерация;</w:t>
            </w:r>
          </w:p>
          <w:p>
            <w:pPr>
              <w:numPr>
                <w:ilvl w:val="0"/>
                <w:numId w:val="191"/>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инсталации на оборудване, включително разходите за монтаж и въвеждане в експлоатация на същите.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Общи разходи за публични органи и частни субекти: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 разходи свързани със съответния проект за предпроектни проучвания, такси, хонорари за архитекти, инженери и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Общите разходи по проекта не могат да надхвърлят 12% от общия размер на допустимите инвестиции по проекта. /Съгласно Раздел 8.1/.</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За публични субекти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Допустим бенефициент е Българска агенция по безопасност на храните /БАБХ/, Национален диагностичен научноизследователски ветеринарномедицински институт /НДНИВМИ/ и Изпълнителна агенция борба с градушките /ИАБГ/;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включени в проекта са  насочени към ограничаване на последствията от вероятни природни бедствия, неблагоприятни климатични явления и катастрофични събития;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е необходимо да представи мотивирана обосновка за необходимостта и приложимостта на инвестициите включени в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не се подпомагат инвестиции, за които е установено, че ще оказват отрицателно въздействие върху околната среда /Виж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подпомагат инвестиции, свързани с повишаване на общия капацитет по отношение на дейността на кандидати – публични органи и които нямат пряко отношение към предотвратяване възникването на масови заразни болести по селскостопанските животни с епизоотично значение, както и борбата с тях или към ограничаване на последствията от вероятни природни бедствия, неблагоприятни климатични явления и катастрофични събития.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За частни субекти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е регистриран земеделски стопанин с икономически размер, измерен в СПО над 8 000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Инвестицията е свързана с превенция и преодоляване на опасността от разпространение на заразни болести по свине, овце, кози или птици.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подпомагат земеделски стопани, регистрирани преди 1 януари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животновъдни стопанства, са допустими за подпомагане само ако същите отговарят на изискванията на  Закона за ветеринарномедицинската дейност.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представят бизнес план, който доказва икономическа жизнеспособност на кандидата в резултат на изпълнението на дейностите по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подкрепа за загубите на доходи в резултат на ефектите от природни бедствия, неблагоприятни събития и катастрофични събития;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не се подпомагат инвестиции, за които е установено, че ще оказват отрицателно въздействие върху околната среда /Виж Раздел 8.1/.</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Приоритетите ще се предоставя на проектни предложения, които се реализират в райони в по-голяма близост до зони, в които е възникнала епизоотична обстановка, както и райони с по-висок риск от епизоотия.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ще бъде предоставен приоритет  за животновъдни стопанства, пострадали в резултат на усложнена епизоотична обстановка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Управляващият орган ще определи критериите за подбор приложими за частни субекти след съгласуването им с Комитета за наблюдение на програмата, вкл. точките за всеки критерии, както и минималния брой точки, над които дейността ще бъде одобрена за финансиране.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публични органи ще бъде определен целеви бюджет в рамките на разполагаемия бюджет на мярката.</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публични субекти не може да надвишава:</w:t>
            </w:r>
          </w:p>
          <w:p>
            <w:pPr>
              <w:numPr>
                <w:ilvl w:val="0"/>
                <w:numId w:val="19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80% от общите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Максималната стойност на допустимите разходите за едно проектно предложение е в размер до 2 000 000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частни субекти не може да надвишава:</w:t>
            </w:r>
          </w:p>
          <w:p>
            <w:pPr>
              <w:numPr>
                <w:ilvl w:val="0"/>
                <w:numId w:val="19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60% от общите допустими разходи за кандидати с животновъдни стопанства, които не са засегнати от усложнена епизоотична обстановка;</w:t>
            </w:r>
          </w:p>
          <w:p>
            <w:pPr>
              <w:numPr>
                <w:ilvl w:val="0"/>
                <w:numId w:val="19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70% от общите допустими разходи за кандидати с животновъдни стопанства, които са засегнати от усложнена епизоотична обстановка.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 стойност на допустимите разходите за един кандидат и за едно проектно предложение е в размер на:</w:t>
            </w:r>
          </w:p>
          <w:p>
            <w:pPr>
              <w:numPr>
                <w:ilvl w:val="0"/>
                <w:numId w:val="19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1 500 000 евро за кандидати с животновъдни стопанства, отглеждащи свине;</w:t>
            </w:r>
          </w:p>
          <w:p>
            <w:pPr>
              <w:numPr>
                <w:ilvl w:val="0"/>
                <w:numId w:val="1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1 000 000 евро за кандидати с животновъдни стопанства, отглеждащи птици;</w:t>
            </w:r>
          </w:p>
          <w:p>
            <w:pPr>
              <w:numPr>
                <w:ilvl w:val="0"/>
                <w:numId w:val="19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200 000 евро за кандидати с животновъдни стопанства, отглеждащи ДПЖ – овце и кози.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кандидати с животновъдни стопанства отглеждащи свине, максимална стойност на допустимите разходите за един животновъден обект е в размер до 700 000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кандидати с животновъдни стопанства отглеждащи птици, максимална стойност на допустимите разходите за един животновъден обект е в размер до 500 000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9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доказване на разходи до пазарната им стойност, чрез сравняване на различни оферти и използване на база данни, съдържаща референтни цени;</w:t>
            </w:r>
          </w:p>
          <w:p>
            <w:pPr>
              <w:numPr>
                <w:ilvl w:val="0"/>
                <w:numId w:val="195"/>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различни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В насоките,  определящи условията за кандидатстване и условията за изпълнение на одобрените проекти, както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са получили приоритет;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 При оценка на дейностите включени в проекта ще се извършва проверка за кандидата, дали същите не са подпомогнати по други мерки от ПРСР, ЕФГЗ или други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6. При прилагане на мярката ще бъде осигурено пълно разграничаване на подкрепата по мярката с други схеми и мерки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5"/>
        <w:jc w:val="left"/>
        <w:rPr>
          <w:b w:val="0"/>
        </w:rPr>
      </w:pPr>
      <w:r>
        <w:rPr>
          <w:b w:val="0"/>
        </w:rPr>
        <w:br w:type="page"/>
      </w:r>
      <w:r>
        <w:rPr>
          <w:b w:val="0"/>
        </w:rPr>
        <w:t>Подмярка 5.2 Инвестиции за възстановяване на потенциала на земеделските земи и на селскостопанския производствен потенциал</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96"/>
              </w:numPr>
              <w:rPr>
                <w:b w:val="0"/>
              </w:rPr>
            </w:pPr>
            <w:r>
              <w:rPr>
                <w:b w:val="0"/>
              </w:rPr>
              <w:t>5.2 - инвестиции за възстановяване на потенциала на земеделските земи и на селскостопанския производствен потенциал, нарушени от природни бедствия, неблагоприятни климатични явления и катастрофични събития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ще бъде насочено към възстановяване на производствения потенциал, нарушен от остро заразни заболявания по свинете, дребните преживни животни /овце и кози/ и птиците.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Помощта е предназначена за възстановяване на онези компоненти от производствения потенциал на фермата, които са били повредени или унищожени в резултат на горепосочените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са инвестиции за възстановяване на производствения потенциал чрез: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животни за разплод, както и за репопулация на засегнатите стопанства.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под формата на  възстановяване на действително направени и платени допустими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е допустимо, при условие че е представена банкова гаранция, съответстващ на процента от 100% от сумата на аванса, съгласно чл. 45, ал. 4 и чл. 63 от Регламент (ЕС) 1305/2014.</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ветеринарномедицинската дейност;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Наредба № 44 от 2006 г. за ветеринарномедицинските изисквания към животновъдните обекти;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Наредба № 6 от 2007 г. за условията и реда за пасищно отглеждане на свине от източнобалканската порода и нейните кръстоски.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Частни субекти – Регистрирани земеделски стопани.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1.Разходите за закупуване на животни, предназначени за възстановяване на популацията в стопанството /репопулация/.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Общи разходи, в случай, че са приложими включват: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2.Разходи свързани с консултантски услуги по подготовка на проекта, в случай, че е приложимо.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Общите разходи по проекта не могат да надхвърлят 2 % от общия размер на допустимите разходи по т. 1 по проекта. /Съгласно Раздел 8.1/.</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Подпомагането се предоставя само за дейности свързани със събития, които са официално признати от Компетентния орган в страната и извършени след датата на официално признаване.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Стопанството на кандидата е засегнато от силно заразна болест и това е довело до унищожаване на най-малко 30% от земеделският потенциал на стопанството.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Животновъдните стопанства трябва да отговарят на изискванията на Закона за ветеринарномедицинската дейност.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свързана с репопулация на съответното животновъдно стопанство отглеждащо свине, птици и дребни преживни животни /овце и кози/ е допустима до достигане на броя животни, с които стопанството е разполагало към момента на тяхното унищожаването съгласно информация от Компетентния орган.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подпомагат земеделски стопани, регистрирани преди 1 януари 2018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 извършващи съответната животновъдна дейност преди тази дата.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представят бизнес план, който доказва икономическа жизнеспособност на кандидата в резултат на изпълнението на дейностите по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трябва да представи документи, издадени от компетентния орган за доказване на унищожените животни.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не е получил подкрепа от други източници и не е налице свръхкомпенсация и двойно финансиране.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животновъдното стопанство следва да е издадено становище от БАБХ.</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 мярката не се подпомагат разходи, за които е установено, че ще оказват отрицателно въздействие върху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Недопустими разходи:</w:t>
            </w:r>
          </w:p>
          <w:p>
            <w:pPr>
              <w:numPr>
                <w:ilvl w:val="0"/>
                <w:numId w:val="19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тази мярка не се предоставя подкрепа за загубите на доходи в резултат на ефектите природни бедствия, неблагоприятни събития и катастрофични събития;</w:t>
            </w:r>
          </w:p>
          <w:p>
            <w:pPr>
              <w:numPr>
                <w:ilvl w:val="0"/>
                <w:numId w:val="19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оборудване втора употреба;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Принос в натура;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ще бъдат приоритизирани според степента на щети на стопанството. Друг приоритет ще е основан на принципа за максимално въздействие на инвестицията върху възстановяването на земеделския потенциал.</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Управляващият орган ще определи критериите за подбор след съгласуването им с Комитета за наблюдение на програмата, вкл.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ще е в размер до 100% от допустимите за подпомагане разходи и няма да надвишава стойност от 1 000 000 евро за един кандидат и едно проектно предложение.</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първи стълб на ОСП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9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доказване на разходи до пазарната им стойност, чрез сравняване на различни  оферти и използване на база данни, съдържаща референтни цени;</w:t>
            </w:r>
          </w:p>
          <w:p>
            <w:pPr>
              <w:numPr>
                <w:ilvl w:val="0"/>
                <w:numId w:val="19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различни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19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numPr>
                <w:ilvl w:val="0"/>
                <w:numId w:val="19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насоките,  определящи условията за кандидатстване и условията за изпълнение на одобрените проекти, както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numPr>
                <w:ilvl w:val="0"/>
                <w:numId w:val="19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оценка на дейностите, включени в проекта ще се извършва проверка за кандидата, дали същите не са подпомогнати по други мерки от ПРСР, ЕФГЗ или други публични средства.</w:t>
            </w:r>
          </w:p>
          <w:p>
            <w:pPr>
              <w:numPr>
                <w:ilvl w:val="0"/>
                <w:numId w:val="19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w:t>
            </w:r>
          </w:p>
          <w:p>
            <w:pPr>
              <w:numPr>
                <w:ilvl w:val="0"/>
                <w:numId w:val="19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първи стълб на ОСП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9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доказване на разходи до пазарната им стойност, чрез сравняване на различни  оферти и използване на база данни, съдържаща референтни цени;</w:t>
            </w:r>
          </w:p>
          <w:p>
            <w:pPr>
              <w:numPr>
                <w:ilvl w:val="0"/>
                <w:numId w:val="19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различни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19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numPr>
                <w:ilvl w:val="0"/>
                <w:numId w:val="19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насоките, определящи условията за кандидатстване и условията за изпълнение на одобрените проекти, както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numPr>
                <w:ilvl w:val="0"/>
                <w:numId w:val="19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оценка на дейностите, включени в проекта ще се извършва проверка за кандидата, дали същите не са подпомогнати по други мерки от ПРСР, ЕФГЗ или други публични средства.</w:t>
            </w:r>
          </w:p>
          <w:p>
            <w:pPr>
              <w:numPr>
                <w:ilvl w:val="0"/>
                <w:numId w:val="19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 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4"/>
        <w:jc w:val="left"/>
        <w:rPr>
          <w:b w:val="0"/>
        </w:rPr>
      </w:pPr>
      <w:r>
        <w:rPr>
          <w:b w:val="0"/>
        </w:rPr>
        <w:t>Специфична информация за мярката</w:t>
      </w:r>
    </w:p>
    <w:p>
      <w:pPr>
        <w:pStyle w:val="Heading4"/>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3"/>
        <w:jc w:val="left"/>
        <w:rPr>
          <w:b w:val="0"/>
        </w:rPr>
      </w:pPr>
      <w:r>
        <w:rPr>
          <w:b w:val="0"/>
        </w:rPr>
        <w:br w:type="page"/>
      </w:r>
      <w:bookmarkStart w:id="122" w:name="_Toc256000122"/>
      <w:r>
        <w:rPr>
          <w:b w:val="0"/>
        </w:rPr>
        <w:t>M06 — Развитие на стопанства и предприятия (член 19)</w:t>
      </w:r>
      <w:bookmarkEnd w:id="122"/>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Член 19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Един от основните проблеми в земеделието е неблагоприятната възрастова структура на земеделските стопани. Относителният дял на хората в работоспособна възраст в селските райони (64,8%) е значително по-нисък в сравнение с градските райони (70,5%), а този на хората над 65-годишна възраст (21,4%) е по-висок, отколкото в градските (16,6%). Нивото на безработица на младите жители (15-29 години) в селските райони е над 30%, въпреки факта, че 52% в тази възрастова група е икономически неактивно. Основният проблем в селските райони е високото ниво на дългосрочната безработица, която е почти 3 пъти по-висока от тази в градските райони. Въпреки високите нива на безработица, за предприемачите в тези райони е изключително трудно намирането на квалифицирани работници. Основна причина за това е влошаването на качеството на работната сила в селските райони поради влошаване на образователната и възрастовата структура на населението.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Образователната структура на населението в селските райони е по-неблагоприятна както в сравнение с градските райони, така и със страната като цяло. Общият дял на населението със средно или висше образование (48,4%) е по-нисък от този за страната и значително отстъпва от средния дял за градските райони (72,4%). Най-нисък дял на посочените две групи е налице при селските общини в Североизточния район (39,9%), а най-висок - в Югозападния район (59,9%). В селските райони на Югоизточния регион делът на непосещавалите училище (2,9%) е най-високият за страната, а в Югозападния район - най-ниският (0,9%).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Местна икономика зависи в голяма степен от селското стопанство - около 50% от заетостта и доходите в селските райони имат за източник селскостопанската дейност.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периода 2007-2012 г. се наблюдават значителни промени в </w:t>
            </w:r>
            <w:r>
              <w:rPr>
                <w:rFonts w:ascii="Times New Roman" w:eastAsia="Times New Roman" w:hAnsi="Times New Roman" w:cs="Times New Roman"/>
                <w:i/>
                <w:iCs/>
                <w:szCs w:val="24"/>
              </w:rPr>
              <w:t>отрасловата</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структура</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земеделието</w:t>
            </w:r>
            <w:r>
              <w:rPr>
                <w:rFonts w:ascii="Times New Roman" w:eastAsia="Times New Roman" w:hAnsi="Times New Roman" w:cs="Times New Roman"/>
                <w:szCs w:val="24"/>
              </w:rPr>
              <w:t>. Делът на растениевъдството в брутната добавена стойност нараства от 56% през 2007 г. на 69% през 2012 г. и съответно делът на животновъдството спада. През периода стойността на крайната продукция в растениевъдството нараства по текущи цени с 70,7%, докато в животновъдството е отбелязан лек спад –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Делът на зеленчуците в стойността на крайната продукция от отрасъл земеделие намалява от 16% през 2007 г. до едва 3% през 2012 г., а на плодовете - от 7% на 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това, слабо се използват местните природни ресурси и добивите от основните селскостопански култури са на ниво от около 60% от средните за ЕС. Всичко това обуславя недобрите възможности за реализация на младите квалифицирани местни жители, слабата конкурентоспособност по отношение привличането на инвестиции и отсъствие на вътрешни източници на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Характерна особеност на структурата на земеделските стопанства в България е наличието на голям брой дребни стопанства. Те имат важно значение за осигуряване на заетост и доходи в селските райони. Процесът на преструктуриране на малките стопанства и укрепването на тяхната икономическа устойчивост, може да бъде стимулиран чрез целенасочено подпомагане на развитието и модернизацията на земеделските дейности в стопанствата и насърчаване на тяхната диверсификация към неземеделски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се регистрира спад на броя и гъстотата на населението, увеличава се и рискът от обезлюдяване на значителни територии. Темповете на намаляване на населението на предимно селските райони е значително по-високо от средното за страната. Обезлюдяването се дължи на отрицателния естествен прираст и миграция.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Селските райони се характеризират със слаба икономическа активност и ниска степен на предприемачество. Развитието на предприемачеството в селските райони е от съществено значение за задържане на жители на селските територии, особено на младите хора и за разнообразяване на икономиката на селските райони. Развитието на бизнеса ще повлияе и на намаляване на бедността в тези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Данните за предприятията и заетостта в селските райони сравнени с показателите за страната показват, че икономиката на селските райони е с ниска степен на разнообразяване. Слабо е развитието на секторите, които добавят стойност към произвежданите първични продукти или оползотворяват други местни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Ниската покупателна способност, неблагоприятната демографска структура по отношение на възраст и образование, ниската степен на икономическа активност, както и ниската степен на разнообразие и незадоволително добавяне на стойност в селската икономика, поставят допълнителни бариери пред развитието на стартиращи и съществуващи малки предприятия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Принос</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мярката</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към</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междусекторните</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цели</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приоритетни</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области</w:t>
            </w:r>
            <w:r>
              <w:rPr>
                <w:rFonts w:ascii="Times New Roman" w:eastAsia="Times New Roman" w:hAnsi="Times New Roman" w:cs="Times New Roman"/>
                <w:b/>
                <w:bCs/>
                <w:i/>
                <w:iCs/>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съдържа три основни форми на подпомагане, насочени към различни потенциални бенефициенти: помощ за стартиране на ново предприятие, стартова помощ за развитието на малки стопанства и инвестиции в неземеделски дейности. Най-важните приоритети, към които тя допринася, са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w:t>
            </w:r>
            <w:r>
              <w:rPr>
                <w:rFonts w:ascii="Times New Roman" w:eastAsia="Times New Roman" w:hAnsi="Times New Roman" w:cs="Times New Roman"/>
                <w:b/>
                <w:bCs/>
                <w:szCs w:val="24"/>
              </w:rPr>
              <w:t xml:space="preserve"> 2</w:t>
            </w:r>
            <w:r>
              <w:rPr>
                <w:rFonts w:ascii="Times New Roman" w:eastAsia="Times New Roman" w:hAnsi="Times New Roman" w:cs="Times New Roman"/>
                <w:b/>
                <w:bCs/>
                <w:szCs w:val="24"/>
              </w:rPr>
              <w:t>А</w:t>
            </w:r>
            <w:r>
              <w:rPr>
                <w:rFonts w:ascii="Times New Roman" w:eastAsia="Times New Roman" w:hAnsi="Times New Roman" w:cs="Times New Roman"/>
                <w:szCs w:val="24"/>
              </w:rPr>
              <w:t xml:space="preserve"> (отнася се за малките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w:t>
            </w:r>
            <w:r>
              <w:rPr>
                <w:rFonts w:ascii="Times New Roman" w:eastAsia="Times New Roman" w:hAnsi="Times New Roman" w:cs="Times New Roman"/>
                <w:b/>
                <w:bCs/>
                <w:szCs w:val="24"/>
              </w:rPr>
              <w:t xml:space="preserve"> 2</w:t>
            </w:r>
            <w:r>
              <w:rPr>
                <w:rFonts w:ascii="Times New Roman" w:eastAsia="Times New Roman" w:hAnsi="Times New Roman" w:cs="Times New Roman"/>
                <w:b/>
                <w:bCs/>
                <w:szCs w:val="24"/>
              </w:rPr>
              <w:t>Б</w:t>
            </w:r>
            <w:r>
              <w:rPr>
                <w:rFonts w:ascii="Times New Roman" w:eastAsia="Times New Roman" w:hAnsi="Times New Roman" w:cs="Times New Roman"/>
                <w:szCs w:val="24"/>
              </w:rPr>
              <w:t xml:space="preserve"> "Улесняване на първоначалното навлизане в сектора на селското стопанство и по-специално смяната на поколенията в селскостопанския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w:t>
            </w:r>
            <w:r>
              <w:rPr>
                <w:rFonts w:ascii="Times New Roman" w:eastAsia="Times New Roman" w:hAnsi="Times New Roman" w:cs="Times New Roman"/>
                <w:b/>
                <w:bCs/>
                <w:szCs w:val="24"/>
              </w:rPr>
              <w:t xml:space="preserve"> 3</w:t>
            </w:r>
            <w:r>
              <w:rPr>
                <w:rFonts w:ascii="Times New Roman" w:eastAsia="Times New Roman" w:hAnsi="Times New Roman" w:cs="Times New Roman"/>
                <w:b/>
                <w:bCs/>
                <w:szCs w:val="24"/>
              </w:rPr>
              <w:t>А</w:t>
            </w:r>
            <w:r>
              <w:rPr>
                <w:rFonts w:ascii="Times New Roman" w:eastAsia="Times New Roman" w:hAnsi="Times New Roman" w:cs="Times New Roman"/>
                <w:szCs w:val="24"/>
              </w:rPr>
              <w:t xml:space="preserve"> (отнася се за малките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w:t>
            </w:r>
            <w:r>
              <w:rPr>
                <w:rFonts w:ascii="Times New Roman" w:eastAsia="Times New Roman" w:hAnsi="Times New Roman" w:cs="Times New Roman"/>
                <w:b/>
                <w:bCs/>
                <w:szCs w:val="24"/>
              </w:rPr>
              <w:t xml:space="preserve"> 5</w:t>
            </w:r>
            <w:r>
              <w:rPr>
                <w:rFonts w:ascii="Times New Roman" w:eastAsia="Times New Roman" w:hAnsi="Times New Roman" w:cs="Times New Roman"/>
                <w:b/>
                <w:bCs/>
                <w:szCs w:val="24"/>
              </w:rPr>
              <w:t>В</w:t>
            </w:r>
            <w:r>
              <w:rPr>
                <w:rFonts w:ascii="Times New Roman" w:eastAsia="Times New Roman" w:hAnsi="Times New Roman" w:cs="Times New Roman"/>
                <w:szCs w:val="24"/>
              </w:rPr>
              <w:t xml:space="preserve"> "Улесняване на доставките и използването на възобновяеми източници на енергия, на странични продукти, отпадъци, остатъци и други нехранителни суровини за целите на биоикономиката“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 6А</w:t>
            </w:r>
            <w:r>
              <w:rPr>
                <w:rFonts w:ascii="Times New Roman" w:eastAsia="Times New Roman" w:hAnsi="Times New Roman" w:cs="Times New Roman"/>
                <w:szCs w:val="24"/>
              </w:rPr>
              <w:t xml:space="preserve"> "Улесняване на разнообразяването, създаването и развитието на малки предприятия и разкриване на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мярката също така ще допринесе за постигане на междусекторните цели в областта на иновациите и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реализиране на неземеделски дейности ще спомогне въвеждането на иновативни технологии или продукти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Производството на енергия от възобновяеми източници има пряк принос към постигане на междусектортите цели в областта на околната среда. С мярката ще се финансират дейности, предвидени в Националната приоритетна рамка за действие по Натура 2000.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под-мерки имат пряк принос за създаване или запазване на заетост в селските райони, а по този начин и за намаляване на обезлюдяването на селските райони. За да се осигури максимален ефект върху заетостта по подмерки М6.1, М6.2 и М6.4 при избора на проекти ще се дава приоритет на проектите създаващи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Цели на мярката:</w:t>
            </w:r>
          </w:p>
          <w:p>
            <w:pPr>
              <w:numPr>
                <w:ilvl w:val="0"/>
                <w:numId w:val="20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Улесняване процеса на създаването на стопанства от млади земеделски стопани;</w:t>
            </w:r>
          </w:p>
          <w:p>
            <w:pPr>
              <w:numPr>
                <w:ilvl w:val="0"/>
                <w:numId w:val="2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на заетостта и разкриване на работни места и запазване на вече съществуващите работни места;</w:t>
            </w:r>
          </w:p>
          <w:p>
            <w:pPr>
              <w:numPr>
                <w:ilvl w:val="0"/>
                <w:numId w:val="20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Намаляване на сезонните колебания в заетостта;</w:t>
            </w:r>
          </w:p>
          <w:p>
            <w:pPr>
              <w:numPr>
                <w:ilvl w:val="0"/>
                <w:numId w:val="20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стартирането и развитието на неземеделски дейности в селските райони.</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6.1 - Стартова помощ за млади земеделски стопани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02"/>
              </w:numPr>
              <w:rPr>
                <w:b w:val="0"/>
              </w:rPr>
            </w:pPr>
            <w:r>
              <w:rPr>
                <w:b w:val="0"/>
              </w:rPr>
              <w:t>6.1 — помощ при стартиране за млади земеделски стопани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Увеличаването на броя и дела на младите земеделски стопани е необходимо както за осигуряване на устойчиво развитие, така и за улесняване на структурните промени в земеделието.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ще се предоставя на млади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Младият земеделски стопанин се счита за такъв, когато установява за пръв път земеделско стопанство в качеството си на ръководител на това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 понятието „създаване на ръководител на земеделско стопанство“ се има предвид, лице, което е на не повече от 40 години, към момента на подаване на заявлението, което притежава достатъчни  професионални умения и компетентности и покрива условията за допустимост и определение за създаване на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Определение за създаване на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Създаването на стопанството е период, в който се отчитат следните събития: дата на установяване, период на кандидатстване за подпомагане по подмярката и край на създаването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дата на установяване се счита, датата, на която заявителят  извършва или приключва действие свързано с установяването му като млад земеделски стопанин.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Събитията се определят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 „действие, свързано с установяването като млад земеделски стопанин“ се има предвид едно от следните събития, което е настъпило първо:</w:t>
            </w:r>
          </w:p>
          <w:p>
            <w:pPr>
              <w:numPr>
                <w:ilvl w:val="0"/>
                <w:numId w:val="20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регистрация за първи път като земеделски стопанин по Закона за подпомагане на земеделските производители;</w:t>
            </w:r>
          </w:p>
          <w:p>
            <w:pPr>
              <w:numPr>
                <w:ilvl w:val="0"/>
                <w:numId w:val="2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започване на отглеждане на животни в собствен/нает животновъден обект;</w:t>
            </w:r>
          </w:p>
          <w:p>
            <w:pPr>
              <w:numPr>
                <w:ilvl w:val="0"/>
                <w:numId w:val="20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стопанисване на земя с цел производството на земеделска и животинска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могат да заявят подпомагане не по-късно от 24 месеца, след датата на установяването.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Установяването може да се извършва самостоятелно или съвместно с други земеделски стопани, независимо от правната му форма.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край на създаване на стопанството се счита коректното изпълнение на бизнес плана и подаването на втора заявка за плащане.Приоритетна област, към която операцията има принос: 2Б</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единична премия: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Първо плащане – изплащат се до 12 500 евро след одобрение на заявлението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Второ плащане – изплаща се до 12 500 евро само при коректно изпълнение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размера на помощта са взети предвид социално-икономическите условия в страната, необходимостта от привличане на млади хора в земеделието, както и ограничения достъп до кредити и трудностите при стартиране на бизнес от младите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финансовата помощ е определен въз основа на опита от предишния програмен период, икономическия размер на стопанствата и средствата, необходими за осигуряване на устойчиво развитие на подпомаганото стопанство.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 65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 9 от Регламент (ЕС) № 1307/2013 на Европейския парламент и на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5 от Регламент (ЕО) № 1242/2008 на Комисията за установяване на типология на Общността на земеделските стопанства.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са земеделски стопани – физически лица,еднолични търговци, ЕООД, които отговарят на следните критерии за допустимост:</w:t>
            </w:r>
          </w:p>
          <w:p>
            <w:pPr>
              <w:numPr>
                <w:ilvl w:val="0"/>
                <w:numId w:val="20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регистрирани като земеделски стопани по Закона за подпомагане на земеделските производители;</w:t>
            </w:r>
          </w:p>
          <w:p>
            <w:pPr>
              <w:numPr>
                <w:ilvl w:val="0"/>
                <w:numId w:val="2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8 000 и 16 000 СПО (СПО - стандартен производствен обем означава стойността на продукцията, която отговаря на средната стойност за даден район за всеки един земеделски продукт).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numPr>
                <w:ilvl w:val="0"/>
                <w:numId w:val="2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на възраст от 18 до 40 години към датата на подаване на молбата за подпомагане;</w:t>
            </w:r>
          </w:p>
          <w:p>
            <w:pPr>
              <w:numPr>
                <w:ilvl w:val="0"/>
                <w:numId w:val="2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имат съответните професионални умения и познания, които да бъдат доказани: завършено средно образование в областта на селското стопанство или ветеринарната медицина, или средно икономическо образование със земеделска насоченост; и/или завършено висше образование в областта на селското стопанство или ветеринарната медицина, или висше икономическо образование със земеделска насоченост; и/или удостоверение за завършен курс от минимум 150 часа или свидетелство за професионална квалификация в областта на селското стопанство;</w:t>
            </w:r>
          </w:p>
          <w:p>
            <w:pPr>
              <w:numPr>
                <w:ilvl w:val="0"/>
                <w:numId w:val="2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тяхното стопанство да отговаря на определението за създаване на стопанство;</w:t>
            </w:r>
          </w:p>
          <w:p>
            <w:pPr>
              <w:numPr>
                <w:ilvl w:val="0"/>
                <w:numId w:val="20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предложили бизнес план за развитие на дейностите в стопанството.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за максимален срок от 5 години само при представен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Плащането на последната вноска се извършва само при коректно изпълнение на бизнес плана.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само при представен бизнес план, като изпълнението на този бизнес план трябва да започне в рамките на 9 месеца считано от датата на решението за отпускане на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бизнес плана се предвижда, че младият земеделски стопанин започва да спазва член 9 от Регламент (ЕС) № 1307/2013, така както се прилага в съответната държава членка, в срок от 18 месеца от датата на решението за отпускане на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целят да гарантират насочване на помощ съобразно установените потребности и заложените цели. Критериите се основават на анализа и на практиката от прилагането на Програмата за развитие на селските райони (2007-2013) и осигуряват съответствие и допълняемост с други стратегически документи. Чрез критериите се цели и подпомагане на проекти с по-висока добавена стойност, създаващи нови работни места, както и намаляването на регионалните диспропорции в социално-икономическото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процесът на оценка проектите се класират и се дава приоритет на:</w:t>
            </w:r>
          </w:p>
          <w:p>
            <w:pPr>
              <w:numPr>
                <w:ilvl w:val="0"/>
                <w:numId w:val="20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от бенефициенти, които имат завършено средно и/или висше образование в областта на селското стопанство, ветеринарната медицина или икономическо образование със земеделска насоченост;</w:t>
            </w:r>
          </w:p>
          <w:p>
            <w:pPr>
              <w:numPr>
                <w:ilvl w:val="0"/>
                <w:numId w:val="2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в сектор „Животновъдство”</w:t>
            </w:r>
          </w:p>
          <w:p>
            <w:pPr>
              <w:numPr>
                <w:ilvl w:val="0"/>
                <w:numId w:val="2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в сектор „Плодове и зеленчуци”</w:t>
            </w:r>
          </w:p>
          <w:p>
            <w:pPr>
              <w:numPr>
                <w:ilvl w:val="0"/>
                <w:numId w:val="2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на млади фермери, чиито стопанства са в процес на преход към биологично производство или са преминали към биологично производство на земеделски продукти и храни по смисъла на Регламент на Съвета (ЕО) № 834/2007 от 28 юни 2007 г. относно биологичното производство и етикетирането на биологични продукти и за отмяна на Регламент (ЕИО) 2092/91.</w:t>
            </w:r>
          </w:p>
          <w:p>
            <w:pPr>
              <w:numPr>
                <w:ilvl w:val="0"/>
                <w:numId w:val="2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на млади фермери, които създават заетост и нови работни места</w:t>
            </w:r>
          </w:p>
          <w:p>
            <w:pPr>
              <w:numPr>
                <w:ilvl w:val="0"/>
                <w:numId w:val="20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Проекти, които допринасят за устойчиво и цифрово икономическо възстановяване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процесът на оценка проектите на млади земеделски стопани, които не са събрали минималният брой точки няма да бъдат одобрени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Общият размер на помощта не може да надвишава 25 000 евро на бенефициент.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Изплащането на помощта става на два пъти под формата на единична премия: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Първо плащане – изплащат се до 12 500 евро след одобрение на заявлението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Второ плащане – изплаща се до 12 500 евро само при коректно изпълнение на бизнес плана.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Неточно определяне на момента на установяване на младия фермер и момента на извършване на второ плащане.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206"/>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2.4. Контролът по подмярката ще се извършва чрез системни административни проверки на всички заявления за финансова помощ (заявления за подпомагане и искания за плащане), като те ще бъдат допълвани от проверки на място;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4.1.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szCs w:val="24"/>
                <w:u w:val="single"/>
              </w:rPr>
              <w:t>или в</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 xml:space="preserve">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 xml:space="preserve">за предотвратяване на </w:t>
            </w:r>
            <w:r>
              <w:rPr>
                <w:rFonts w:ascii="Times New Roman" w:eastAsia="Times New Roman" w:hAnsi="Times New Roman" w:cs="Times New Roman"/>
                <w:szCs w:val="24"/>
                <w:u w:val="single"/>
              </w:rPr>
              <w:t>изкуствено</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създадените</w:t>
            </w:r>
            <w:r>
              <w:rPr>
                <w:rFonts w:ascii="Times New Roman" w:eastAsia="Times New Roman" w:hAnsi="Times New Roman" w:cs="Times New Roman"/>
                <w:szCs w:val="24"/>
              </w:rPr>
              <w:t xml:space="preserve">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4.2. На база придобития опит от програмен период 2007-2013 ще се елиминират критериите за подбор, които водят до създаването на изкуствени условия, а за останалите ще бъдат извършвани и кръстосани проверки със схемите от ОСП, в случаите, при които е приложимо;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ясни изисквания и дефиниции, свързани с определяне момента на установяване на младия фермер и момента на извършване на второ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На база придобития опит от програмен период 2007-2013 ще бъдат въведени елементи за проверка в контролните процедури, като ще бъдат извършвани и кръстосани проверки със схемите от ОСП.Повишаване на административния капацитет и провеждане на обучения.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Контрол се извършва чрез посещения и проверки.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Проблемът свързан със закъснения в обработката на заявленията за подпомагане и плащане ще бъде предотвратен, чрез децентрализирането й.  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Българските власти ще извършват посещения и проверки на място на одобрени млади земеделски стопани.Посещенията и проверките ще бъдат осъществени  на база риск анализ всяка стопанска година, с цел правилното изпълнение на бизнес плана.Проверките включват както системни административни проверки на всички заявления за подпомагане, така и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ще предотврати риска и ще гарантира повишаване на разбирането и приемането на техните задължения и ангажименти.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сходни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основните въпроси, идентифицирани от външни проверяващи органи, свързани с прилагането на мярка 112 от ПРСР 2007-2013 са свързани с извършването на проверки по време на изпълнението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адекватно управление на установения риск, за програмен период 2014-2020 се предвижда да бъдат извършвани посещения на място на база риск анализ за проверка изпълнението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Ще се предвиди система за извършване на контролни проверки от методически отговорните органи по отношение на правилното прилагане на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Допълнителна информация, специфична за съответната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Внимание върху специфични въпроси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 условия за изплащане на финансовата помощ на млади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Младият земеделски стопанин не е допустим за второ плащане, ако:</w:t>
            </w:r>
          </w:p>
          <w:p>
            <w:pPr>
              <w:numPr>
                <w:ilvl w:val="0"/>
                <w:numId w:val="20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е покрил изискванията за професионални умения и познания в рамките на 36 месеца от момента на вземане на решение за отпускане на помощта;</w:t>
            </w:r>
          </w:p>
          <w:p>
            <w:pPr>
              <w:numPr>
                <w:ilvl w:val="0"/>
                <w:numId w:val="20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е изпълнил всички заложени в бизнес плана дейности, инвестиции и цели към периода на проверка.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възникване на форсмажорни обстоятелства водещи до неизпълнение на договорни задължения, ползвателят не възстановява получената на първо плащане финансова помощ, но е недопустим за второ.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Преходни договорености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 за нереализираните финансови ангажименти по Програма за развитие на селските райони (2007-2013) е дадена в Раздел 19 „Преходни разпоредби” от Програмата.</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политиката през периода 2014-2020 се използва следната дефиниция на малки стопанства:</w:t>
            </w:r>
          </w:p>
          <w:p>
            <w:pPr>
              <w:numPr>
                <w:ilvl w:val="0"/>
                <w:numId w:val="20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размер, измерен в стандартен производствен обем (СПО)[1]. от 2 000 до 7 999 евро и</w:t>
            </w:r>
          </w:p>
          <w:p>
            <w:pPr>
              <w:numPr>
                <w:ilvl w:val="0"/>
                <w:numId w:val="20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Регистрация като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[1]Стандартен производствен обем (СПО) означава стойността на продукцията, която отговаря на средната стойност за даден район за всеки един земеделски продукт</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8 000 и 16 000 СПО (СПО - стандартен производствен обем означава стойността на продукцията, която отговаря на средната стойност за даден район за всеки един земеделски продукт).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Когато кандидати/бенефициенти – жени, ползват отпуск и обезщетение при бременност, раждане и отглеждане на дете до 2 години, е допустимо назначаването на втори ръководител.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Вторият ръководител на земеделското стопанство трябва да е лице на възраст между 18 и не повече от 40 навършени години (включително) и притежава съответни професионални умения и компетентности.</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Когато кандидатът не покрива изискванията за професионални умения и познания, може да бъде одобрен при условие, че поеме ангажимент в бизнес плана, в рамките на 36 месеца от момента на вземане на решение за отпускане на помощта, да покрие тези изисквания. </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включва поне:</w:t>
            </w:r>
          </w:p>
          <w:p>
            <w:pPr>
              <w:numPr>
                <w:ilvl w:val="0"/>
                <w:numId w:val="20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Резюме на плана ;</w:t>
            </w:r>
          </w:p>
          <w:p>
            <w:pPr>
              <w:numPr>
                <w:ilvl w:val="0"/>
                <w:numId w:val="2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 за кандидата, включително образователен статус и професионален опит;</w:t>
            </w:r>
          </w:p>
          <w:p>
            <w:pPr>
              <w:numPr>
                <w:ilvl w:val="0"/>
                <w:numId w:val="2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 на началното състояние на земеделското стопанство включително размер на обработваемата земя, отглеждани земеделски култури и животни, икономически размер и местоположение, настоящо състояние на материалните активи (оборудване, машини, помещения за отглеждане на животните, други производствени сгради и т.н), настоящо ниво на съответствие със стандартите на Общността, работна сила и т.н;</w:t>
            </w:r>
          </w:p>
          <w:p>
            <w:pPr>
              <w:numPr>
                <w:ilvl w:val="0"/>
                <w:numId w:val="20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 на концепцията за развитие на земеделската дейност на младият фермер вкл.: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Специфичните резултати и цели за развитието на дейностите на новото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Дейностите необходими за преструктурирането и адаптацията на земеделското стопанство;</w:t>
            </w:r>
          </w:p>
          <w:p>
            <w:pPr>
              <w:numPr>
                <w:ilvl w:val="0"/>
                <w:numId w:val="21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 на планираните резултати към периода на проверка на бизнес плана;</w:t>
            </w:r>
          </w:p>
          <w:p>
            <w:pPr>
              <w:numPr>
                <w:ilvl w:val="0"/>
                <w:numId w:val="21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описание на инвестициите:</w:t>
            </w:r>
          </w:p>
          <w:p>
            <w:pPr>
              <w:numPr>
                <w:ilvl w:val="0"/>
                <w:numId w:val="21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 на планираните инвестиции, план на производство, както и времева таблица на инвестициите;</w:t>
            </w:r>
          </w:p>
          <w:p>
            <w:pPr>
              <w:numPr>
                <w:ilvl w:val="0"/>
                <w:numId w:val="2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размер, измерен в стандартен производствен обем (СПО) през всички години от изпълнение на бизнес плана;</w:t>
            </w:r>
          </w:p>
          <w:p>
            <w:pPr>
              <w:numPr>
                <w:ilvl w:val="0"/>
                <w:numId w:val="21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 за начина на придобиване на необходимите професионални умения и познания (ако е приложимо), както и информация за други необходими/планирани съвети и/или обучения. Задължително се включва базово обучение по проблемите на опазване на околната среда в земеделието;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показва жизнеспособността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покаже, увеличаване на икономическия размер на стопанството спрямо първоначалния размер с минимум 4000 евро измерен в Стандартен производствен обем.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следва да предвижда спазване на определението за активен земеделски стопанин в рамките на 18 месеца считано от датата на създаване на стопанството в съответствие с член 9 от Регламент (ЕС) №1307/2013 на Европейския парламент и на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член 19, пар. 4 от Регламент (ЕС)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Заявлението по мярката може да даде възможност на младия земеделски стопанин да кандидатства и по други мерки от програмата, в това число мярка 4, подмярка 6.4. Подаденото заявление ще бъде оценявано в съответствие с критериите за допустимост и подбор на правилата и разпоредбите на съответната мярка.</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5"/>
        <w:jc w:val="left"/>
        <w:rPr>
          <w:b w:val="0"/>
        </w:rPr>
      </w:pPr>
      <w:r>
        <w:rPr>
          <w:b w:val="0"/>
        </w:rPr>
        <w:br w:type="page"/>
      </w:r>
      <w:r>
        <w:rPr>
          <w:b w:val="0"/>
        </w:rPr>
        <w:t>6.3 - Стартова помощ за развитието на малки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13"/>
              </w:numPr>
              <w:rPr>
                <w:b w:val="0"/>
              </w:rPr>
            </w:pPr>
            <w:r>
              <w:rPr>
                <w:b w:val="0"/>
              </w:rPr>
              <w:t>6.3 — помощ при стартиране за развитието на малки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Броят на малките стопанства, съгласно националната дефиниция, към които е насочена Тематичната подпрограма, е 85 770, което е 23,2% от всички стопанства в България. Почти всички малки стопанства развиват дейност като физически лица или еднолични търговци, като има само 520 стопанства, които са юридически лица. От всички малки стопанства, 69,3% са с размер до 3 999 евро, а останалите 30,7% имат размер от   4 000 до 7 999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предоставяна на малките стопанства е насочена към осигуряване на тяхното устойчиво развитие и растеж. По мярката се подпомагат всички дейности, които могат да гарантират това развитие, които са включени в бизнес плана. Това включва инвестиции в малкото стопанство, свързани с неговото развитие и модернизация, а също и текущи разходи необходими за изпълнението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прилагането на подмярката се цели икономическо развитие и укрепване на малките земеделски стопанства в устойчиви и жизнеспособни единици.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подмярката ще допринесат за удовлетворяване на идентифицираните в стратегията потребностите на малките земеделски стопанства относно: повишаване на жизнеспособността им; подобряване на опазването на околната среда и борбата с климатичните промени и ускоряване на тяхната модернизацията и технологичното обновление;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Програмният период 2007-2013 г., по специално от прилагането на мярка 141 „Подпомагане на полупазарни стопанства в процес на преструктуриране“ могат да се изведат следните поуки:</w:t>
            </w:r>
          </w:p>
          <w:p>
            <w:pPr>
              <w:numPr>
                <w:ilvl w:val="0"/>
                <w:numId w:val="21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Децентрализираното прилагане на мярката оказа съществено влияние за ефективността на мярката.</w:t>
            </w:r>
          </w:p>
          <w:p>
            <w:pPr>
              <w:numPr>
                <w:ilvl w:val="0"/>
                <w:numId w:val="2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Предоставянето на консултантски услуги от страна на НССЗ концентрирайки се към  малките земеделски стопанства доведе до висока информираност, качествено предоставяне на консултантските услуги и ефективно техническо подпомагане за кандидатстване по мерките от ПРСР 2007-2013 г.</w:t>
            </w:r>
          </w:p>
          <w:p>
            <w:pPr>
              <w:numPr>
                <w:ilvl w:val="0"/>
                <w:numId w:val="2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Завишаване на контролните механизми като се извършват няколко посещения на място по време на изпълнение на бизнес плана бе с добър ефект относно отстраняване на лоши практики и грешки.</w:t>
            </w:r>
          </w:p>
          <w:p>
            <w:pPr>
              <w:numPr>
                <w:ilvl w:val="0"/>
                <w:numId w:val="21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Намаляване на административната тежест и опростяване на правилата за кандидатстване значително улесниха кандидатите в процеса на кандидатстване, но все още е необходимо да се предприемат мерки и действия в тази насока за да се търси по-добър ефект.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Приоритетни област: 2A</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оказва като фиксирана безвъзмездна сума, която може да се изразходва за инвестиции и текущи разходи, необходими за постигане на целите, определени в бизнес плана.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13 от делегиран акт (проект)на Комисията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5 от Регламент (ЕО) № 1242/2008 на Комисията за установяване на типология на Общността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65 от Регламент (ЕС) № 1303/2013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отговарящи на условията, изброени в раздел 4.1 на Тематичната подпрограма за малките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подпомагат бенeфиценти одобрени по мярка 112 Създаване на млади фермери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допустими бенефициенти, които са били одобрени през последните пет години по мярка 141 Подпомагане на полупазарни стопанства в процес на преструктуриране от ПРСР 2007-2013 г.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която се предоставя по тази подмярка е в размер на 15 000 евро и представлява плащане на два транша. Първо плащане в размер на 10 000 евро след одобрението на заявлението за подпомагане. Второ плащане в размер на 5 000 евро след проверка на изпълнението на бизнес плана.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отговарят на изискванията за допустимост, описани в Раздел 4.1 на Тематичната подпрограма за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Кандидатите трябва да са получили минимум 33 % от общия доход за преходната година от земеделски дейности, като това изискване не се прилага за проектни предложения, подадени след 01.01.2021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представят бизнес план, който да показва първоначално състояние на земеделското стопанство и сведения за дейностите (включително дейностите, свързани с екологичната устойчивост и ресурсната ефективност), които биха спомогнали за постигане на икономическа жизнеспособност, например инвестиции, обучение,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целеви периоди на прием свързани с подкрепа към малки земеделски стопанства в условията на природни бедствия или усложнена епизоотична обстановка, кандидатите трябва 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отговарят на изискванията за допустимост, описани в Раздел 4.1 на Тематичната подпрограма за малки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представят бизнес план, който да показва първоначално състояние на земеделското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представят в бизнес плана информация за дейности, които допринасят за постигане на икономическа жизнеспособност на стопнаството, чрез инвестиции, обучение, сътрудничество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представят в бизнес плана информация за дейности, които допринасят за предотвратяване или преодоляване на последиците от природни бедствия или усложнена епизоотична обстановка на стопнаството, чрез инвестиции, обучение, сътрудничество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подържат минимален стандартен производствен обем на стопанството към заявка за второ плащане не по – малък от 7 999 евро СПО.</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бъде даден на проекти на земеделски стопани, които:</w:t>
            </w:r>
          </w:p>
          <w:p>
            <w:pPr>
              <w:numPr>
                <w:ilvl w:val="0"/>
                <w:numId w:val="21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към момента на подаване на заявлението за подпомагане имат регистрирани животновъдни обекти и отглеждат едри и дребни преживни животни, свине, зайци, птици и пчели;</w:t>
            </w:r>
          </w:p>
          <w:p>
            <w:pPr>
              <w:numPr>
                <w:ilvl w:val="0"/>
                <w:numId w:val="2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производства им са  в секторите плодове, зеленчуци, както и за етерично-маслени култури;</w:t>
            </w:r>
          </w:p>
          <w:p>
            <w:pPr>
              <w:numPr>
                <w:ilvl w:val="0"/>
                <w:numId w:val="2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w:t>
            </w:r>
            <w:r>
              <w:rPr>
                <w:rFonts w:ascii="Times New Roman" w:eastAsia="Times New Roman" w:hAnsi="Times New Roman" w:cs="Times New Roman"/>
                <w:szCs w:val="24"/>
                <w:u w:val="single"/>
              </w:rPr>
              <w:t>емеделското стопанство е разположено на територията на необлагодетелствани райони с природни и други ограничения, съгласно наредбата за определяне на критериите за необлагодетелстваните райони и териториалния им обхват (приета с ПМС №30 ОТ 15.02.2008 г.; ДВ, бр. 20 от 2008 г.) и/или места по Натура 2000;</w:t>
            </w:r>
          </w:p>
          <w:p>
            <w:pPr>
              <w:numPr>
                <w:ilvl w:val="0"/>
                <w:numId w:val="2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на земеделски стопании, чиито стопанства са преминали към биологично производство на земеделски продукти и храни по смисъла на Регламент на Съвета (ЕО) № 834/2007 от 28 юни 2007 </w:t>
            </w:r>
            <w:r>
              <w:rPr>
                <w:rFonts w:ascii="Times New Roman" w:eastAsia="Times New Roman" w:hAnsi="Times New Roman" w:cs="Times New Roman"/>
                <w:i/>
                <w:iCs/>
                <w:szCs w:val="24"/>
              </w:rPr>
              <w:t>относно биологичното производство и етикетирането на биологични продукти и за отмяна на Регламент (ЕИО) 2092/91</w:t>
            </w:r>
            <w:r>
              <w:rPr>
                <w:rFonts w:ascii="Times New Roman" w:eastAsia="Times New Roman" w:hAnsi="Times New Roman" w:cs="Times New Roman"/>
                <w:szCs w:val="24"/>
              </w:rPr>
              <w:t xml:space="preserve"> и/или са одобрени ползватели на помощ по мярка 10 „Агроекологични плащания” от ПРСР</w:t>
            </w:r>
          </w:p>
          <w:p>
            <w:pPr>
              <w:numPr>
                <w:ilvl w:val="0"/>
                <w:numId w:val="21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Проекти, които допринасят за устойчиво и цифрово икономическо възстановяване.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numPr>
                <w:ilvl w:val="0"/>
                <w:numId w:val="21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която се предоставя по тази подмярка е в размер на 15 000 евро и представлява плащане на два транша. Първо плащане в размер на 10 000 евро след одобрението на заявлението за подпомагане. Второ плащане в размер на 5 000 евро след проверка на изпълнението на бизнес плана.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Липсата на разбиране на изискванията и информираност от страна на бенефициентите, което от своя страна води до по-високо ниво на грешка и неизпълнение на договорни задължения;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Административен капацитет.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217"/>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2.4. Контролът по подмярката ще се извършва чрез системни административни проверки на всички заявления за финансова помощ (заявления за подпомагане и искания за плащане), като те ще бъдат допълвани от проверки на място;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4.1.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за предотвратяване на </w:t>
            </w:r>
            <w:r>
              <w:rPr>
                <w:rFonts w:ascii="Times New Roman" w:eastAsia="Times New Roman" w:hAnsi="Times New Roman" w:cs="Times New Roman"/>
                <w:szCs w:val="24"/>
                <w:u w:val="single"/>
              </w:rPr>
              <w:t>изкуствено създадените</w:t>
            </w:r>
            <w:r>
              <w:rPr>
                <w:rFonts w:ascii="Times New Roman" w:eastAsia="Times New Roman" w:hAnsi="Times New Roman" w:cs="Times New Roman"/>
                <w:szCs w:val="24"/>
              </w:rPr>
              <w:t xml:space="preserve">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4.2. На база придобития опит от програмен период 2007-2013 ще се елиминират критериите за подбор, които водят до създаването на изкуствени условия, а за останалите ще бъдат извършвани и кръстосани проверки със схемите от ОСП, в случаите, при които е приложимо;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мярка 6.3. „Стартова помощ за развитието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 Предвижда се въвеждането на до две междинни посещения на място преди второто плащане на база анализ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политиката през периода 2014-2020 се използва следната дефиниция на малки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Икономически размер, измерен в стандартен производствен обем (СПО) [1]. от 2 000 до 7 999 евро 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Регистрация като земеделски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[1]Стандартен производствен обем (СПО) означава стойността на продукцията, която отговаря на средната стойност за даден район за всеки един земеделски продукт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2 000 и 7 999 СПО.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само при представянето на бизнес план. Изпълнението на бизнес плана трябва да започне в срок от девет месеца от датата на издаване на заповедта за одобрение.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целеви периоди на прием свързани с подкрепа към малки земеделски стопанства в условията на природни бедствия или усложнена епизоотична обстановка, икономическия размер на земеделското стопанство в границите между 2 000 и 7 999 СПО, може да бъде доказан и преди момента на настъпване на природното бедствия или усложнена епизоотична обстановка, в случай, че земеделското стопанство е било пряко засегнато от съответното събитие.</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представят бизнес план, който да показва първоначално състояние на земеделското стопанство и сведения за дейностите (включително дейностите, свързани с екологичната устойчивост и ресурсната ефективност), които биха спомогнали за постигане на икономическа жизнеспособност, например инвестиции, обучение,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включва най-малко следните елементи: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Характеристика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Стратегия, показваща как ще се развива стопанството за периода на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3.Описание на планираните инвестиции и дейности, необходими за развитието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Специфични резултати и цели, включително времева схема и задачи за периода на подпомагане ,които следва да са постигнати към датата на получаване на вторият транш от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Целите, които следва да бъдат постигнати като минимум са:</w:t>
            </w:r>
          </w:p>
          <w:p>
            <w:pPr>
              <w:numPr>
                <w:ilvl w:val="0"/>
                <w:numId w:val="21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А.1.Увеличаване на обработваемата площ в земеделското стопанство  с минимум 20% спрямо датата на кандидатстване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и/или</w:t>
            </w:r>
          </w:p>
          <w:p>
            <w:pPr>
              <w:numPr>
                <w:ilvl w:val="0"/>
                <w:numId w:val="21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А.2.Увеличаване на броя на отглежданите животни (поне един вид от тях) в земеделското стопанство  с минимум 20% спрямо датата на кандидатстване.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и/или</w:t>
            </w:r>
          </w:p>
          <w:p>
            <w:pPr>
              <w:numPr>
                <w:ilvl w:val="0"/>
                <w:numId w:val="22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А.3. увеличаване на икономическия размер на стопанството с минимум 2000 евро измерен в Стандартен производствен обем;</w:t>
            </w:r>
          </w:p>
          <w:p>
            <w:pPr>
              <w:numPr>
                <w:ilvl w:val="0"/>
                <w:numId w:val="22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 Достигане на съответствие със Стандартите на Общността по отношение на ветеринарните и фитосанитарните изисквания, хуманното отношение към животните, опазването на околната среда, хигиената, сигурността и безопасните условия на труд.</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Освен горепосочените цели, бизнес планът трябва да включва и поне един специфичен за стопанството резултат, съгласно списък включен в наредбата за прилагане на подмярката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Производствена 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Обучения и консултации в т.ч.  поемане на ангажимент за започване и завършване на съответен курс на обучение/информационни дейности, предлагани по мярка 1, свързани с основни проблеми за опазване на околната среда в земеделския сектор до подаване на заявка за изплащане на втория транш от помощта (в случай, че кандидатът няма завършено средно и/или висше образование в областта на опазването на околната среда и/или той/тя не  са получили необходима консултация относно проблеми за опазване на околната среда по мярка 2, подмярка 2.1.2)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7.Финансов план за периода на изпълнение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Елементите от бизнес плана, които показват повишаване на икономическото развитие на земеделското стопанства са изпълнение на елементи 4 (специфични резултати и цели), 5 (производствена програма) и 6 (обучения и консултации)на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целеви периоди на прием свързани с подкрепа към малки земеделски стопанства в условията на природни бедствия или усложнена епизоотична обстановка бизнес планът трябва да включва и поне един специфичен за стопанството резултат пряко свързан с обхвата на целевия период на прием, определен в приложимото национално законодателство за прилагане на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подмярка 6.3 могат да кандидатстват с интегриран проект и по мярка 4, подмерки 4.1.2, 4.2.2 и 4.4.2, и подмярка 6.4. При интегрирани проекти заявлението се проверява за съответствие с критериите за допустимост и подбор на двете 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6.4.1 Подмярка „Инвестиции в подкрепа на неземеделски дейности“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21"/>
              </w:numPr>
              <w:rPr>
                <w:b w:val="0"/>
              </w:rPr>
            </w:pPr>
            <w:r>
              <w:rPr>
                <w:b w:val="0"/>
              </w:rPr>
              <w:t>6.4 — подкрепа за инвестиции в установяването и развитието на неселскостопански дейности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инвестициите в неземеделски дейности е от съществено значение за развитието на конкурентоспособността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Насърчаването на инвестиционните дейности ще подпомогне създаването на заетост и ще ускори диверсификацията на неземеделските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ще подпомогне развитието на технологиите в областта на „зелената икономика“, включително на енергия от ВЕИ за собствено потребление</w:t>
            </w:r>
            <w:r>
              <w:rPr>
                <w:rFonts w:ascii="Times New Roman" w:eastAsia="Times New Roman" w:hAnsi="Times New Roman" w:cs="Times New Roman"/>
                <w:i/>
                <w:iCs/>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финансовата подкрепа ще се подпомогне усвояването на потенциала за развитие на туризъм, съчетаващ природни и културни ценности.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ще допринася към приоритетни области 6А и 5В.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Подпомагането от финансовия инструмент ще бъде предоставяно за инвестиции в неземеделски дейности на територията на селските райони, които подобряват цялостните резултати и устойчивостта на земеделските стопани или МСП и спомагат за социално-икономическото развитие на селските райони.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предимно свързани с достъпа до финансиране и високите лихвени нива.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 се подпомагане за инвестиции в неземеделски дейности, които са насочени към:</w:t>
            </w:r>
          </w:p>
          <w:p>
            <w:pPr>
              <w:numPr>
                <w:ilvl w:val="0"/>
                <w:numId w:val="22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туризъм (изграждане и обновяване на туристически обекти и развитие на туристически услуги);</w:t>
            </w:r>
          </w:p>
          <w:p>
            <w:pPr>
              <w:numPr>
                <w:ilvl w:val="0"/>
                <w:numId w:val="2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или продажба на продукти, които не са включени в Приложение 1 от Договора за функциониране на Европейския съюз (независимо от вложените продукти и материали);</w:t>
            </w:r>
          </w:p>
          <w:p>
            <w:pPr>
              <w:numPr>
                <w:ilvl w:val="0"/>
                <w:numId w:val="2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услуги във всички сектори (например: грижи за деца, възрастни хора, хора с увреждания, здравни услуги, счетоводство и одиторски услуги, ветеринарни дейности и услуги базирани на ИТ и др.;</w:t>
            </w:r>
          </w:p>
          <w:p>
            <w:pPr>
              <w:numPr>
                <w:ilvl w:val="0"/>
                <w:numId w:val="2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на енергия от възобновяеми енергийни източници за собствено потребление;</w:t>
            </w:r>
          </w:p>
          <w:p>
            <w:pPr>
              <w:numPr>
                <w:ilvl w:val="0"/>
                <w:numId w:val="22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занаяти (включително предоставяне на услуги, свързани с участието на посетители в занаятчийски дейности) и други неземеделски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не се финансират дейности, които водят до осъществяване на селскостопанска дейност или резултата от дейността е продукт, включен в Приложение I на Договора за функциониране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изграждане и обновяване на туристически обекти и развитие на туристически услуги в курортни комплекси и населени места по черноморското крайбрежие и в планинските курорти с развит масов туризъм. Населените места с развит масов туризъм и курортните комплекси са посочени в Приложение № 16.</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чрез финансовия инструмент ще се предоставя за инвестиции, свързани с неземеделски дейности,  изпълнявани на територията на селските райони, с изключение на дейности, насочени към развитие на туризъм (изграждане и обновяване на туристически обекти и развитие на туристически услуги).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избегне припокриването между ОПИК и ПРСР, подкрепата за инвестиции в неземеделски дейности за действащи микропредприятия и земеделски стопани в селските райони ще се предоставя само в рамките на ПРСР. Микропредприятията, включително стартиращите иновативни фирми, ще са допустими за подкрепа по ОПИК само за проекти/дейности, осъществявани извън селските райони.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или микропредприятия, регистрирани като еднолични търговци или юридически лица по Търговския закон, Закона за кооперациите или Закона за вероизповеданията, както и физически лица, регистрирани по Закона за занаятите.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имат седалище/клон или съответно постоянен адрес за физическите лица на територията на селски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едно предприятие за микропредприятие се следва дефиницията на Препоръка 2003/361/ЕО на Комисията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или МСП, регистрирани като еднолични търговци или юридически лица по Търговския закон, Закона за кооперациите или Закона за вероизповеданията, както и физически лица, регистрирани по Закона за занаятите.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Крайните получатели трябва да имат седалище/клон или съответно постоянен адрес за физическите лица на територията на селски район.При определянето на едно предприятие за микропредприятие се следва дефиницията на Препоръка 2003/361/ЕО на Комисията.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материални и нематериални инвестиции, за създаване и развитие на неземеделски дейности в селските райони, включващи:</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 придобиване или подобренията на недвижимо имущество;</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 включително чрез лизинг на нови машини и оборудване до пазарната стойност на активите;</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 разходите за буква „а“ и „б“, например хонорари на архитекти, инженери и консултанти, хонорари, свързани с консултации относно екологичната и икономическата устойчивост, включително проучвания за техническа осъществимост;</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г) Нематериални инвестиции: придобиване и създаване на компютърен софтуер и придобиване на патенти, лицензи, авторски права и марки.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т.“в“ не могат да надхвърлят 12 %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допустими за подпомагане текущи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са допустими само ако са извършени след подаване на заявлението за подпомагане, с изключение на общите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одобрената финансова помощ.</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придобиването, включително отпускането на лизинг, или подобренията на недвижимо имущество в рамките на ограниченията по чл. 4 на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до пазарната цена на актива;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Без да се засяга член 60, параграф 2 от  регламент 1305 / 2013,  общи разходи, свързани с разноските по букви а) и б), например хонорари на архитекти, инженери и консултанти, хонорари, свързани с консултации относно екологичната и икономическата устойчивост, включително проучвания за техническа осъществимост. Проучванията за техническа осъществимост продължават да бъдат разход, който отговаря на условията, дори когато на база на техните резултати не се правят разходи по букви а) и 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придобиването или развитието на компютърен софтуер и придобиването на патенти, лицензи, авторски права, търговски марки;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 разходите за управление и таксите, свързани с прилагането на финансовия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 Оборотни средства, които допълват инвестицията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ж) ДДС, съгласно изискванията на чл. 37 пар.11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 покупка на машини, съоръжения и оборудване втора употреба;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и кандидатите трябва да отговарят на следните условия:</w:t>
            </w:r>
          </w:p>
          <w:p>
            <w:pPr>
              <w:numPr>
                <w:ilvl w:val="0"/>
                <w:numId w:val="22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да се осъществява в селски район;</w:t>
            </w:r>
          </w:p>
          <w:p>
            <w:pPr>
              <w:numPr>
                <w:ilvl w:val="0"/>
                <w:numId w:val="2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да няма отрицателно влияние върху околната среда;</w:t>
            </w:r>
          </w:p>
          <w:p>
            <w:pPr>
              <w:numPr>
                <w:ilvl w:val="0"/>
                <w:numId w:val="2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да представи разработен бизнес план, който да показва икономическа жизнеспособност на инвестицията за срок от 5 години/ 10 години при строително-монтажни работи;</w:t>
            </w:r>
          </w:p>
          <w:p>
            <w:pPr>
              <w:numPr>
                <w:ilvl w:val="0"/>
                <w:numId w:val="2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Стопанството на кандидати, земеделски стопани, трябва да има стандартен производствен обем над 8 000 евро;</w:t>
            </w:r>
          </w:p>
          <w:p>
            <w:pPr>
              <w:numPr>
                <w:ilvl w:val="0"/>
                <w:numId w:val="22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ако те не произвеждат 10% топлинна енергия от общо произведената енергия.</w:t>
            </w:r>
          </w:p>
          <w:p>
            <w:pPr>
              <w:numPr>
                <w:ilvl w:val="0"/>
                <w:numId w:val="22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производство на биоенергия (включително биогорива) суровините от  зърнени и други богати на скорбяла култури, захарни култури, маслодайни култури, както и суровини, които могат да се използват за фуражи се ограничават до 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изграждане и обновяване на туристически обекти и развитие на туристически услуги в курортни комплекси и населени места по черноморското крайбрежие и в планински курорти с развит масов туризъм. Населените места с развит масов туризъм и курортните комплекси са посочени в Приложение № 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проекти за обновяване или изграждане на места за настаняване с до 20 помещения за настаняване.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енергия от ВЕИ се подпомагат, ако не надхвърлят необходимото количество енергия за покриване на потребностите на предприятието.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Закона за енергията от възобновяеми източници).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по-ефективно прилагане на програмата Управляващият орган, след консултации с Комитета по наблюдение, ще може да ограничава вида на допустимите дейности за определени приеми (целеви приеми).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 целят да гарантират насочване на помощ съобразно установените потребности и заложените цели:</w:t>
            </w:r>
          </w:p>
          <w:p>
            <w:pPr>
              <w:numPr>
                <w:ilvl w:val="0"/>
                <w:numId w:val="22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включващи инвестиции за развитие на „зелена икономика“,  в т. ч. и за технологии водещи до намаляване на емисиите съгласно Регламент за прилагане на директива 2009/125/ЕС;</w:t>
            </w:r>
          </w:p>
          <w:p>
            <w:pPr>
              <w:numPr>
                <w:ilvl w:val="0"/>
                <w:numId w:val="2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включващи иновации;</w:t>
            </w:r>
          </w:p>
          <w:p>
            <w:pPr>
              <w:numPr>
                <w:ilvl w:val="0"/>
                <w:numId w:val="22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развитие на селски, еко и културен туризъм и др. алтернативни форми на туризъм;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Критериите се ще основават на анализа и на практиката от прилагане на Програмата за развитие на селските райони (2007-2013) и ще осигурят съответствие и допълняемост с други стратегически документи и по-специално Националната стратегия за малките и средните предприятия:</w:t>
            </w:r>
          </w:p>
          <w:p>
            <w:pPr>
              <w:numPr>
                <w:ilvl w:val="0"/>
                <w:numId w:val="22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подадени от кандидати, притежаващи опит или образование в сектора, за който кандидатстват;</w:t>
            </w:r>
          </w:p>
          <w:p>
            <w:pPr>
              <w:numPr>
                <w:ilvl w:val="0"/>
                <w:numId w:val="2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осъществявали дейност най-малко 3 години преди датата на кандидатстване;</w:t>
            </w:r>
          </w:p>
          <w:p>
            <w:pPr>
              <w:numPr>
                <w:ilvl w:val="0"/>
                <w:numId w:val="2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одобрени по подмярка „Стартова помощ за неземеделски дейности“;</w:t>
            </w:r>
          </w:p>
          <w:p>
            <w:pPr>
              <w:numPr>
                <w:ilvl w:val="0"/>
                <w:numId w:val="2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на тютюнопроизводители;</w:t>
            </w:r>
          </w:p>
          <w:p>
            <w:pPr>
              <w:numPr>
                <w:ilvl w:val="0"/>
                <w:numId w:val="2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Проекти в секторите, посочени в </w:t>
            </w:r>
            <w:r>
              <w:rPr>
                <w:rFonts w:ascii="Times New Roman" w:eastAsia="Times New Roman" w:hAnsi="Times New Roman" w:cs="Times New Roman"/>
                <w:b/>
                <w:bCs/>
                <w:szCs w:val="24"/>
              </w:rPr>
              <w:t>Раздел</w:t>
            </w:r>
            <w:r>
              <w:rPr>
                <w:rFonts w:ascii="Times New Roman" w:eastAsia="Times New Roman" w:hAnsi="Times New Roman" w:cs="Times New Roman"/>
                <w:b/>
                <w:bCs/>
                <w:szCs w:val="24"/>
              </w:rPr>
              <w:t xml:space="preserve"> „Национални и регионални приоритетни сектори“</w:t>
            </w:r>
            <w:r>
              <w:rPr>
                <w:rFonts w:ascii="Times New Roman" w:eastAsia="Times New Roman" w:hAnsi="Times New Roman" w:cs="Times New Roman"/>
                <w:szCs w:val="24"/>
              </w:rPr>
              <w:t xml:space="preserve">  от Националната стратегия за  малките и средните предприятия (например: компютри, оптика и електроника; автомобили и други превозни средства; метални изделия; печатарска промишленост; информационни технологии);</w:t>
            </w:r>
          </w:p>
          <w:p>
            <w:pPr>
              <w:numPr>
                <w:ilvl w:val="0"/>
                <w:numId w:val="22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фокусира върху най-бедните райони (Северозападен и/или Северен централен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критериите се цели и подпомагане на проекти с по-висока добавена стойност и създаващи нови работни места:</w:t>
            </w:r>
          </w:p>
          <w:p>
            <w:pPr>
              <w:numPr>
                <w:ilvl w:val="0"/>
                <w:numId w:val="22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производствени дейности;</w:t>
            </w:r>
          </w:p>
          <w:p>
            <w:pPr>
              <w:numPr>
                <w:ilvl w:val="0"/>
                <w:numId w:val="22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създаващи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да бъдат избрани проекти, които в максимална степен да допринесат за постигане на целите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избора на проекти ще се цели постигане на максимална ефективност.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финансовия инструмент са определени следните максимални нива на подпомагане:</w:t>
            </w:r>
          </w:p>
          <w:p>
            <w:pPr>
              <w:numPr>
                <w:ilvl w:val="0"/>
                <w:numId w:val="22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w:t>
            </w:r>
          </w:p>
          <w:p>
            <w:pPr>
              <w:numPr>
                <w:ilvl w:val="0"/>
                <w:numId w:val="22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самостоятелни заеми (без съфинансиране от безвъзмездните средства), отпускани съгласно целите на подмярката, брутния еквивалент на помощта от финансовия инстумент не може да надхвърля максималните размери на помощта, приложими за подмярката, съгласно Анекс II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 размер на заемите следва да бъде съобразен и с предоставяне на помощ de minimis съгласно Регламент 1407/2013 г. Общият размер на брутен еквивален на безвъзмездната помощ от финансовия инструмент, заедно с други форми на подкрепа, получени от крайния получател за период от три последователни финансови години, не е по-висок от 200 000 EUR и в същото време не трябва да надвишава максималния интензитет на помощта, приложим за подмярката, съгласно Анекс II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кредита следва да бъде съобразен с изискванията на Регламент 1407/2013 г.. Максималният размер на допустимите оборотни средства не може да надхвърля по-високата от следните две стойности: 200 000 EUR или 30 % от общия размер на допустимите разходи за инвестицията, като брутния еквивален на безвъзмездна помощ се вземат предвид при спазване на приложимия таван на помощта.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не може да надвишава 50% от общите допустими разходи и при спазване на правилата за „минимална помощ“ при спазване на условията на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 стойност на допустимите разходи – 10 000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 стойност на допустимите разходите по проекта – 600 000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интегриран проект, разходите за неземеделската дейност не следва да надвишават посочените максимални стойности.</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за неизпълнение на проектите в резултат на ограничен достъп на бенефициентите до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Съществува риск от неправилно определяне размера на помощта при спазване на изискванията на минималните помощи (de minimis).</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Улесняване на достъпа до финансиране, чрез сключване на споразумения с търговските банки за предоставяне на финансов ресурс на одобрените кандидати;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Отделните операции и бенефициенти, допустими по мерките от ПРСР са разграничени;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5.3.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5.4. При извършване на проверките за вида на предприятието, ще бъдат въведени допълнителни работни документи, осигуряващи проследимост на извършваните проверки при спазване на изискването за одитна пътека;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6.3. На електронната страница на Програмата ще се публикуват подробни указания относно начина на промяна по договорите;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7.1. Дефиниране от Комитета за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7.2. Изискване на документи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7.3. Контролните процедури включват елементи за проверка за наличие на изкуствено създадени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7.4. Разработване и одобряване от Комитета за наблюдение на програмата на методика за оценка на критериите за подбор, която ще съдържа точни указания за прилагане на всеки критерии и определяне на точките при комбиниране в едно заявление на няколко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8.1.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както и</w:t>
            </w:r>
            <w:r>
              <w:rPr>
                <w:rFonts w:ascii="Times New Roman" w:eastAsia="Times New Roman" w:hAnsi="Times New Roman" w:cs="Times New Roman"/>
                <w:szCs w:val="24"/>
              </w:rPr>
              <w:t xml:space="preserve">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8.2. Контролните процедури ще включват проверки за спазването на условията, за които бенефициента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9.1. Въвеждане на указания за начините за проверка на свързаност при определяне размера на помощта в съответствие с изискванията на минималните помощи (de minimis);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9.2. Внедряване на система за проверка и въвеждане на данни в публичния регистър на минималните помощи, администриран от Министерство на финансите.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съдържа най-малко следните елементи:</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Резюме на плана;</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Първоначално икономическо състояние на кандидата;</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Анализ на пазара, въздействие върху конкурентите;</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Етапи и цели за развитие на новите дейности на кандидата;</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Прогноза на нетните парични потоци;</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Подробно описание на дейностите и инвестициите, необходими за развитие на дейностите на кандидата, включително дейностите, свързани с устойчивото развитие и ефективно използване на ресурсите на околната среда, като например обучение и консултации.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Промени в бизнес плана се допускат, ако не водят до съществено изменение на дейността.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Допустимо е комбиниране на подпомагане по подмярка 6.1. 6.4 и мярка 4. При интегрирани проекти заявлението се проверява за съответствие с критериите за допустимост и подбор на двете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ще се финансират неземеделски дейности от всички сектори на икономиката с изключение на инвестиции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6.4.2 Подмярка Инвестиции в подкрепа на неземеделски дейности по Тематичната подпрограма за развитие на малки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29"/>
              </w:numPr>
              <w:rPr>
                <w:b w:val="0"/>
              </w:rPr>
            </w:pPr>
            <w:r>
              <w:rPr>
                <w:b w:val="0"/>
              </w:rPr>
              <w:t>6.4 — подкрепа за инвестиции в установяването и развитието на неселскостопански дейности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преструктуриране на българския земеделски сектор, който се характеризира с голям брой нископродуктивни малки стопанства, може да бъде стимулиран към разнообразяване на дейността чрез насърчаване развитието на неземеделски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инвестиции на земеделски производители за развиване на неземеделски дейности ще улесни навлизането им или разширяването на дейностите в сектори с потенциал за пазарен растеж. Това ще доведе до допълнителен доход за малките стопани и ще подпомогне процеса на преструктурирането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прилагането на операция 6.4.2 се цели разширяване на дейностите на земеделските стопанства с неземеделски такива, което от своя страна ще повиши тяхната устойчивост и подпомогне процеса на преструктурирането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Приоритетни области: 2А и 3А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Подпомагането от финансовия инструмент ще бъде предоставяно за инвестиции в неземеделски дейности на територията на селските райони, които подобряват цялостните резултати и устойчивостта на малки земеделски стопанства и спомагат за социално-икономическото развитие на селските райони.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предимно свързани с достъпа до финансиране и високите лихвени нива за малките земеделски стопанства.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Безвъзмздна финансова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подмярка се  подпомагат инвестициите за стартиране или развитие на неземеделски дейности в селските райони, сред които са:</w:t>
            </w:r>
          </w:p>
          <w:p>
            <w:pPr>
              <w:numPr>
                <w:ilvl w:val="0"/>
                <w:numId w:val="23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Развитие на селски туризъм</w:t>
            </w:r>
            <w:r>
              <w:rPr>
                <w:rFonts w:ascii="Times New Roman" w:eastAsia="Times New Roman" w:hAnsi="Times New Roman" w:cs="Times New Roman"/>
                <w:szCs w:val="24"/>
              </w:rPr>
              <w:t xml:space="preserve"> (изграждане и обновяване на туристически обекти и развитие на туристически услуги)</w:t>
            </w:r>
            <w:r>
              <w:rPr>
                <w:rFonts w:ascii="Times New Roman" w:eastAsia="Times New Roman" w:hAnsi="Times New Roman" w:cs="Times New Roman"/>
                <w:i/>
                <w:iCs/>
                <w:szCs w:val="24"/>
              </w:rPr>
              <w:t>;</w:t>
            </w:r>
          </w:p>
          <w:p>
            <w:pPr>
              <w:numPr>
                <w:ilvl w:val="0"/>
                <w:numId w:val="23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Местно занаятчийство </w:t>
            </w:r>
            <w:r>
              <w:rPr>
                <w:rFonts w:ascii="Times New Roman" w:eastAsia="Times New Roman" w:hAnsi="Times New Roman" w:cs="Times New Roman"/>
                <w:szCs w:val="24"/>
              </w:rPr>
              <w:t>(включително предоставяне на услуги, свързани с участието на посетители в занаятчийски дейности)</w:t>
            </w:r>
            <w:r>
              <w:rPr>
                <w:rFonts w:ascii="Times New Roman" w:eastAsia="Times New Roman" w:hAnsi="Times New Roman" w:cs="Times New Roman"/>
                <w:i/>
                <w:iCs/>
                <w:szCs w:val="24"/>
              </w:rPr>
              <w:t>;</w:t>
            </w:r>
          </w:p>
          <w:p>
            <w:pPr>
              <w:numPr>
                <w:ilvl w:val="0"/>
                <w:numId w:val="23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Преработка и маркетинг на земеделски продукти, които не се подпомагат по чл. 18 и крайният продукт не е включен в  Анекс І(независимо от вложените продукти и материали ;</w:t>
            </w:r>
          </w:p>
          <w:p>
            <w:pPr>
              <w:numPr>
                <w:ilvl w:val="0"/>
                <w:numId w:val="2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Производство и/или преработка на неземеделски стоки и материали;</w:t>
            </w:r>
          </w:p>
          <w:p>
            <w:pPr>
              <w:numPr>
                <w:ilvl w:val="0"/>
                <w:numId w:val="2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Предоставяне на услуги за всички икономически сектори и населението, </w:t>
            </w:r>
            <w:r>
              <w:rPr>
                <w:rFonts w:ascii="Times New Roman" w:eastAsia="Times New Roman" w:hAnsi="Times New Roman" w:cs="Times New Roman"/>
                <w:szCs w:val="24"/>
              </w:rPr>
              <w:t>(например: грижи за деца, възрастни хора, хора с увреждания, здравни услуги, счетоводство и одиторски услуги, ветеринарни дейности и услуги базирани на ИТ и др.);</w:t>
            </w:r>
          </w:p>
          <w:p>
            <w:pPr>
              <w:numPr>
                <w:ilvl w:val="0"/>
                <w:numId w:val="23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развитието на технологиите в областта на „зелената икономика“, включително на енергия от ВЕИ за собствено потребление.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не се финансират дейности, които водят до осъществяване на селскостопанска дейност или резултата от дейността е продукт, включен в Приложение I на Договора за функциониране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чрез финансовия инструмент ще се предоставя за инвестиции, свързани с неземеделски дейности,  изпълнявани на територията на селските райони, с изключение на дейности, насочени към развитие на туризъм (изграждане и обновяване на туристически обекти и развитие на туристически услуги).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5 от делегиран акт (проект) на Комисията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65 от Регламент (ЕС) № 1303/2013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производители, отговарящи на условията, изброени в раздел 4.1 на Тематичната подпрограма за малките стопанства. в общините от селските райони.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земеделски стопани, които са подписали договор за получаване на безвъзмездна финансова помощ по подмярката.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 придобиване и подобряване на недвижимо имущество, включително чрез лизинг;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 на нови машини, съоръжения и оборудване, включително компютърен софтуер до пазарната стойност на активите, включително чрез лизинг;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със съответния проект за предпроектни проучвания, такси, хонорари за архитекти, инженери и консултантски услуги, различни от тези предоставяни по мярката по чл.15;</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г) Закупуване на ноу-хау, патенти права и лицензи, търговски марки и процеси необходими за изготвяне и изпълнение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т.“в“ не могат да надхвърлят 12 %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допустими за подпомагане текущи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са допустими само ако са извършени след подаване на заявлението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одобрената финансова помощ.</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разходите, включени в одобрения проект за получаване на безвъзмездна финансова помощ по подмярката,които не са финансирани с безвъзмездни средства (само частта за самоучастие):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разходите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Оборотни средства, които допълват инвестицията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ДДС, съгласно изискванията на чл. 37 пар.11 от регламент 1303/2013;</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производители, отговарящи на условията, изброени в Раздел 4.1 от Тематичната подпрограма.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получили минимум 33 % от общия доход за преходната година от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да се извършва на територията на община от селските райони, за която се отнася проектното предложение.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ако те не произвеждат 10% топлинна 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дял зърнени и други богати на скорбяла култури, захарни и маслодайни култури, използвани за производство на биоенергия, включително биогорива се ограничават до:</w:t>
            </w:r>
          </w:p>
          <w:p>
            <w:pPr>
              <w:numPr>
                <w:ilvl w:val="0"/>
                <w:numId w:val="23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20% зърнени и други богати на скорбяла култури, както и суровини, които се използват за фуражи;</w:t>
            </w:r>
          </w:p>
          <w:p>
            <w:pPr>
              <w:numPr>
                <w:ilvl w:val="0"/>
                <w:numId w:val="23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20% суровини от етеричномаслени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не се прилагат за отпадъчни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енергия от ВЕИ се подпомагат, ако не надхвърлят необходимото количество енергия за покриване на потребностите на предприятието.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проекти за обновяване или изграждане на места за настаняване с до 20 помещения за настаняване.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процеса на избор ще се дава приоритет 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Проекти, за разнообразяване на дейността, представени от земеделски производители, регистрирани като тютюнопроизводители;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Проекти, представени от жени и млади фермери;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Проекти, създаващи постоянна заетост;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интегриращи хоризонталните приоритети за опазване и възстановяване на околната среда, включително биологично производство, икономия на ресурси и адаптация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инвестиционния кредит, който ще се финансира чрез финансовия инструмент не може да надхвърля най-ниската от следните стойности:</w:t>
            </w:r>
          </w:p>
          <w:p>
            <w:pPr>
              <w:numPr>
                <w:ilvl w:val="0"/>
                <w:numId w:val="23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сумата на разходите, включени в одобрения проект за получаване на безвъзмездна финансова помощ по подмярката при спазване на разпоредбите на чл. 37 (9) от регламент 1303/2013;</w:t>
            </w:r>
          </w:p>
          <w:p>
            <w:pPr>
              <w:numPr>
                <w:ilvl w:val="0"/>
                <w:numId w:val="23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 размер на заемите следва да бъде съобразен и с правилата за предоставяне на помощ de minimis съгласно Регламент 1407/2013 г. Общият размер на брутен еквивален на безвъзмездната помощ от финансовия инструмент, заедно с други форми на подкрепа, получени от крайния получател за период от три последователни финансови години, не трябва да е по-висок от 200 000 EUR</w:t>
            </w:r>
          </w:p>
          <w:p>
            <w:pPr>
              <w:numPr>
                <w:ilvl w:val="0"/>
                <w:numId w:val="23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 като се вземат предвид и разпоредбите на чл. 7 (3)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финансиране са и оборотни средства, които допълват инвестицията, подпомогната от финансовия инструмент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като брутния еквивалент на финансовата помощ следва да бъде взет предивд при спазване на приложимия таван на помощта.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до 85%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5000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едно проектно предложение е 70 000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се прилагат правилата за минималната помощ и общата финансова помощ получена по правилата за минимална помощ, по тази или други програми не може да надхвърля 200 000 евро за период от три години.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Разграничаване на допустимите дейности между мерките, свързани с преработка на продукти от Приложение I от Договора за функциониране на ЕС в продукти, извън Приложението;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Разграничаване на допустимите кандидати и дейности по подмярка „Стартова помощ за развитието на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Определяне размера на помощта в съответствие с изискванията на минималните помощи (de minimis);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Административен капацитет.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3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numPr>
                <w:ilvl w:val="0"/>
                <w:numId w:val="234"/>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Сключване на споразумения с търговските банки за предоставяне на улеснен достъп до финансов ресурс на одобрените кандидати;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Въвеждане на адекватно разграничаване на отделните операции и бенефициенти, допустими по мерките от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7.1. Ще бъдат включени елементи за проверка в контролните процедури, както и изисквания в нормативната уредба за предотвратяване на условията, които определят създаването им;</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7.3. Комитетът за наблюдение на програмата ще одобри методика за оценка на критериите за подбор, която ще съдържа точни указания за прилагане на всеки критерии и определяне на точките при комбиниране на няколко дейности в едно заявление;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8.1. Включване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ясни изисквания и приложения, съдържащи списъци с допустимите дейности по мерките, свързани с преработка на продукти от Приложение I от Договора за функциониране на ЕС в продукти, извън Приложението;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9.1. Ясно дефиниране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еднозначни изисквания и дефиниции, свързани с разграничаването на допустимите кандидати и дейности с подмярка „Стартова помощ за неземеделски дейности;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10.1. Въвеждане на указания за начините за проверка на свързаност при определяне размера на помощта в съответствие с изискванията на минималните помощи (de minimis);</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10.2. Внедряване на система за проверка и въвеждане на данни в публичния регистър на минималните помощи, администриран от Министерство на финансите.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11.2. 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мярка 6.3. „Стартова помощ за развитието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 Предвижда се въвеждането на до две междинни посещения на място преди второто плащане на база анализ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политиката през периода 2014-2020 се използва следната дефиниция на малки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Икономически размер, измерен в стандартен производствен обем (СПО) [1]. от 2 000 до 7 999 евро 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Регистрация като земеделски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[1]Стандартен производствен обем (СПО) означава стойността на продукцията, която отговаря на средната стойност за даден район за всеки един земеделски продукт </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2 000 и 7 999 СПО.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приложимо</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операция 6.4.2 следва да представят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включва най-малко следните елементи: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Характеристика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Стратегия, показваща как ще се развива стопанството за периода на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3.Описание на планираните инвестиции и дейности, необходими за развитието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Специфични резултати и цели, включително времева схема и задачи за периода на подпомагане, които следва да са постигнати към датата на получаване на окончателното плащане от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операция 6.4.2 могат да кандидатстват с интегриран проект и по мярка 4, подмерки 4.1.2, 4.2.2 и 4.4.2, и подмярка 6.3. При интегрирани проекти заявлението се проверява за съответствие с критериите за допустимост и подбор на двете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Рисковете са описани по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Действията за смекчаване на последиците са описани по подмерки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Обща оценка е описана по подмерки</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Дефиниция за малко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размер – измерен в стандартен производствен обем (СПО) от 2000 до 7999 евро</w:t>
            </w:r>
          </w:p>
          <w:p>
            <w:pPr>
              <w:pStyle w:val="BodyText"/>
              <w:jc w:val="both"/>
              <w:rPr>
                <w:b w:val="0"/>
              </w:rPr>
            </w:pPr>
          </w:p>
        </w:tc>
      </w:tr>
    </w:tbl>
    <w:p>
      <w:pPr>
        <w:spacing w:after="100"/>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8 000 и 16 000 СПО (СПО - стандартен производствен обем означава стойността на продукцията, която отговаря на средната стойност за даден район за всеки един земеделски продукт).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че младия земеделски стопанин не се е установил като единствен ръководител на стопанството, той може да получи финансова помощ,при положение,че отговаря на определението за млад земеделски стопанин и упражнява ефективен и дългосрочен контрол по отношение на решенията,свързани с управлението,ползите и финансовите рискове в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Когато кандидатът не покрива изискванията за професионални умения и познания, може да бъде одобрен при условие, че поеме ангажимент, в рамките на 36 месеца от момента на вземане на решение за отпускане на помощта, да покрие тези изисквания. Тази възможност може да се предостави в случай, че младия земеделски стопанин е предвидил подобна нужда в бизнес плана 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Общите изисквания за бизнес плановете са определени в съответните точки по под-мерки.</w:t>
            </w:r>
          </w:p>
          <w:p>
            <w:pPr>
              <w:pStyle w:val="BodyText"/>
              <w:spacing w:after="100"/>
              <w:jc w:val="both"/>
              <w:rPr>
                <w:b w:val="0"/>
              </w:rPr>
            </w:pPr>
          </w:p>
        </w:tc>
      </w:tr>
    </w:tbl>
    <w:p>
      <w:pPr>
        <w:spacing w:after="100"/>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Заявлението по мярката дава възможност на младия земеделски стопанин да кандидатства и по други мерки от програмата.</w:t>
            </w:r>
          </w:p>
          <w:p>
            <w:pPr>
              <w:pStyle w:val="BodyText"/>
              <w:spacing w:after="100"/>
              <w:jc w:val="both"/>
              <w:rPr>
                <w:b w:val="0"/>
              </w:rPr>
            </w:pPr>
          </w:p>
        </w:tc>
      </w:tr>
    </w:tbl>
    <w:p>
      <w:pPr>
        <w:spacing w:after="100"/>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ще се финансират неземеделски дейности от всички сектори на икономиката с изключение на инвестиции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3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Определение за "</w:t>
            </w:r>
            <w:r>
              <w:rPr>
                <w:rFonts w:ascii="Times New Roman" w:eastAsia="Times New Roman" w:hAnsi="Times New Roman" w:cs="Times New Roman"/>
                <w:i/>
                <w:iCs/>
                <w:szCs w:val="24"/>
              </w:rPr>
              <w:t>селски район</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дефиниция определя като „селски райони” общините, в които няма населено място с население над 30 000 души. Тази дефиниция е използвана при Програма САПАРД и при Програмата за развитие на селските райони (2007-2013). Съгласно тази дефиниция, 232 общини от общо 265 общини в България са класифицирани като селски.</w:t>
            </w:r>
          </w:p>
          <w:p>
            <w:pPr>
              <w:numPr>
                <w:ilvl w:val="0"/>
                <w:numId w:val="23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Преработка на продукти по Приложение I и продукти, които не са упоменати в Приложение I</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„Стартова помощ за неземеделски дейности в селските райони“ и „Инвестиции в подкрепа на неземеделски дейности“ са насочени към подкрепа на дейности, включващи преработка на продукти, като крайния резултат трябва да е продукт извън Приложение І към Договора за функциониране на Европейския съюз.</w:t>
            </w:r>
          </w:p>
          <w:p>
            <w:pPr>
              <w:numPr>
                <w:ilvl w:val="0"/>
                <w:numId w:val="23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Разграничаване с мярка „Инвестиции в материални активи“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подмерки „Стартова помощ за неземеделски дейности в селските райони“ и „Инвестиции в подкрепа на неземеделски дейности“ няма да се финансират дейности за производство на продукти, които ще се подпомагат по мярка „Инвестиции в материални активи“.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ще се подпомагат инвестициите в производство на енергия от ВЕИ са собствено потребление на предприятия за неземеделска дейност, докато мярка „Инвестиции в материални активи“ ще финансира инвестиции за земеделски дейности и в избраните сектори за преработка.</w:t>
            </w:r>
          </w:p>
          <w:p>
            <w:pPr>
              <w:numPr>
                <w:ilvl w:val="0"/>
                <w:numId w:val="23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Разграничаване с подмярка 8.6. „Инвестиции в технологии за лесовъдство и в преработката, мобилизирането и търговията на горски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„Стартова помощ за неземеделски дейности и подмярка „Инвестиции в подкрепа на неземеделски дейности“ няма да се финансират дейности за преди индустриалната преработка на дървесината.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3" w:name="_Toc256000123"/>
      <w:r>
        <w:rPr>
          <w:b w:val="0"/>
        </w:rPr>
        <w:t>М07 — Основни услуги и обновяване на селата в селските райони (член 20)</w:t>
      </w:r>
      <w:bookmarkEnd w:id="123"/>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 20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Чл. 36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във връзка с чл. 2, параграфи 1 и 2 от Регламент (ЕС) 2020/2220 на Европейския парламент и на Съвета от 23 декември 2020 година за определяне на някои преходни разпоредби във връзка с подпомагането от Европейския земеделски фонд за развитие на селските райони (ЕЗФРСР) и от Европейския фонд за гарантиране на земеделието (ЕФГЗ) през 2021 г. и 2022 г. и за изменение на регламенти (ЕС) № 1305/2013, (ЕС) № 1306/2013 и (ЕС) № 1307/2013 по отношение на ресурсите и на прилагането през 2021 г. и 2022 г. и Регламент (ЕС) № 1308/2013 по отношение на ресурсите и разпределението на това подпомагане за 2021 г. и 2022 г.</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Устойчивото социално-икономическо развитие на селските райони е неразривно свързано със съществуващата инфраструктура и качеството на предлаганите услуги за населението в селските райони. Недостига на инвестиции за обновяване на съществуващата инфраструктура и неадекватното качество на предлаганите услуги (спрямо градовете) е основният елемент, който продължава да разширява границите на развитие между селските и градските райони в България и който, освен това е пречка за създаването на равни възможности в социално-икономическото развитие на селските райони. Тези фактори водят до влошаване на качеството на живот в селските райони и застрашава способността им да задържат населението и да привличат инвестиции, което ги поставя в социално-икономически спад.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намалят съществуващите различия между селските и градските райони и съгласно идентифицираните потребности в SWOT анализа, с подпомагането по мярката ще се създаде, подобри или разшири малка по мащаби инфраструктура в селските райони, включително и широколентова инфраструктура, публична инфраструктура за отдих и туристическа информация и подобряването и разширяването на основните услуги, включително за отдих и спорт. Чрез подпомагането по мярката ще се постигне подобряване на транспортната свързаност и изграждане или обновяване на техническа инфраструктура и достъп до широколентов интернет в селските райони. По този начин мярката ще допринесе до ограничаването на диспропорциите в териториалното разпределение на населението и обезлюдяването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Населените места в селските райони в България ще станат привлекателни за бизнеса и за живеене, чрез поддържането и стимулирането на тяхното икономическо, социално и културно развитие, изграждане на липсващата или рехабилитация на съществуващата техническа и социална инфраструктура, транспортни и комуникационни връзки. Ще се въведат новите изисквания за интеграция на политиката по околна сред (ПОС) и политиката по изменение на климата (ПИК), както и иновации при изграждането и обновяването на инфраструктурата, като примерно екоиновации в областта на водоснабдяването и пречистването на водите, в областта на туризма, използването на широколентова инфраструктура. По този начин ще се постигне както съхраняването на населените места, така и ще се осигури поддържането на образователните услуги, и предоставянето на културни услуги и осигуряването на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Създаването и обновяването на техническа и социална инфраструктура е основната за създаването на оптимална жизнена среда на селските райони, опазването на околната среда, създаването на достъпност и развитие на икономиката. Текущата ситуация в България показва необходимостта от развитието на техническа и социална инфраструктура в селските райони. Въпреки, че през програмния период 2007-2013 г. създаването и обновяването на техническата и социалната инфраструктура (пътища, водоснабдяване, канализация, улици, тротоари, паркове, градини, спортна, общинска и социална инфраструктура и др.) в селските райони беше финансирано от ЕЗФРСР, тя е все още слабо развита и забавя социално-икономическото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Анализът на стратегическите документи в сферата на образованието показва, че от решаващо значение за България е да се инвестира в качеството, конкурентоспособността и ефективността на образованието, което зависи до голяма степен от условията за преподаване т.е. от съответната инфраструктура. Инфраструктурното развитие трябва да се извършва целенасочено само за общинска образователна инфраструктура с местно значение в селските райони. Чрез инвестициите в образователна инфраструктура ще се улесни достъпа и качеството на предоставяното образование и ще се намали броя на преждевременно напусналите сферата на образованието. Инвестициите в образователна инфраструктура ще доведат до икономическото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Запазването на духовния и културния живот на населението е от важно значение за развитието на селските райони. Културно-историческото развитие на България обуславя богато културно наследство, което се запазва и съхранява в културните центрове читалища, театри, библиотеки музеи, църкви, манастири и др. Инвестициите в този вид инфраструктура ще позволят да се запази културната идентичност и традиции в селските райони и да се повиши качеството на живот на хората, живеещи в тях.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Природата и културно-историческото наследство могат да бъдат определени като един от най-силно изразените сравнителни предимства на селските райони в глобализиращия се свят. Техният потенциал може да бъде разкрит чрез инвестиране за публично ползване в инфраструктура за отдих и туристическа информация. Чрез тези инвестиции ще се реализира в максимална степен местния икономически потенциал на селските райони, в които поради липса на производствени дейности или други стабилни източници на доход и заетост, са с по-ниски темпове на развитие, като в същото време ще доведе и до опазване и популяризира културното и природно наследство и ще има благоприятно устойчиво въздействие по отношение на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инфраструктура за широколентов достъп е важна област на интервенция, която ще допринесе както пряко, така и косвено за постигане на приоритетите, свързани с разкриването на работни места и икономически растеж в селските райони. По този начин ще се постигне икономическо развитие, чрез улесняване на достъпа до интернет, създаване на онлайн услуга, както и много други възможности, свързани с маркетинга на продуктите, на пазара на работната сила и обмяна на опит. Безжични технологии могат да осигурят връзка между обществените сгради и домакинстват и най-близкия възел на мрежата, без да е необходима физическа връзка.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Редица неблагоприятни характеристики на българските райони като силно влошени демографски показатели, риск от бедност, високи равнища на миграция, проблеми със заетостта и получаването на качествени социални услуги, с по-висок интензитет се отбелязват в Северозападен район. Обезлюдяването е силно проявено и е резултат в значителна степен от икономически проблеми – липса на заетост, както и на възможността за получаване на качествени образователни, здравни и социални услуги. Районът се характеризира с изключително силно проявени негативни демографски процеси; най-нисък дял на населението с висше образование; най-нисък размер на инвестициите, в т.ч. чуждестранни; най-ниски нива на развитие на предприемачеството (брой МСП на 1 000 д.). Следвайки заложеният в Споразумението за партньорство териториален подход за целенасочена подкрепа на Северозападен район, приоритет по мярката ще бъде осигурен за инвестиции, извършвани в района с цел ограничаване на бедността, обезлюдяването на територията, намаляването на риска от социално изключване и като цяло подобряване на качеството на живот в района.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приложен индивидуален подход за приоритизиране на инвестициите в селските райони с цел реализиране на инвестиции, които ще доведат до съживяване на местната икономика и ще допринесат за предотвратяване на обезлюдяването на селските райони и ще спомогнат за насърчаването на заетостта.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бенефициентите общини подкрепата по мярката ще се предоставя въз основа на извършен анализ за индивидуалните нужди от инвестиции в публична инфраструктура въз основа на плановите стратегически документи, с които общините разполагат, съпоставени със заложените приоритети за финансиране в приложимите национални стратегии. За другите допустими бенефициенти по мярката подкрепата ще се предоставя в съответствие с идентифицираните потребности за финансиране в националните стратегически документи на ниво територия или обект.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ще бъде реализиран чрез обявяването на целеви приеми на заявления за подпомагане по типове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мярката е насочена към различни потенциални бенефициенти и дейности за подпомагане. Най-важните приоритети, към които тя допринася, са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 с акцент върху следните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5Б: Повишаване на ефективността при потреблението на енергия в селското стопанство и хранително-вкусовата промишленост.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 6</w:t>
            </w:r>
            <w:r>
              <w:rPr>
                <w:rFonts w:ascii="Times New Roman" w:eastAsia="Times New Roman" w:hAnsi="Times New Roman" w:cs="Times New Roman"/>
                <w:szCs w:val="24"/>
              </w:rPr>
              <w:t>: Насърчаване на социалното приобщаване, намаляването на бедността и икономическото развитие в селските райони, с акцент върху следните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6Б: Стимулиране на местното развитие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6В: Подобряване на достъпа до информационни и комуникационните технологии (ИКТ), използването и качеството им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под-мярка 7.3. „Широколентова инфраструктура, включително нейното създаване, подобрение и разширение“ да се прилага в периода 2016-2020 г. предвид необходимостта от ревизиране, допълване и одобрение на Националния план за широколентова инфраструктура за достъп от следващо поколение (NGA), от който ще бъдат изведени конкретните дейности, допустими за финансиране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свързани с инвестиции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 ще стартират на по-късен етап предвид необходимостта от идентифициране на нуждите от доизграждане на канализационни мрежи и съоръжения за пречистване на отпадъчни води в регионални ПИП и тяхната подготовка.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всички подмерки за един кандидат община не може да надхвърля левовата равностойност на 10 000 000 евро за целия период на прилагане на ПРСР. Определеният таван от 10 000 000 евро не се прилага за периода на удължаване на срока на програмата, съгласно разпоредбите на Регламент (ЕС) 2020/2220 на Европейския парламент и на Съвета от 23 декември 2020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мярката ЮЛНЦ, читалища и местни поделения на вероизповеданията могат да кандидатстват за подпомагане с нов проект след подаване на заявка за окончателно плащане по предходен одобрен проект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с мерки 4 и 6 е на основа допустими дейности. Дейностите по мярка 7 няма да са допустими за подпомагане по мярка 4 и мярка 6. Разграничението с мярка 16 е на основа допустими бенефициенти. Бенефициентите по мярка 7 няма да са допустими за подпомагане по мярка 16. Разграничението по мярка 7 и LEADER ще е на основа допустими бенефициенти и дейности. Дейностите, по които е била получена безвъзмездна финансова помощ от бенефициент, допустим за финансиране чрез стратегията за воденото от общностите местно развитие, няма да са допустими за същият бенефициент по мярка 7 и обратно. За целта ще се извършват проверки за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постигане на допълняемост и координация с всички оперативни програми участващи в подхода ИТИ, по ПРСР ще се подпомагат проекти, представляващи част от концепция за ИТИ, на територията на общини, в които няма населено място с население над 15 000 души.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Новата национална дефиниция определя като „селски райони” общините, в които няма населено място с население над 15 000 души, в която попадат 215 от всички 265 общини на територията на страната. Всички дейности за малка по мащаби инфраструктура през периода на удължаване на срока на програмата ще са допустими единствено на територията на селските райони, определени по новата национална дефиниция.</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Подмярка 7.2. Инвестиции в създаването, подобряването или разширяването на всички видове малка по мащаби инфраструктура.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39"/>
              </w:numPr>
              <w:rPr>
                <w:b w:val="0"/>
              </w:rPr>
            </w:pPr>
            <w:r>
              <w:rPr>
                <w:b w:val="0"/>
              </w:rPr>
              <w:t>7.2 — подкрепа за инвестиции в създаването, подобряването или разширяването на всички видове малка по мащаби инфраструктура, включително инвестиции в енергия от възобновяеми източници и спестяване на енергия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Публичната инфраструктура е основен фактор за осигуряване на базови услуги на населението в градовете и в селата и за осигуряване на достъпа до тях. Тя предоставя физическата среда и обхваща обектите и съоръженията за реализиране на услугите в сферата на образованието, здравеопазването и социалните грижи, науката и културата, водоснабдяването и канализацията, енергоснабдяването, телекомуникациите, транспорта, благоустройството, физическата култура, спорта и отдиха.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Състоянието на общинските пътища и тяхната прилежаща инфраструктура и съоръжения е незадоволително и не отговаря на условията за непрекъснат, удобен и безопасен транспорт. Връзката на населените места с Републиканската пътна мрежа от по-висок клас до голяма степен определя възможностите на населението от съответната община за достъп до работни места и определен набор от услуги, често предоставян от съседна община. Подобряване на достъпа на населените места до Републиканската пътна мрежа и съответно до набора от услуги и работни места, предоставян от съседна община ще намали времето за пътуване до тях. Приема се, че 30 минути е максималното време за пътуване, което прави дадена публична услуга или възможност за заетост използваеми за жителите от съседни населени места. Подобрената свързаност на населените места с Републиканската пътна мрежа от по-висок клас се явява алтернатива за населението, което мигрира от селските райони с цел да получи по-добър достъп до публични услуги и работни места. С приоритетното финансиране на дейности за строителството и/или реконструкцията на пътна инфраструктура, осигуряваща директна свързаност с Републиканската пътна мрежа от по-висок клас се цели задържане на населението в селските райони чрез подобряване на достъпа от населените места, в които живеят до възможности за заетост и публични услуги, предоставяни от съседни общини.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39-те големи и средно големи градове в България са идентифицирани като двигатели на икономическия растеж на национално и регионално ниво, които ще бъдат подкрепени по ОПРР за провеждане в тях на целенасочена политика за устойчиво градско развитие. Същевременно, по-малките градове в страната, ситуирани в селски райони, също се нуждаят от подкрепа за повишаване на икономическата активност, съхраняване на демографския си потенциал и социалното включване. Именно към подкрепата за тези малки градове от 4-то йерархично ниво съгласно НКПР – обслужващи центрове за повече от една община в селски райони, са приоритетно насочени и усилията на българските власти. Предвижда се тези градове да бъдат целенасочено подкрепени чрез фондовете от ЕСИФ за инвестиции в базова техническа инфраструктура, допринасяща за повишаване на инвестиционната им атрактивност, което ще създаде възможност за осигуряване на нови работни места и постигане на устойчиво ниво на заетост. Чрез инвестициите по под-мярка 7.2. приоритетно ще бъде финансирана транспортна свързаност на населени места от селските райони до малките градове от 4-то йерархично ниво съгласно НКПР с оглед повишаване на техния икономически потенциал и постигане на ефективно градско-селското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Проблемите с водоснабдяването в селските райони са свързани главно с високата амортизираност на мрежите и хроничния недостиг на инвестиции, водещи често до прилагане на режим във водоснабдяването.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регионалните генерални планове за ВиК и с оглед принос за изпълнение на целите на Стратегията за развитие и управление на водоснабдяването и канализацията в Р България за периода 2014-2023 г. ще се подкрепят дейности, свързани със събиране, отвеждане и пречистване на отпадъчните води, като средствата ще бъдат насочени към агломерации с под 2 000 е.ж. в селските райони. Нуждите от доизграждане на канализационни мрежи и съоръжения за пречистване на отпадъчни води ще се определят след подготовката на регионални ПИП. Към 2014 г. на територията на страната действат 14 консолидирани регионални ВиК оператора, което ще бъде взето предвид при приоритизиране на инвестициите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със Стратегията за развитие и управление на водоснабдяването и канализацията в Р България за периода 2014-2023 г. ПРСР ще подкрепя един от описаните в стратегията вид бенефициенти, а именно общините, като с цел допълнително насочване на подкрепата и осигуряване на пълен синхрон със стратегията в рамките на подмярката ще се финансират дейности за изграждане, реконструкция и/или рехабилитация на водоснабдителни системи и съоръжения само на територията на общини с консолидирани ВиК оператори.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приемането и одобрението на регионалните ПИП, през 2018 г. българските власти ще извършат преглед на изпълнението на Стратегията за развитие и управление на водоснабдяването и канализацията в Р България за периода 2014-2023 г. и ролята на подкрепяните по подмярката дейности в нея. Допустимите за подпомагане дейности, бенефициенти и условията за допустимост може да бъдат обект на изменение след извършения преглед на изпълнението.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подмярката могат да се изпълняват и чрез прилагането на инструмент „Интегрирани териториални инвестиции“ (ИТИ), след вземане на национално решение и в съответствие с чл. 36 от Регламент (ЕС) № 1303/2013 във връзка с чл. 2, параграфи 1 и 2 от Регламент (ЕС) 2020/2220. Мерките, които ще бъдат подкрепени през инструмента ИТИ, следва да бъдат в съответствие с предварително идентифицираните цели и приоритети за развитие в съответните интегрирани териториални стратегии за развитие на регионите за планиране от ниво 2 (подход „отдолу-нагоре“), както и с картирането на нуждите от инвестиции в съответните сектори, изготвено на национално ниво от отговорните за политиката ведомства (подход „отгоре-надолу“). В рамките на изпълнението на интегрирания териториален подход ще бъде подкрепено изпълнението на концепции за ИТИ, представляващи набор от взаимосвързани и допълващи се (интегрирани) проектни идеи, насочени към територии с общи характеристики и/или потенциал за развитие и включващи най-подходящата комбинация от ресурси и мерки, които да бъдат използвани за постигане на конкретна цел или приоритет на местно ниво. Концепциите за ИТИ следва да бъдат изпълнявани от партньорства, включващи широк кръг заинтересовани страни и участници в социално-икономическия живот на конкретната територия. Източниците за финансиране на отделните проекти, включени в концепциите за ИТИ, са разнообразни и включват програми, съфинансирани от ЕФРР, ЕСФ+, КФ, СПРЗСР, финансови инструменти, държавен и общински бюджет, собствени средства и др., като изпълнение на отделните проекти следва да бъде осъществявано по координиран начин.</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 се безвъзмездна финансова помощ за следните допустими за подпомагане дейности по подмярката:</w:t>
            </w:r>
          </w:p>
          <w:p>
            <w:pPr>
              <w:numPr>
                <w:ilvl w:val="0"/>
                <w:numId w:val="24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Строителство, реконструкция и/или рехабилитация на нови и съществуващи общински пътища, улици, тротоари, и съоръженията и принадлежностите към тях;</w:t>
            </w:r>
          </w:p>
          <w:p>
            <w:pPr>
              <w:numPr>
                <w:ilvl w:val="0"/>
                <w:numId w:val="2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и/или рехабилитация на водоснабдителни системи и съоръжения в агломерации с под 2 000 е.ж. в селските райони; инвестиции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numPr>
                <w:ilvl w:val="0"/>
                <w:numId w:val="2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обновяване на площи, за широко обществено ползване, предназначени за трайно задоволяване на обществени потребности от общинско значение;</w:t>
            </w:r>
          </w:p>
          <w:p>
            <w:pPr>
              <w:numPr>
                <w:ilvl w:val="0"/>
                <w:numId w:val="2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оборудване и/или обзавеждане на социална инфраструктура за предоставяне на услуги, които не са част от процеса на деинституционализация на деца или възрастни, включително транспортни средства;</w:t>
            </w:r>
          </w:p>
          <w:p>
            <w:pPr>
              <w:numPr>
                <w:ilvl w:val="0"/>
                <w:numId w:val="2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Реконструкция, ремонт, оборудване и/или обзавеждане на общински сгради, в които се предоставят обществени услуги, с цел подобряване на тяхната енергийна ефективност</w:t>
            </w:r>
          </w:p>
          <w:p>
            <w:pPr>
              <w:numPr>
                <w:ilvl w:val="0"/>
                <w:numId w:val="2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оборудване и/или обзавеждане на спортна инфраструктура;</w:t>
            </w:r>
          </w:p>
          <w:p>
            <w:pPr>
              <w:numPr>
                <w:ilvl w:val="0"/>
                <w:numId w:val="2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реставрация, закупуване на оборудване и/или обзавеждане на обекти, свързани с културния живот, вкл. мобилни такива, вкл. и дейности по вертикалната планировка и подобряване на прилежащите пространства;</w:t>
            </w:r>
          </w:p>
          <w:p>
            <w:pPr>
              <w:numPr>
                <w:ilvl w:val="0"/>
                <w:numId w:val="24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Реконструкция, ремонт, оборудване и/или обзавеждане на общинска образователна инфраструктура с местно значение в селските райони, включително изграждане на открита и/или закрита спортна инфраструктура в нея.</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в съответствие с чл. 45, параграф 6 от Регламент (ЕС) № 1305/2013, Регламент (ЕС) № 1303/2013 на Европейския парламент и на Съвета; Насоки на Европейския съюз за държавната помощ в сектора на селското и горско стопанство и в селските райони за периода 2014 – 2020 г.</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4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в селските райони за всички допустими дейности по под-мярката с изключение на дейности, свързани с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numPr>
                <w:ilvl w:val="0"/>
                <w:numId w:val="24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Общини в селските райони за проекти представляващи част от концепция за ИТИ.</w:t>
            </w:r>
          </w:p>
          <w:p>
            <w:pPr>
              <w:numPr>
                <w:ilvl w:val="0"/>
                <w:numId w:val="24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с нестопанска цел за дейности, свързани със социалната и спортната инфраструктура и културния живот;</w:t>
            </w:r>
          </w:p>
          <w:p>
            <w:pPr>
              <w:numPr>
                <w:ilvl w:val="0"/>
                <w:numId w:val="24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Читалища за дейности свързани с културния живот;</w:t>
            </w:r>
          </w:p>
          <w:p>
            <w:pPr>
              <w:numPr>
                <w:ilvl w:val="0"/>
                <w:numId w:val="24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ВиК оператори за дейности, свързани с изграждане, реконструкция и/или рехабилитация на водоснабдителни системи и съоръжения в агломерации с под 2 000 е.ж. в селските райони и дейности, свързани с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се свеждат до: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включително отпускането на лизинг, или подобренията на недвижимо имущество;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обзавеждане до пазарната цена на актива;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 изброените по-горе, например хонорари на архитекти, инженери и консултанти, хонорари, свързани с консултации относно екологичната и икономическата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Нематериални инвестиции: придобиването или развитието на компютърен софтуер и придобиването на патенти, лицензи, авторски права, търговски марки.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 „в“ не трябва да надхвърлят 12%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разходи, свързани с предоставянето на услугите са недопустими за подпомагане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различни от посочените в т. „б“, свързани с договора за лизинг, например марж на лизингодателя, разходи за рефинансиране на лихви, административни разходи и разходи за застраховка са недопустими за подпомагане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 За проекти, по които бенефициентите са възложители по ЗОП, авансовото плащане е допустимо както следва:</w:t>
            </w:r>
          </w:p>
          <w:p>
            <w:pPr>
              <w:numPr>
                <w:ilvl w:val="0"/>
                <w:numId w:val="24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w:t>
            </w:r>
          </w:p>
          <w:p>
            <w:pPr>
              <w:numPr>
                <w:ilvl w:val="0"/>
                <w:numId w:val="24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разлика до 50% от стойността на одобрената публична помощ по проекта след провеждане на всички процедури и сключване на договор за избор на изпълнител/и по ЗОП.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са допустими в случаите, когато не подлежат на възстановяване в съответствие с националното законодателство в областта на ДДС.</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от допустимите бенефициенти. Дейностите трябва да се изпълняват на територията на селските райони на РБ; да отговарят на дефиницията за дребна по мащаби инфраструктура; предвидените по тях дейности да се изпълняват в съответствие с общинския план за развитие на съответната община, а ако съществува стратегия за местно развитие да са съгласувани и с нея; да нямат отрицателно въздействие върху околната среда по ЗOOС; да отговарят на изискванията на заповедите за определянето на местата по Натура 2000 и плановете за тяхното управление, а когато няма издадени заповеди дейността да е съгласувана с МОСВ, ЗЗТ, ЗБР и съответните им подзаконови нормативни актове за тяхното прилагане; да се изпълняват съгласно с препоръките от извършените оценки, както и условията и мерките в съответния административен акт на компетентния орган съгласно ЗООС, ЗЗТ и ЗБР и съответните им подзаконови нормативни актове за тяхното прилагане (когато е приложимо); ако дейностите се извършват на терени, които подлежат на рекултивация съгласно чл 11 ал 1 от ЗОЗЗ да се представи проект за рекултивация на нарушени терени или залесяване на териториите с подходящи растителни видове, когато националното законодателство изисква да се приложат тези мерки; да са придружени с анализ на икономическите и социалните ползи, в който е доказано, че дейността ще доведе до социално–икономическо развитие на селският район; да съдържат аргументация за устойчивостта на дейността.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социална инфраструктура са допустими при условие, че социалната услуга е включена в обхвата на чл 36 ал 2 и ал 5 от ППЗСП.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подпомагат определени дейности, попадащи в обхвата на ОПРР. Дейности за строителство, реконструкция и/или рехабилитация на нови и съществуващи общински пътища, улици, тротоари и съоръжения, и принадлежностите към тях са допустими, ако са изградени или реконструирани ВиК системите или не се предвижда да се изграждат или реконструират ВиК системи за периода от въвеждане в експлоатация на инвестицията по сключения административен договор до края на мониторинговия период. Дейностите за реконструкция и/или рехабилитация на съществуващи общински пътища, и съоръженията, и принадлежностите към тях са допустими за подпомагане ако са от указаните общински пътища в Решение № 236/13.04.2007 г. на МС за утвърждаване списък на общинските пътища и ако в техническата документация е предвидено изграждането и полагането на подземни мрежи за широколентов интернет.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изграждане, реконструкция и/или рехабилитация на водоснабдителни системи и съоръжения (ВСС) в агломерации с под 2 000 е.ж. в селските райони и дейности за доизграждане, без ново строителство на канализационната мрежа (КМ) в агломерации с под 2 000 е.ж. в селските райони са допустими ако съответстват на Плановете за управление на речните басейни. Дейностите за изграждане и/или реконструкция на ВСС са допустими само на територията на общини с консолидирани ВиК оператори. Проектни предложения и инвестиционния проект, подадени от общини и включващи дейности за изграждане и/или реконструкция на ВСС следва да са съгласувани със съответния консолидиран ВиК оператор. Общините трябва да включват ВиК оператор във всеки важен етап от строителството. ВиК оператора ще извършва мониторинг на проектите, по които бенефициент  са общините.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доизграждане без ново строителство на КМ (в т.ч. и съоръжения за пречистване на отпадъчни води) в агломерации с под 2 000 е.ж. в селските райони са допустими след като бъдат определени конкретните нужди в регионалните ПИП и  ако е налице висока степен на изграденост на КМ (между 90% и 100%) и/или отпадъчните води се заустват във водно тяло, определено за питейно-битово водоснабдяване или санитарно-охранителна зона или е осигурено пречистване на отпадъчните води; имат необходимите разрешителни по ЗВ и/или за ползване на водния обект за заустване на отпадъчните води и се постигат целите, поставени в разрешението за заустване. Дейностите за доизграждане на КМ са допустими ако е предвидено след доизграждането и тя да бъде свързана към съществуващата КМ.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изграждане, реконструкция, ремонт, закупуване на оборудване и/или обзавеждане на обекти, свързани с културния живот за един кандидат не може да надхвърля левовата равностойност на 200 000 евро за един обект и 1 000 000 за периода на прилагане на ПРСР. Тези дейности са допустими ако не са обявени за недвижима културна ценност от национално и световно значение.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изграждане и/или обновяване на озеленените площи, за широко обществено ползване, предназначени за трайно задоволяване на обществени потребности от общинско значение за един кандидат не може да надхвърля левовата равностойност на 400 000 евро за един обект и 2 000 000 за периода на прилагане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общини с одобрен проект по конкретна дейност от проведен прием на заявления за подпомагане нямат възможност да кандидатства с проект за същата дейност в рамките на следващ прием на заявления по подмярката. Изискването не се прилага за проекти представляващи част от концепция за ИТИ.Изискването не се прилага и за периода на удължаване на срока на Програмата, съгласно разпоредбите на Регламент (ЕС) 2020/2220 на Европейския парламент и на Съвета от 23 декември 2020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представляващи част от концепция за ИТИ, допустими са само проекти, които са част от концепция за ИТИ, включена в окончателния списък с одобрени концепции от Регионалните съвети за развитие (РСР).</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 ще бъдат определяни и прилагани по типове инвестиции,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За инвестиции в строителство, реконструкция и/или рехабилитация на нови и съществуващи общински пътища, улици, тротоари, и съоръженията и принадлежностите към тях приоритет ще бъде даван на:</w:t>
            </w:r>
          </w:p>
          <w:p>
            <w:pPr>
              <w:numPr>
                <w:ilvl w:val="0"/>
                <w:numId w:val="24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реконструкция на инфраструктура в Северозападен район;</w:t>
            </w:r>
          </w:p>
          <w:p>
            <w:pPr>
              <w:numPr>
                <w:ilvl w:val="0"/>
                <w:numId w:val="24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реконструкция на инфраструктура, обслужваща общини с високо ниво на безработица;</w:t>
            </w:r>
          </w:p>
          <w:p>
            <w:pPr>
              <w:numPr>
                <w:ilvl w:val="0"/>
                <w:numId w:val="24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реконструкция на инфраструктура, която осигурява транспортна свързаност на населени места от селските райони до малките градове от 4-то йерархично ниво съгласно НКПР (съгласно приложен списък);</w:t>
            </w:r>
          </w:p>
          <w:p>
            <w:pPr>
              <w:numPr>
                <w:ilvl w:val="0"/>
                <w:numId w:val="24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Изграждане и/или реконструкция на инфраструктура, която осигурява директна свързаност на населено място с </w:t>
            </w:r>
            <w:r>
              <w:rPr>
                <w:rFonts w:ascii="Times New Roman" w:eastAsia="Times New Roman" w:hAnsi="Times New Roman" w:cs="Times New Roman"/>
                <w:szCs w:val="24"/>
                <w:u w:val="single"/>
              </w:rPr>
              <w:t>по-висок</w:t>
            </w:r>
            <w:r>
              <w:rPr>
                <w:rFonts w:ascii="Times New Roman" w:eastAsia="Times New Roman" w:hAnsi="Times New Roman" w:cs="Times New Roman"/>
                <w:szCs w:val="24"/>
              </w:rPr>
              <w:t xml:space="preserve"> клас пътища;</w:t>
            </w:r>
          </w:p>
          <w:p>
            <w:pPr>
              <w:numPr>
                <w:ilvl w:val="0"/>
                <w:numId w:val="24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За инвестиции в изграждане, реконструкция и/или рехабилитация на водоснабдителни системи и съоръжения в агломерации с под 2 000 е.ж. в селските райони; инвестиции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 приоритет ще бъде даван на:</w:t>
            </w:r>
          </w:p>
          <w:p>
            <w:pPr>
              <w:numPr>
                <w:ilvl w:val="0"/>
                <w:numId w:val="24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Райони с установен или прогнозиран воден стрес (засушаване или недостиг на вода) и с лошо качество на питейната вода;</w:t>
            </w:r>
          </w:p>
          <w:p>
            <w:pPr>
              <w:numPr>
                <w:ilvl w:val="0"/>
                <w:numId w:val="24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numPr>
                <w:ilvl w:val="0"/>
                <w:numId w:val="24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въвеждащи иновативни технологии или инвестиции с екологичен ефект.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За инвестиции в изграждане и/или обновяване на площи, за широко обществено ползване, предназначени за трайно задоволяване на обществени потребности от общинско значение приоритет ще бъде даван на:</w:t>
            </w:r>
          </w:p>
          <w:p>
            <w:pPr>
              <w:numPr>
                <w:ilvl w:val="0"/>
                <w:numId w:val="24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реконструкция на инфраструктура в Северозападен район;</w:t>
            </w:r>
          </w:p>
          <w:p>
            <w:pPr>
              <w:numPr>
                <w:ilvl w:val="0"/>
                <w:numId w:val="24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За инвестиции в изграждане, реконструкция, ремонт, оборудване и/или обзавеждане на социална инфраструктура за предоставяне на услуги, които не са част от процеса на деинституционализация на деца или възрастни, включително транспортни средства приоритет ще бъде даван на:</w:t>
            </w:r>
          </w:p>
          <w:p>
            <w:pPr>
              <w:numPr>
                <w:ilvl w:val="0"/>
                <w:numId w:val="24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оборудване и/или обзавеждане на инфраструктура за социални услуги за деца;</w:t>
            </w:r>
          </w:p>
          <w:p>
            <w:pPr>
              <w:numPr>
                <w:ilvl w:val="0"/>
                <w:numId w:val="24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осигуряващи недопускане на дискриминация и приобщаване на уязвими общности (в т.ч. роми), при които е налице концентрация на проблеми, създаващи риск от бедност, социално изключване и маргинализация;</w:t>
            </w:r>
          </w:p>
          <w:p>
            <w:pPr>
              <w:numPr>
                <w:ilvl w:val="0"/>
                <w:numId w:val="24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Проекти, създаващи работни места при изпълнение на допустимите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За инвестиции в реконструкция и/или ремонт на общински сгради, в които се предоставят обществени услуги, с цел подобряване на тяхната енергийна ефективност приоритет ще бъде даван на:</w:t>
            </w:r>
          </w:p>
          <w:p>
            <w:pPr>
              <w:numPr>
                <w:ilvl w:val="0"/>
                <w:numId w:val="24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Инфраструктура в Северозападен район;</w:t>
            </w:r>
          </w:p>
          <w:p>
            <w:pPr>
              <w:numPr>
                <w:ilvl w:val="0"/>
                <w:numId w:val="24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numPr>
                <w:ilvl w:val="0"/>
                <w:numId w:val="24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насочени към производство на енергия за собствено потребление от възобновяеми енергийни източници.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За инвестиции за изграждане, реконструкция, ремонт, оборудване и/или обзавеждане на спортна инфраструктура приоритет ще бъде даван на:</w:t>
            </w:r>
          </w:p>
          <w:p>
            <w:pPr>
              <w:numPr>
                <w:ilvl w:val="0"/>
                <w:numId w:val="24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оборудване и/или обзавеждане на инфраструктура в Северозападен район;</w:t>
            </w:r>
          </w:p>
          <w:p>
            <w:pPr>
              <w:numPr>
                <w:ilvl w:val="0"/>
                <w:numId w:val="24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numPr>
                <w:ilvl w:val="0"/>
                <w:numId w:val="24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Проекти, създаващи работни места при изпълнение на допустимите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За инвестиции за изграждане, реконструкция, ремонт, реставрация, закупуване на оборудване и/или обзавеждане на обекти, свързани с културния живот, вкл. мобилни такива, вкл. и дейности по вертикалната планировка и подобряване на прилежащите пространства приоритет ще бъде даван на:</w:t>
            </w:r>
          </w:p>
          <w:p>
            <w:pPr>
              <w:numPr>
                <w:ilvl w:val="0"/>
                <w:numId w:val="24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зависимост от културната и обществената значимост на обекта;</w:t>
            </w:r>
          </w:p>
          <w:p>
            <w:pPr>
              <w:numPr>
                <w:ilvl w:val="0"/>
                <w:numId w:val="25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Инфраструктура в Северозападен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За инвестиции за реконструкция, ремонт, оборудване и/или обзавеждане на общинска образователна инфраструктура с местно значение в селските райони приоритет ще бъде даван на:</w:t>
            </w:r>
          </w:p>
          <w:p>
            <w:pPr>
              <w:numPr>
                <w:ilvl w:val="0"/>
                <w:numId w:val="25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инфраструктура, приоритизирана на база Методология за приоритизиране на образователна инфраструктура, одобрена от Министъра на образованието и науката;</w:t>
            </w:r>
          </w:p>
          <w:p>
            <w:pPr>
              <w:numPr>
                <w:ilvl w:val="0"/>
                <w:numId w:val="25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проекти, които при оценката получават минимален брой точки съгласно решение на КН.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представляващи част от концепция за ИТИ, изискването на чл. 49, параграф 1 от Регламент (ЕС) № 1303/2013 за подбор на операции, ще се прилага чрез подбор на концепции за ИТИ от Регионалните съвети за развитие.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ще бъде предоставяна в съответствие с Насоките на Европейския съюз за държавната помощ в сектора на селското и горско стопанство и в селските райони за периода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общини, ЮЛНЦ и читалища се предвижда 100% финансиране в случай, че не е налично генериране на приходи. Когато се установи потенциал за генериране на приходи, размерът на финансиране се определя въз основа на анализ разходи и ползи. В случаите, когато размерът на допустимите разходи по инвестициите е в размер до 50 000 евро за един обект, който е с установен потенциал за генериране на приходи се предвижда финансиране в размер на 100%. За ВиК операторите размерът на финансирането се определя въз основа на одобрен индивидуален анализ (ползи-разходи) за съответния регион.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неподходящ избор на бенефициенти и дейности във връзка със  сложни и неясни условия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Отделните операции и бенефициенти, допустими по мерките от ПРСР са разграничени;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Осигуряване на връзка с ИСУН 2020, с цел извършване на проверки за двойно финансиране с другите ЕСИ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На електронната страница на Програмата ще се публикуват подробни указания относно начина на промяна по договорите;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4.2. Изискване на документи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4.3. Контролните процедури включват елементи за проверка за наличие на изкуствено създадени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Контролните процедури ще включват проверки за спазването на условията, за които бенефициента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7.2. Подобряване на контролните системи, въвеждане на методологии за оценка и образци на документи, доказващи социално-икономическото развитие на селския район и устойчивост на инвестицията. Ще се дефинират измерими показатели на ефекта, който инвестицията ще има върху общността в дългосрочен план и ще гарантира устойчиво продължение и развитие на дейностите, целите и резултатите от инвестицията, при спазване изискванията на Регламент 1303/2013 г.</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Mалка по размер инфраструктура е инвестиция, която се осъществява чрез дейности, подпомагани по подмярката, при която максималната стойност на допустимите разходи за един обект не надхвърля:</w:t>
            </w:r>
          </w:p>
          <w:p>
            <w:pPr>
              <w:numPr>
                <w:ilvl w:val="0"/>
                <w:numId w:val="25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3 000 000 евро при извършване на дейности, свързани със: строителство, реконструкция и/или рехабилитация на нови и съществуващи общински пътища; изграждане, реконструкция и/или рехабилитация на водоснабдителни системи и съоръжения; доизграждане (без ново строителство) на канализационна мрежа;</w:t>
            </w:r>
          </w:p>
          <w:p>
            <w:pPr>
              <w:numPr>
                <w:ilvl w:val="0"/>
                <w:numId w:val="25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2 000 000 евро при извършване на дейности, свързани с изграждане, реконструкция, ремонт, оборудване и/или обзавеждане на социална инфраструктура;</w:t>
            </w:r>
          </w:p>
          <w:p>
            <w:pPr>
              <w:numPr>
                <w:ilvl w:val="0"/>
                <w:numId w:val="25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1 000 000 евро при извършване на всички други допустими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Посочените максимални стойности на допустимите разходи за един обект не се прилагат по отношение на стойността, с която са индексирани вече одобрени за подпомагане разходи по договори с бенефициенти, съгласно приетата методика за изменение на цената на договор за обществена поръчка при инфлация.</w:t>
            </w:r>
          </w:p>
          <w:p>
            <w:pPr>
              <w:pStyle w:val="BodyText"/>
              <w:jc w:val="both"/>
              <w:rPr>
                <w:b w:val="0"/>
              </w:rPr>
            </w:pPr>
          </w:p>
        </w:tc>
      </w:tr>
    </w:tbl>
    <w:p>
      <w:pPr>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дерогация за дейностите за подмярка 7.3.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5"/>
        <w:jc w:val="left"/>
        <w:rPr>
          <w:b w:val="0"/>
        </w:rPr>
      </w:pPr>
      <w:r>
        <w:rPr>
          <w:b w:val="0"/>
        </w:rPr>
        <w:br w:type="page"/>
      </w:r>
      <w:r>
        <w:rPr>
          <w:b w:val="0"/>
        </w:rPr>
        <w:t>Подмярка 7.3. Широколентова инфраструктура, включително нейното създаване, подобрение и разширяване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53"/>
              </w:numPr>
              <w:rPr>
                <w:b w:val="0"/>
              </w:rPr>
            </w:pPr>
            <w:r>
              <w:rPr>
                <w:b w:val="0"/>
              </w:rPr>
              <w:t xml:space="preserve">7.3 — подкрепа за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Една от водещите инициативи на Европа 2020 - Цифровата програма на Европа (ЦПЕ), е свързана пряко с решаване на проблемите в областта на информационните технологии и Интернет. Акцентът на ЦПЕ е ускоряване на развитието на високоскоростен достъп до Интернет, за да може обществото максимално да се възползва от единния цифров пазар в периода 2015 – 2020 г. През 2013 г. бе постигната целта „основен широколентов достъп за всички“, определена в DAE, чрез комбинация от фиксирани и безжични, както и спътникови технологии.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Следващите цели по отношение на широколентовите мрежи, определени в DAE за 2020 г., са 100 % покритие за достъп до интернет със скорост 30 Mbps и 50 % разпространение на услугата за свързване към интернет със скорост 100 Mbp в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Националния план за широколентова инфраструктура за достъп от следващо поколение (NGA), публикуван през 2014 г., поставя цели, които са напълно в съответствие с целите на DAE, като определя 6 приоритетни области и предвижда различни мерки за „бели”, „сиви” и „черни”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Въпреки че по-голямата част от инвестициите, необходими за постигането на тези амбициозни цели, се очаква да бъде осигурена от частни оператори, в областите, засегнати от неефективност на пазара, ще бъде необходимо публично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Инвестирането в информационни и комуникационни мрежи и услуги стана важен елемент за ефективното предоставяне на обществени услуги с добро качество, за предотвратяване на обезлюдяването и преместването на икономическа дейност, за насърчаване на социалното и икономическото развитие и за увеличаване на културното и политическото участие.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последни данни общото покритие на фиксирани широколентови линии е 95.2% от домакинствата като в селските райони то е значително под средното за ЕС (60% срещу 91%).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края на юни 2015 г., България разполага с покритие от широколентова инфраструктура за достъп от ново поколение (&gt;30Мbps) в размер на 72% от домакинствата, но достига едва 2.7% в селските райони, което е много под средното ниво за ЕС от 27.8 %.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създаването на национален офис за консултиране по проблемите на широколентовия достъп ще бъдат предоставяни съвети и информация на местното население и бизнеса относно ефективното използване на изградената широколентова инфраструктура. Също така, националният офис ще спомогне при обмяната на добри практики между създадените в страните членки офиси за консултиране по проблемите на широколентовата инфраструктура с цел подобряване на бизнес и финансовите възможности, от които може да се възползват местното население и инвеститорите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Стратегическа цел, заложена и в Стратегията за развитие на електронното управление в Република България 2014 – 2020 г. е „Предоставяне на качествени, ефективни и леснодостъпни административни услуги по електронен път за гражданите и бизнеса.” Основополагащо за постигането на тази цел е развитието на базовата инфраструктура за реализация на електронни услуги. Базова предпоставка за използване на електронни услуги от гражданите и бизнеса е реализиране на мерки за насърчаване на изграждането на широколентова инфраструктура в отдалечените и слабо населени места, като преносната инфраструктура бъде доведена в по голяма близост до потребителите. Необходимо е осигуряването на свързаност  до кметството на всяка общинска администрация, както и до сградите на публичните институции в тях (съдебна власт, прокуратура, полиция, училища, болници).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Бюджетът по подмярка 7.3 ще бъде използван основно за финансиране на пасивна широколентова инфраструктура за достъп от ново поколение, в селските райони от белите (няма  широколентова инфраструктура за достъп от ново поколение и не се планира да бъде изградена такава в следващите 3 години) и сиви зони (има само една изградена широколентова мрежа от ново поколение или се планира да бъде изградена в следващите 3 години). Целта е разходите за изграждане на пасивна широколентова инфраструктура за достъп от ново поколение да бъдат допълнително намалени като се синхронизират с други проекти за реконструкция или изграждане на пътна и друга инфраструктура, като по този начин се мултиплицира ефекта от бюджета по подмярка 7.3 и се осигури възможност за свързване на повече общини.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подмярка се предоставя безвъзмездна финансова помощ за инвестиции за 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белите и сиви зони.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в съответствие с чл. 45, параграф 6 от Регламент (ЕС) № 1305/2013, Регламент (ЕС) № 1303/2013 на Европейския парламент и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Държавна агенция "Електронно управление".</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се свеждат до: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на пасивна широколентова инфраструктура за достъп от ново поколение (напр. строителни дейности като канали, както и оптични кабели, стълбове, помещения);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 и инсталиране на агрегиращо активно оборудване (напр. предаватели, рутери и комутатори, сървъри за контрол и 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 изброените по-горе, например такси, хонорари на архитекти, инженери и консултанти, хонорари, свързани с консултации относно екологичната и икономическата устойчивост, както и разходи за организация и управление на проекта, както и разходи за персонал на кандидата, свързани с организация и управление на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Нематериални инвестиции: придобиването или развитието на компютърен софтуер и придобиването на патенти, лицензи, авторски права, търговски марки.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 „в“ не трябва да надхвърлят 12%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 Авансово плащане за възложители по ЗОП е допустимо както следва:</w:t>
            </w:r>
          </w:p>
          <w:p>
            <w:pPr>
              <w:numPr>
                <w:ilvl w:val="0"/>
                <w:numId w:val="25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w:t>
            </w:r>
          </w:p>
          <w:p>
            <w:pPr>
              <w:numPr>
                <w:ilvl w:val="0"/>
                <w:numId w:val="25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разлика до 50% от стойността на одобрената публична помощ по проекта след провеждане на всички процедури и сключване на договор за избор на изпълнител/и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са допустими в случаите, когато не подлежат на възстановяване в съответствие с националното законодателство в областта на ДДС.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разходи, свързани с предоставянето на услугите са недопустими за подпомагане по подмярката.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трябва да се използват от населението на селските райони на Република България; да осигурят широколентов достъп от следващо поколение, съответно високоскоростна интернет свързаност в белите и сиви зони в населените места. Дейностите не трябва да отговарят на дефиницията за дребна по мащаби инфраструктура; Инвестициите са допустими за подпомагане, когато предвидените дейности ще се изпълняват в съответствие с общинския план за развитие на съответната община, а ако съществува стратегия за местно развитие, ще са съгласувани и с нея. Предвидените дейности се изпълняват в съответствие с Националната стратегия за развитие на широколентовия достъп и Националния план за широколентова инфраструктура за достъп от следващо поколение. Дейностите са допустими за подпомагане, ако те няма да имат отрицателно въздействие върху околната среда, включително и върху защитените зони по смисъла на Закона за опазване на околната среда и Закона за биологичното разнообразие.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по изграждане на широколентова инфраструктура в селските райони през периода 2014-2020 ще се финансират само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са допустими за подпомагане, ако са придружени с анализ на разходите и  ползите.</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прилагането на дейностите по изграждане на широколентова инфраструктура в селските райони ще се стимулира:</w:t>
            </w:r>
          </w:p>
          <w:p>
            <w:pPr>
              <w:numPr>
                <w:ilvl w:val="0"/>
                <w:numId w:val="25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изграждането на инфраструктура в белите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допълняемостта с други инфраструктурни проекти в съответствие със Закона за електронните съобщителни мрежи и физическа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прилагането на решения за съвместно ползване на инфраструктура с цел намаляване на разходите за разгръщане на инфраструктурата за широколентов достъп от следващо поколение;</w:t>
            </w:r>
          </w:p>
          <w:p>
            <w:pPr>
              <w:numPr>
                <w:ilvl w:val="0"/>
                <w:numId w:val="25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покриването на по-голям брой население, което ще се възползва от допустимите дейности;</w:t>
            </w:r>
          </w:p>
          <w:p>
            <w:pPr>
              <w:numPr>
                <w:ilvl w:val="0"/>
                <w:numId w:val="25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свързаност с общинския център;</w:t>
            </w:r>
          </w:p>
          <w:p>
            <w:pPr>
              <w:numPr>
                <w:ilvl w:val="0"/>
                <w:numId w:val="25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включването на дейности, свързани с широколентов достъп от следващо поколение в общинските планове за развитие;</w:t>
            </w:r>
          </w:p>
          <w:p>
            <w:pPr>
              <w:numPr>
                <w:ilvl w:val="0"/>
                <w:numId w:val="25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иновативни технически решения.</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ще бъде предоставяна в съответствие с Насоки на ЕС относно прилагането на правилата за държавна помощ във връзка с разполагане на високоскоростни широколентови мрежи (2013/C 25/01) и Регламент (ЕС) № 651/2014 на Комисията от 17 юни 2014 година за обявяване на някои категории помощи за съвместими с вътрешния пазар в приложение на членове 107 и 108 от Договора.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дейности за създаване на широколентова инфраструктура ще се определя въз основа на анализ Разходи-ползи по методология в съответствие с разпоредбите на чл. 61 от Регламент (ЕС) № 1303/2013 от 17 декември 2013 година.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Основен риск по подмярката са процедурите по ЗОП. Сложността на този процес може да доведе до допускането на грешки от страна на бенефициента и до забавянето на изпълнението на дейностите.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оглед установената на национално ниво необходимост от съществено подобрение на системата в областта на обществените поръчки и предвид предстоящото разработване на изцяло нов ЗОП, в началото на м. юли 2014 г. бе приета Национална стратегия за развитите на сектора обществени поръчки за периода 2014 - 2020 г. и план за нейното изпълнение. В тях се съдържат отговорите на повечето установени проблеми при прилагането на подмярката през периода 2007 - 2013 г. свързани с намаляването на процента на грешките допускани при провеждането на обществените поръчки от възложителите, необходимостта от провеждането на задължителни обучения за възложителите и органите осъществяващи контрол съгласно ЗОП и разнопосочни тълкувания на еднакви казуси от органите осъществяващи контрол в областта на обществените поръчки. С въвеждането в националното законодателство на заложените мерки в стратегическите документи в областта на обществените, което е обвързано с одобреното споразумението за партньорство ще се постигне и очаквания осезаем ефект на подобрение на отношенията в областта на обществените поръчки и значително намаляване на грешките допускани от възложителите и контролните органи при прилагането на подмярката през периода 2007 –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да се подобри прилагането на подмярката, като дългосрочна мярка която ще се прилага през целия период на изпълнение на подмярката се предвижда при въвеждането на мерките заложени в стратегическите документи в областта на обществените поръчки в ЗОП да се предприемат незабавно мерки за въвеждането им и в наредбата, с която ще се регламентират условията и реда за предоставяне на помощта по подмярката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Като краткосрочни мерки, които ще бъдат предприети за подобряване на прилагането на подмярката е провеждането на обучения в областта на прилагането на ЗОП. Те ще  бъдат планирани така че да обхванат максимален брой лица и да се установи базово приемливо ниво на компетентност сред цялата целева група (в случая лица, отговорни за провеждането на контрола). РА ще представя при изготвянето и всяка промяна на контролните листове свързани с осъществяване на контрола в областта на обществените поръчки на АОП, която в рамките на своите компетентности, ще изразява становище за пълнотата и обективността на предвидените проверки. Чрез изпълнението на мярката ще се повлияе вероятността от грешки, базирани на различен подход при различните органи, вкл. ще се установи среда на информираност и взаимодействие между РА и АОП, като лица, ангажирани с предварителния контрол. Изготвени са указания към бенефициентите по ПРСР за прилагане на ЗОП, които са съгласувани между отговорните институции – АОП, АДФИ и СП, които отразяват направените констатации от одиторите на ЕК., с цел превенция и удачното им консултиране. По този начин ще се намали съществено възможността от последващи административнонаказателни санкции и финансови корекции. РА ще осъществява предварителен и последващ контрол върху процедурите за провеждане на обществените поръчки.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Разплащателната агенция ще разработи указания до бенефициента, относно изискванията към критериите за оценка по процедурите по ЗОП. Контролът по подмярката ще се извършва чрез проверки. Проверките ще включват системни административни проверки на всички заявления за финансова помощ и ще се допълва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контролни системи, методологии за оценка и образци на документи доказващи социално-икономическото развитие на селския район и устойчивост на дейността. Необходимо да се дефинират измерими показатели на ефекта, който дейността ще има върху общността в дългосрочен план и ще гарантира устойчиво продължение и развитие на дейностите, целите и резултатите от тях, при спазване изискванията на Регламент 1303/2013 г.</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Като цяло подмярката е с ниска степен на риск, като най-съществен е риска от забавяне на изпълнението поради по-бавния процес на провеждане на обществени поръчки.</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проект/проекти, включващи дейности за 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белите и сиви зони е в размер до левовата равностойност на 30 000 000 евро.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5"/>
        <w:jc w:val="left"/>
        <w:rPr>
          <w:b w:val="0"/>
        </w:rPr>
      </w:pPr>
      <w:r>
        <w:rPr>
          <w:b w:val="0"/>
        </w:rPr>
        <w:br w:type="page"/>
      </w:r>
      <w:r>
        <w:rPr>
          <w:b w:val="0"/>
        </w:rPr>
        <w:t>Подмярка 7.6. Проучвания и инвестиции, свързани с поддържане, възстановяване и  на културното и природното наследство на селата.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57"/>
              </w:numPr>
              <w:rPr>
                <w:b w:val="0"/>
              </w:rPr>
            </w:pPr>
            <w:r>
              <w:rPr>
                <w:b w:val="0"/>
              </w:rPr>
              <w:t>7.6 - подпомагане за проучвания и инвестиции, свързани с поддържане, възстановяване и подобряване на културното и природното наследство на села, ландшафта в селски райони и обекти с висока природна стойност, включително съответните социално-икономически аспекти, както и действия за повишаване на информираността по екологични въпроси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Запазването на духовния и културния живот на населението е от важно значение за развитието на селските райони. Културно-историческото развитие на България обуславя богато културно наследство, което се запазва и съхранява в различни обекти с религиозно значение, църкви, храмове и манастири. Предвидените по подмярката интервенции в този вид инфраструктура ще позволят да се запази културната идентичност и традиции в селските райони и да се повиши качеството на живот на хората, живеещи в тях.</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подмярка се предоставя безвъзмездна финансова помощ за дейности за възстановяване, реставрация, ремонт и/или реконструкция на сгради с религиозно значение, в това число и дейности по вертикалната планировка и подобряване на прилежащите пространства.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в съответствие с чл. 45, параграф 6 от Регламент (ЕС) № 1305/2013, Регламент (ЕС) № 1303/2013.</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 поделения на вероизповеданията.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се свеждат до: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Подобренията на недвижимо имущество;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обзавеждане до пазарната цена на актива;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 изброените по-горе, например хонорари на архитекти, инженери и консултанти, хонорари, свързани с консултации относно екологичната и икономическата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Нематериални инвестиции: придобиването или развитието на компютърен софтуер и придобиването на патенти, лицензи, авторски права, търговски марки.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 „в“ не трябва да надхвърлят 12%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разходи, свързани с предоставянето на услугите са недопустими за подпомагане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различни от посочените в т. „б“, свързани с договора за лизинг, например марж на лизингодателя, разходи за рефинансиране на лихви, административни разходи и разходи за застраховка са недопустими за подпомагане по подмярката.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трябва да се изпълняват на територията на селските райони на Република България; да отговарят на дефиницията за дребна по мащаби инфраструктура;  да се изпълняват в съответствие с общинския план за развитие на съответната община, а ако съществува стратегия за местно развитие, да са съгласувани и с нея; да нямат отрицателно въздействие върху околната среда по смисъла на ЗООС; да отговарят на изискванията на заповедите за определянето на местата по Натура 2000 и плановете за тяхното управление а когато няма издадени заповеди за определяне на местата по Натура 2000 инвестицията да е съгласувана с МОСВ, ЗЗТ,  ЗБР и съответните им подзаконови нормативни актове за тяхното прилагане; дейностите да се изпълняват съгласно с препоръките от извършените оценки, както и условията и мерките в съответния административен акт на компетентния орган съгласно ЗООС, ЗЗТ и ЗБР и съответните им подзаконови нормативни актове за тяхното прилагане (когато е приложимо); ако дейностите се извършват на терени, които подлежат на рекултивация съгласно чл. 11, ал. 1 от ЗОЗЗ да се представи проект за рекултивация на нарушени терени или залесяване на териториите с подходящи растителни видове, когато националното законодателство изисква да се приложат тези мерки;; ако съдържат аргументация за устойчивостта на инвестицията; дейността да не надхвърля левовата равностойност на 400 000 евро и финансовата помощ за един кандидат да не надхвърля левовата равностойност на 1 000 000 евро за периода на прилагане на ПРСР. Бенефициентът - местно поделение на вероизповедание трябва да е регистриран като юридическо лице, съгласно чл. 20 на Закона за вероизповеданията или е признат за юридическо лице по силата на чл. 10 от същия закон.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допустими за подпомагане по подмярката дейности в курортни комплекси и населени места по черноморското крайбрежие и в планинските курорти с развит масов туризъм. Населените места с развит масов туризъм и курортните комплекси са посочени в Приложение № 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критериите за подбор приоритет ще бъде даван на:</w:t>
            </w:r>
          </w:p>
          <w:p>
            <w:pPr>
              <w:numPr>
                <w:ilvl w:val="0"/>
                <w:numId w:val="25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допустимите дейности;</w:t>
            </w:r>
          </w:p>
          <w:p>
            <w:pPr>
              <w:numPr>
                <w:ilvl w:val="0"/>
                <w:numId w:val="25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според културната и обществената значимост на обекта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проекти, които при оценката получават минимален брой точки съгласно решение на КН.</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бенефициенти местни поделения на вероизповеданията, в случай, че не е налично генериране на приходи финансовата помощ за дейностите по подмярката е в размер на 100% от общия размер на допустимите за финансово подпомагане разходи и 75%, когато се установи потенциал за генериране на приходи.</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неподходящ избор на бенефициенти и дейности във връзка със  сложни и неясни условия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Отделните операции и бенефициенти, допустими по мерките от ПРСР са разграничени;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Осигуряване на връзка с ИСУН 2020, с цел извършване на проверки за двойно финансиране с другите ЕСИ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На електронната страница на Програмата ще се публикуват подробни указания относно начина на промяна по договорите;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4.2. Изискване на документи в нормативната уредба</w:t>
            </w:r>
            <w:r>
              <w:rPr>
                <w:rFonts w:ascii="Times New Roman" w:eastAsia="Times New Roman" w:hAnsi="Times New Roman" w:cs="Times New Roman"/>
                <w:b/>
                <w:bCs/>
                <w:szCs w:val="24"/>
                <w:u w:val="single"/>
              </w:rPr>
              <w:t xml:space="preserve"> 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4.3. Контролните процедури включват елементи за проверка за наличие на изкуствено създадени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Контролните процедури ще включват проверки за спазването на условията, за които бенефициента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6.1.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6.2. Подобряване на контролните системи, въвеждане на методологии за оценка и образци на документи, доказващи устойчивост на инвестицията;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6.3. Отделните операции и бенефициенти, допустими по мерките от ПРСР са разграничени, като ясно са определени недопустимите за подпомагане по под-мярката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подобри прилагането на мярката, като дългосрочна мярка която ще се прилага през целия период на изпълнение на мярката се предвижда при въвеждането на мерките заложени в стратегическите документи в областта на обществените поръчки в ЗОП да се предприемат незабавно мерки за въвеждането им и в наредбата, с която ще се регламентират условията и реда за предоставяне на помощта по мярката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Mалка по размер инфраструктура е инвестиция, която се осъществява чрез дейности подпомагани по подмярката при която максималната стойност на допустимите разходи за един обект не надхвърля:</w:t>
            </w:r>
          </w:p>
          <w:p>
            <w:pPr>
              <w:numPr>
                <w:ilvl w:val="0"/>
                <w:numId w:val="25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3 000 000 евро при извършване на дейности, свързани със: строителство, реконструкция и/или рехабилитация на нови и съществуващи общински пътища; изграждане, реконструкция и/или рехабилитация на водоснабдителни системи и съоръжения; доизграждане (без ново строителство) на канализационна мрежа;</w:t>
            </w:r>
          </w:p>
          <w:p>
            <w:pPr>
              <w:numPr>
                <w:ilvl w:val="0"/>
                <w:numId w:val="25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2 000 000 евро при извършване на дейности, свързани с изграждане, реконструкция, ремонт, оборудване и/или обзавеждане на социална инфраструктура;</w:t>
            </w:r>
          </w:p>
          <w:p>
            <w:pPr>
              <w:numPr>
                <w:ilvl w:val="0"/>
                <w:numId w:val="25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1 000 000 евро при извършване на всички други допустими дейности.</w:t>
            </w:r>
          </w:p>
          <w:p>
            <w:pPr>
              <w:pStyle w:val="BodyText"/>
              <w:jc w:val="both"/>
              <w:rPr>
                <w:b w:val="0"/>
              </w:rPr>
            </w:pPr>
          </w:p>
        </w:tc>
      </w:tr>
    </w:tbl>
    <w:p>
      <w:pPr>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дерогация за дейностите за подмярка 7.3.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основните идентифицирани проблеми по мерки 321 „Основни услуги за населението и икономиката в селските райони“ и 322 „Обновяване и развитие на населените места“ са свързани с:</w:t>
            </w:r>
          </w:p>
          <w:p>
            <w:pPr>
              <w:numPr>
                <w:ilvl w:val="0"/>
                <w:numId w:val="26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Процедурите по ЗОП, които трябва да провеждат публичните бенефициенти. Сложността на този процес доведе до допускането на грешки от страна на бенефициентите и до забавянето на изпълнението на проектите;</w:t>
            </w:r>
          </w:p>
          <w:p>
            <w:pPr>
              <w:numPr>
                <w:ilvl w:val="0"/>
                <w:numId w:val="2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Ранното предоставяне на авансови плащания;</w:t>
            </w:r>
          </w:p>
          <w:p>
            <w:pPr>
              <w:numPr>
                <w:ilvl w:val="0"/>
                <w:numId w:val="26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оглед установената на национално ниво необходимост от съществено подобрение на системата в областта на обществените поръчки и предвид предстоящото разработване на изцяло нов ЗОП, в началото на м. юли 2014 г. бе приета Национална стратегия за развитите на сектора обществени поръчки за периода 2014 - 2020 г. и план за нейното изпълнение. В тях се съдържат отговорите на повечето установени проблеми при прилагането на мярката през периода 2007 - 2013 г. свързани с намаляването на процента на грешките допускани при провеждането на обществените поръчки от възложителите, необходимостта от провеждането на задължителни обучения за възложителите и органите осъществяващи контрол съгласно ЗОП и разнопосочни тълкувания на еднакви казуси от органите осъществяващи контрол в областта на обществените поръчки. С въвеждането в националното законодателство на заложените мерки в стратегическите документи в областта на обществените, което е обвързано с одобреното споразумението за партньорство ще се постигне и очаквания осезаем ефект на подобрение на отношенията в областта на обществените поръчки и значително намаляване на грешките допускани от възложителите и контролните органи при прилагането на мярката през периода 2007 –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подобри прилагането на мярката, като дългосрочна мярка която ще се прилага през целия период на изпълнение на мярката се предвижда при въвеждането на мерките заложени в стратегическите документи в областта на обществените поръчки в ЗОП да се предприемат незабавно мерки за въвеждането им и в наредбата, с която ще се регламентират условията и реда за предоставяне на помощта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Като краткосрочни мерки, които ще бъдат предприети за подобряване на прилагането на мярката е провеждането на обучения в областта на прилагането на ЗОП. Те ще  бъдат планирани така че да обхванат максимален брой лица и да се установи базово приемливо ниво на компетентност сред цялата целева група (в случая лица, отговорни за провеждането на контрола). РА ще представя при изготвянето и всяка промяна на контролните листове свързани с осъществяване на контрола в областта на обществените поръчки на АОП, която в рамките на своите компетентности, ще изразява становище за пълнотата и обективността на предвидените проверки. Чрез изпълнението на мярката ще се повлияе вероятността от грешки, базирани на различен подход при различните органи, вкл. ще се установи среда на информираност и взаимодействие между РА и АОП, като лица, ангажирани с предварителния контрол. Изготвени са указания към бенефициентите по ПРСР за прилагане на ЗОП, които са съгласувани между отговорните институции – АОП, АДФИ и СП, които отразяват направените констатации от одиторите на ЕК., с цел превенция и удачното им консултиране. По този начин ще се намали съществено възможността от последващи административнонаказателни санкции и финансови корекции. РА ще осъществява предварителен и последващ контрол върху процедурите за провеждане на обществените поръчки.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е предвидено, че за проекти, по които бенефициентите са възложители по ЗОП, авансовото плащане е допустимо както следва:</w:t>
            </w:r>
          </w:p>
          <w:p>
            <w:pPr>
              <w:numPr>
                <w:ilvl w:val="0"/>
                <w:numId w:val="26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w:t>
            </w:r>
          </w:p>
          <w:p>
            <w:pPr>
              <w:numPr>
                <w:ilvl w:val="0"/>
                <w:numId w:val="26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разлика до 50% от стойността на одобрената публична помощ по проекта след провеждане на всички процедури и сключване на договор за избор на изпълнител/и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бъдат предприети мерки за подобряване на прилагането на мярката в рамките на програмния период 2014-2020 г. и намаляване на процента на грешки. Ще бъдат създадени ясни и прозрачни критерии за подбор на бенефициентите. Ще се финансират проекти, които при оценката получават минимален брой точки съгласно решение на КН. Контролът по мярката ще се извършва чрез проверки. Проверките ще включват системни административни проверки на всички заявления за финансова помощ и ще се допълва от проверки на място.</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насочва към равностойно отношение към бенефициентите, по-добро използване на финансовия ресурс и насочване на подкрепата съгласно приоритетите на ЕС за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Анализът, извършен от УО и РА въз основа на опита в периода 2007-2013 г., довежда до извода, че дизайна на мярката е усъвършенстван и ще се подобрят процедурите за работа от УО и РА, така че финансовият интерес на ЕС да бъде защитен.</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мярката.</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Mалка по размер инфраструктура е инвестиция, която се осъществява чрез дейности подпомагани по подмярката при която максималната стойност на допустимите разходи за един обект не надхвърля:</w:t>
            </w:r>
          </w:p>
          <w:p>
            <w:pPr>
              <w:numPr>
                <w:ilvl w:val="0"/>
                <w:numId w:val="26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3 000 000 евро при извършване на дейности, свързани със: строителство, реконструкция и/или рехабилитация на нови и съществуващи общински пътища; изграждане, реконструкция и/или рехабилитация на водоснабдителни системи и съоръжения; доизграждане (без ново строителство) на канализационна мрежа;</w:t>
            </w:r>
          </w:p>
          <w:p>
            <w:pPr>
              <w:numPr>
                <w:ilvl w:val="0"/>
                <w:numId w:val="26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2 000 000 евро при извършване на дейности, свързани с изграждане, реконструкция, ремонт, оборудване и/или обзавеждане на социална инфраструктура;</w:t>
            </w:r>
          </w:p>
          <w:p>
            <w:pPr>
              <w:numPr>
                <w:ilvl w:val="0"/>
                <w:numId w:val="26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1 000 000 евро при извършване на всички други допустими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Посочените максимални стойности на допустимите разходи за един обект не се прилагат по отношение на стойността, с която са индексирани вече одобрени за подпомагане разходи по договори с бенефициенти, съгласно приетата методика за изменение на цената на договор за обществена поръчка при инфлация.</w:t>
            </w:r>
          </w:p>
          <w:p>
            <w:pPr>
              <w:pStyle w:val="BodyText"/>
              <w:jc w:val="both"/>
              <w:rPr>
                <w:b w:val="0"/>
              </w:rPr>
            </w:pPr>
          </w:p>
        </w:tc>
      </w:tr>
    </w:tbl>
    <w:p>
      <w:pPr>
        <w:spacing w:after="100"/>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дерогация за дейности за подмярка 7.3.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w:t>
            </w:r>
          </w:p>
          <w:p>
            <w:pPr>
              <w:pStyle w:val="BodyText"/>
              <w:spacing w:after="100"/>
              <w:jc w:val="both"/>
              <w:rPr>
                <w:b w:val="0"/>
              </w:rPr>
            </w:pPr>
          </w:p>
        </w:tc>
      </w:tr>
    </w:tbl>
    <w:p>
      <w:pPr>
        <w:spacing w:after="100"/>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мярката.</w:t>
            </w:r>
          </w:p>
          <w:p>
            <w:pPr>
              <w:pStyle w:val="BodyText"/>
              <w:spacing w:after="100"/>
              <w:jc w:val="both"/>
              <w:rPr>
                <w:b w:val="0"/>
              </w:rPr>
            </w:pPr>
          </w:p>
        </w:tc>
      </w:tr>
    </w:tbl>
    <w:p>
      <w:pPr>
        <w:spacing w:after="100"/>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spacing w:after="100"/>
              <w:jc w:val="both"/>
              <w:rPr>
                <w:b w:val="0"/>
              </w:rPr>
            </w:pPr>
          </w:p>
        </w:tc>
      </w:tr>
    </w:tbl>
    <w:p>
      <w:pPr>
        <w:spacing w:after="100"/>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мярката.</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с Оперативна програма „Региони в растеж“ е по секторен и териториален признак. Мярка 7 от ПРСР ще се прилага на територията на 232 общини в селските райони, с изключение на дейности допустими за подпомагане по ОПРР в населените места, които са определени като допустими за подпомагане по ОПРР.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ОПРР ще подкрепя първи, втори и трети клас републикански пътища, осигуряващи директен достъп до TEN-T мрежа. ПРСР ще подпомага общински пътища. ОПРР съобразно изведените приоритети в Националната здравната стратегия на България за периода 2014 - 2020 г. ще финансира мерки за подобряване на системата на спешната медицинска помощ, включително и инфраструктурни мерки и доставка на оборудване за центрове за спешна медицинска помощ и техните филиали, спешни отделения, като и спешни отделения, като част от спешни болнични комплекси на територията на цялата страна включително и в селските райони. ПРСР няма да финансира подобни дейности. ОПРР ще подкрепя обекти на  образователната  инфраструктура от регионално и национално значение на цялата територия на страната и по-конкретно професионални, специални, помощни, спортни училища, училища по изкуство и култура, както и висши училища, приоритизирани от МОН. ПРСР ще финансира общинска образователна инфраструктура с местно значение в селските райони, включително и професионалните гимназии по § 10 от Преходните и заключителни разпоредби на Закона за предучилищното и училищно образование, които не са допустими за подпомагане по приоритетна Ос 3 „Регионална образователна инфраструктура“ на ОП „Региони в растеж“ по процедура BG16RFOP001-3.002 „Подкрепа за професионалните училища в Република България“. </w:t>
            </w:r>
            <w:r>
              <w:rPr>
                <w:rFonts w:ascii="Times New Roman" w:eastAsia="Times New Roman" w:hAnsi="Times New Roman" w:cs="Times New Roman"/>
                <w:i/>
                <w:iCs/>
                <w:szCs w:val="24"/>
              </w:rPr>
              <w:t>В допълнение ОПРР ще финансира инфраструктурни мерки за опазване, популяризиране и развитие на културното наследство на територията на цялата страна чрез подкрепа за културни обекти от национално и световно значение. ПРСР няма да подпомага дейности свързани с опазването, популяризирането и развитието на културното наследство от национално и световно значение, подпомогнати от ОПРР</w:t>
            </w:r>
            <w:r>
              <w:rPr>
                <w:rFonts w:ascii="Times New Roman" w:eastAsia="Times New Roman" w:hAnsi="Times New Roman" w:cs="Times New Roman"/>
                <w:szCs w:val="24"/>
              </w:rPr>
              <w:t>. ПРСР няма да подпомага дейности свързани с опазването, популяризирането и развитието на културното наследство от национално и световно значение. По ОПРР ще се финансират инфраструктурни мерки за деинституционализация на социалните услуги за деца и възрастни хора. По мярка 7 няма да се финансира социална инфраструктура свързана с деинституционализация на деца и възрастни хора.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с Оперативна програма „Околна среда“ за дейности във ВиК системи съоръжения и мрежи е по броя на е.ж. в населеното място. ПРСР ще подкрепя дейности за изграждане, реконструкция и рехабилитация на водоснабдителни системи и съоръжения само в агломерации с под 2 000 е.ж от селските райони, както и дейности за доизграждане, без ново строителство на канализационна мрежа в агломерации с под 2000 е.ж. в селските райони при условие, че има осигурено пречистване на отпадни води и за изграждане на ПСОВ само в агломерации с под 2 000 е.ж. в селските райони, където е налице висока степен на изграденост на канализационна мрежа. ОПОС ще финансира инвестиции за ВиК в агломерации с над 10 000 е.ж. извън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на мярка 7 с Оперативна програма „Иновации и конкурентоспособност“ (ОПИК) е на териториален признак, бенефициент и дейност. ОПИК ще предоставя подкрепа в полза на МСП чрез институционална подкрепа за създаване и функциониране на организации за управление на туристическите райони и няма да подкрепя туристическа инфраструктура в обхвата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Оперативна програма „Транспорт“ финансира пътни проекти от TEN-T мрежа. ПРСР ще подпомага само общински пътища.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Оперативна програма „Развитие на човешките ресурси“ (ОПРЧР) осигурява допълващо финансиране със средства от ЕСФ на „меки мерки“ за финансиране на дейности в социална инфраструктура по мярка 7 от ПРСР. В тези случаи по ОПРЧР ще се финансира предоставянето на услуги в обновената социална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Оперативна програма „Наука и образование за интелигентен растеж“ (ОПНОИР) няма да се финансира образователна инфраструктура с местно значение в селските райони, а ще финансира оборудване, пряко свързано с провеждане на обучителните дейности по проектите в нейния обхват. По мярка 7 няма да се финансират оборудването, подпомагано по ОПНОИР и ще се извършва проверка за двойно финансиране. По ПРСР няма да се финансира и инвестиции за създаване на ИКТ в образователна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Оперативна програма „Морско дело и рибарство“ (ОПМДР). Не се предвижда инвестиционно и териториално припокриване между ОПМДР и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необходимост ще бъдат съставяни междуведомствени работни групи, които ще координират процесите по демаркация, допълняемост, проверка за наличие на двойно финансиране и обмен на информация между програмите, с които е необходимо да се осигури разграничение с мярка 7 във всички фази на проектния цикъл.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4" w:name="_Toc256000124"/>
      <w:r>
        <w:rPr>
          <w:b w:val="0"/>
        </w:rPr>
        <w:t>М08 — Инвестиции в развитие на горските райони и подобряване на жизнеспособността на горите (членове 21 — 26)</w:t>
      </w:r>
      <w:bookmarkEnd w:id="124"/>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21-26 от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32, 34, 35и 41 от Регламент (ЕС) №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Българските власти гарантират, че ще бъдат спазени изискванията на Регламент (ЕС) № 702/2014 и  помощ по тази мярка няма да се предоставя преди Европейската комисия да е одобрила Програма за развитие на селските райони.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Стопанисването на горите е неразделна част от политиката за развитие на селските райони на ЕС, допринасящо за постигането на някои от най-ключовите социални, икономически и екологични цели на политиката. То не е обхванато от членовете за селското стопанство и горите на Договора за функционирането на Европейския съюз. Горите са важна част от природните ресурси и управлението на тези ресурси е една от целите на политиката за развитие на селските райони. В Регламент (ЕС) № 1305/2013 за развитието на селските райони (член 5 (2)), "устойчиво управление на горите" е споменато като един от приоритетите на Съюза за развитието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Горите в България имат важно значение за развитието на селските общини, особено в планинските райони. Те са база за развитие на дърводобивната и дървообработващата промишленост, но имат и важни екологични функции като съхранението и поддържането на въглерода в селското и горското стопанство, ограничаване на водната ерозия, опазване на биоразнообразието, осигуряване на биомаса за производство на енергия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подмерки допринасят пряко за постигане на целите на приоритетна област 4 и приоритетна област 5Д. Прилагането на под-мярка 8.6 допринася и за подобряване конкурентоспособността на фирмите работещи в горите и преработвателите на горски продукти (2В) Допълнителен принос ще има и по приоритет 6А.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Създаването на нови гори и прилагането на устойчивите практики за стопанисването на съществуващите гори ще допринесат за съхранението и поглъщането на въглерода в селското и горското стопанство и намаляване на емисиите от тези сектори. Предотвратяването на горските пожари и бедствия и инвестициите, свързани с повишаване на екологичната стойност на горите, са от съществено значение за опазване на биоразнообразието в тях. Има нужда от специфични мерки, които да гарантират задоволяването с храни, в бъдеще да подпомагат ефективността от производството като в същото време се опазва околната среда.  Изграждането и поддържането на полезащитни пояси в земеделските земи и залесяването на ерозирали и застрашени от ерозия изоставени земеделски земи ще допринесе за предотвратяване на ерозията на почвите. Горите са един от основните източници на биомаса и затова мярката предвижда инвестициите за използването на нови технологии за оползотворяване на остатъците и отпадъците за производството на енергия, които да допринесат за изпълнение на поетия от България ангажимент да увеличи дела на енергията от възобновяеми енергийни източници до 16%. до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се състои от пет подмерки: Залесяване и поддръжка; Предотвратяване на щети по горите от горски пожари, природни бедствия и катастрофични събития; Възстановяване на щети по горите от горски пожари, природни бедствия и катастрофични събития; Инвестиции, подобряващи устойчивостта и екологичната стойност на горските екосистеми; Инвестиции в технологии за лесовъдство и в преработката, мобилизирането и търговията на горски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8.1. Залесяване и поддръжка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64"/>
              </w:numPr>
              <w:rPr>
                <w:b w:val="0"/>
              </w:rPr>
            </w:pPr>
            <w:r>
              <w:rPr>
                <w:b w:val="0"/>
              </w:rPr>
              <w:t>8.1 - подпомагане за залесяване и създаване на горски масиви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Залесяването ще стимулира поглъщането и съхраняването на въглерода и опазване на почвите от ерозия. Чрез увеличаването на лесистостта  се увеличават териториите, за които е доказано, че най-добре поглъщат и съхраняват въглерода -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Промените на климата могат да предизвикат намаление на производството, ограничаване на водните ресурси, разпространение на болести по животните и растенията, които са нетипични за даден регион и др.  Ето защо политиката за опзване на околната среда сама по себе си не е в състояние да даде отговор на адаптирането към промените на климата. Такива мерки могат да бъдат залесяване на изоставени земеделски земи, горски територии, ерозирали и застрашени от ерозия територии извън горските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Залесяването на неземеделски земи също допринася за защита на териториите от природни бедствия и пожари, както и допринася за адаптирането към промените в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на Делегиран регламент (ЕС) № 807/2014 на Комисията по избора на дървесни видове за залесяване, се покриват посредсдством технологичния план за залесяване.  Той се изготвя от лицензиран лесовъд и съдържа насоката и целта на залесяването;  подходящият посадъчен или посевен материал по вид, количество, качество и произход; видът и начинът на почвоподготовка;  схемата и гъстотата на културата;  начинът и сезонът на залесяване. Технологичният план за залесяване се основава на „Класификационната схема на типовете месторастения в Република България”. Тя е разработена на база горскорастително райониране на страната и отразява различията в релеф, изложение, наклон, надморска височина, почвени, климатични и екологични характеристики на терена. В България са установени и картирани 135 типа месторастения. За залесяване се използват подходящи за съответния тип и условия на месторастене дървесни и храстови видове, като с предимство се ползват местни видове.</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горите и свързаните с него подзаконови актове.</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6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Физически лица,  еднолични търговци и местни поделения на вероизповеданията, собственици на земеделски и неземеделски земи;</w:t>
            </w:r>
          </w:p>
          <w:p>
            <w:pPr>
              <w:numPr>
                <w:ilvl w:val="0"/>
                <w:numId w:val="26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собственици на земеделски и неземеделски земи;</w:t>
            </w:r>
          </w:p>
          <w:p>
            <w:pPr>
              <w:numPr>
                <w:ilvl w:val="0"/>
                <w:numId w:val="26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собственици на земеделски и неземеделски земи.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6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 инвестиции:</w:t>
            </w:r>
          </w:p>
          <w:p>
            <w:pPr>
              <w:numPr>
                <w:ilvl w:val="0"/>
                <w:numId w:val="267"/>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Почвоподготовка;</w:t>
            </w:r>
          </w:p>
          <w:p>
            <w:pPr>
              <w:numPr>
                <w:ilvl w:val="0"/>
                <w:numId w:val="26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залесителен материал;</w:t>
            </w:r>
          </w:p>
          <w:p>
            <w:pPr>
              <w:numPr>
                <w:ilvl w:val="0"/>
                <w:numId w:val="26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Транспорт и временно съхранение на залесителния материал;</w:t>
            </w:r>
          </w:p>
          <w:p>
            <w:pPr>
              <w:numPr>
                <w:ilvl w:val="0"/>
                <w:numId w:val="26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труд при залесяване;</w:t>
            </w:r>
          </w:p>
          <w:p>
            <w:pPr>
              <w:numPr>
                <w:ilvl w:val="0"/>
                <w:numId w:val="26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Третиране на фиданките с необходимите предпазни и защитни материали (например, заразяване с мицел или азот фиксираща бактерия, осъществено индивидуално или чрез ограждане на залесената площ);</w:t>
            </w:r>
          </w:p>
          <w:p>
            <w:pPr>
              <w:numPr>
                <w:ilvl w:val="0"/>
                <w:numId w:val="26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Ограждане на залесената територия (където това е необходимо);</w:t>
            </w:r>
          </w:p>
          <w:p>
            <w:pPr>
              <w:numPr>
                <w:ilvl w:val="0"/>
                <w:numId w:val="26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 (презасяване или презасаждане);</w:t>
            </w:r>
          </w:p>
          <w:p>
            <w:pPr>
              <w:numPr>
                <w:ilvl w:val="0"/>
                <w:numId w:val="26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Годишна премия за хектар, която покрива разходите за пропуснатите земеделски доходи и за поддръжка, включително ранни и късни прочиствания, и се изплаща в продължение на максимален срок от 12 години от датата на предоставянето ѝ;</w:t>
            </w:r>
          </w:p>
          <w:p>
            <w:pPr>
              <w:numPr>
                <w:ilvl w:val="0"/>
                <w:numId w:val="26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Превантивни действия срещу дивеч, пасящи животни, вредители и болести, за да се осигурят дългосрочни резултати и да се избегне проваляне на залесяването;</w:t>
            </w:r>
          </w:p>
          <w:p>
            <w:pPr>
              <w:numPr>
                <w:ilvl w:val="0"/>
                <w:numId w:val="267"/>
              </w:numPr>
              <w:spacing w:before="0" w:after="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В случаи, когато поради тежки екологични или климатични условия, не може да се очаква чрез засаждането на дървесни видове да се създаде горска покривка, бенефициентът може  да създаде и поддържа покривка от храстова растителност, като осигурява същото равнище на грижи и опазване, каквото се прилага и за горите;</w:t>
            </w:r>
          </w:p>
          <w:p>
            <w:pPr>
              <w:numPr>
                <w:ilvl w:val="0"/>
                <w:numId w:val="267"/>
              </w:numPr>
              <w:spacing w:before="0" w:after="24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земя, когато са пряко свързани с изпълнението на проекта и ненадхвърлят 10 % от общите допустими разходи по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26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Нематериални инвестиции:</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1.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2.  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numPr>
                <w:ilvl w:val="0"/>
                <w:numId w:val="26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Авансови плащания в размер до 50% от одобрената финансова помощ.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улесняване на прилагането и контрола за залесяванията по Мярка 8 се предоставя подкрепа под формата на компенсации за извършени разходи за създаване и поддръжка, базирани на стандартни разходи.Методика на изчисленията се съдържа в Приложение № 2 към Раздел 8.2 мярка 8 „Методика за определяне на национални средни стандартни цени за създаване на гори - залесителни и поддържащи дейности по ПРСР 2014-2020“</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кандидати трябва да докажат собственост на земята, която ще залесяват.</w:t>
            </w:r>
          </w:p>
          <w:p>
            <w:pPr>
              <w:numPr>
                <w:ilvl w:val="0"/>
                <w:numId w:val="2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Земята, която ще се залесява трябва да попада в район с лесистост по-малка от 60% или в район с висок или среден риск от ерозия.</w:t>
            </w:r>
          </w:p>
          <w:p>
            <w:pPr>
              <w:numPr>
                <w:ilvl w:val="0"/>
                <w:numId w:val="27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Минималната площ, с която ще се кандидатства за залесяване,  трябва да бъде както следва:</w:t>
            </w:r>
          </w:p>
          <w:p>
            <w:pPr>
              <w:numPr>
                <w:ilvl w:val="0"/>
                <w:numId w:val="27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физически лица, еднолични търговци и местни поделения на вероизповеданията – 0.5 ха;</w:t>
            </w:r>
          </w:p>
          <w:p>
            <w:pPr>
              <w:numPr>
                <w:ilvl w:val="0"/>
                <w:numId w:val="2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общини и юридически лица – 1.0 ха;</w:t>
            </w:r>
          </w:p>
          <w:p>
            <w:pPr>
              <w:numPr>
                <w:ilvl w:val="0"/>
                <w:numId w:val="2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процент на прихващане на новосъздадената гора е по-висок от 25%.</w:t>
            </w:r>
          </w:p>
          <w:p>
            <w:pPr>
              <w:numPr>
                <w:ilvl w:val="0"/>
                <w:numId w:val="2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Залесяванията трябва да се извършват съгласно Закона за горите и свързаните с него подзаконови нормативни актове.</w:t>
            </w:r>
          </w:p>
          <w:p>
            <w:pPr>
              <w:numPr>
                <w:ilvl w:val="0"/>
                <w:numId w:val="2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дървесни видове за залесяване трябва да отговарят на типа на месторастене.</w:t>
            </w:r>
          </w:p>
          <w:p>
            <w:pPr>
              <w:numPr>
                <w:ilvl w:val="0"/>
                <w:numId w:val="2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Не-местни видове се използват само такива,  за които при оценка на въздействията не е установено, че застрашават биологичното разнообразие и екосистемните услуги или че оказват отрицателно въздействие върху здравето на човека.</w:t>
            </w:r>
          </w:p>
          <w:p>
            <w:pPr>
              <w:numPr>
                <w:ilvl w:val="0"/>
                <w:numId w:val="2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на залесяване на държавна земя, подкрепа се предоставя само ако органът, който стопанисва тази земя е юридическо лице частно-правен субект или община.</w:t>
            </w:r>
          </w:p>
          <w:p>
            <w:pPr>
              <w:numPr>
                <w:ilvl w:val="0"/>
                <w:numId w:val="2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залесяване на земя, собственост на държавата, или за бързорастящи дървета покрива само разходите по залесяването.</w:t>
            </w:r>
          </w:p>
          <w:p>
            <w:pPr>
              <w:numPr>
                <w:ilvl w:val="0"/>
                <w:numId w:val="2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Попълването на новосъздадените горски култури е допустимо само през първата година, ако прихващането, установено при есенната инвентаризация е между 25 и 80 %;</w:t>
            </w:r>
          </w:p>
          <w:p>
            <w:pPr>
              <w:numPr>
                <w:ilvl w:val="0"/>
                <w:numId w:val="27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b/>
                <w:bCs/>
                <w:szCs w:val="24"/>
              </w:rPr>
              <w:t>Не се допуска подпомагане:</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дървесни видове с цел създаване на култури с кратък цикъл на ротация;</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с цел производство на коледни елхи;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бързорастящи дървета за производство на енергия;</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уязвими местообитания като торфища, влажни зони, карстови и силикатни терени, автохтонно не поддържащи горско-дървесна растителност(местообитания с европейска значимост, започващи с кодове 6, 7, и 8);</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лесонепригодни горски територии;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земеделски земи с висока природна стойност;</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в зоните, включени в мрежата „Натура 2000“, залесяването е допустимо само ако съответства на целите на управлението на тези зони и е съгласувано с органа на държавата членка, който отговаря за прилагането на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7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Терени на територията на община с ниска лесистост (от по-малко от 30% до по-малко от 60%, като се дава приоритет на по-ниският процент).</w:t>
            </w:r>
          </w:p>
          <w:p>
            <w:pPr>
              <w:numPr>
                <w:ilvl w:val="0"/>
                <w:numId w:val="27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Терени на територията на община, класифицирана с висок или среден риск на ерозия(като се дава приоритет на високия риск).</w:t>
            </w:r>
          </w:p>
          <w:p>
            <w:pPr>
              <w:numPr>
                <w:ilvl w:val="0"/>
                <w:numId w:val="27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Използваните за залесяване дървесни видове са местни видове и произходи.</w:t>
            </w:r>
          </w:p>
          <w:p>
            <w:pPr>
              <w:numPr>
                <w:ilvl w:val="0"/>
                <w:numId w:val="27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равни други условия, ще се дава приоритет на по-голямата площ.</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тази подмярка, както и всички разходи за залесяване по Мярка 8 ще бъде 100% от общите допустими разходи за създаване, както следвa от таблицата по-долу.</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общите допустими разходи, за които се кандидатства по проекта, е левовата равностойност на 2 500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общите допустими разходи, за които се кандидатства по проект, е левовата равностойност на 300 000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един ползвател, предоставена по реда на тази под-мярка, не може да надхвърля левовата равностойност на 500 000 евро за периода на действие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от ЕЗФРСР е 75%.</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Стойност на залесителните и поддържащите дейности за създаване на гори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Разходите са определени като фиксирана сума на хектар, като са взети под внимание: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действащите законови правила и норми при извършване на дейности за създаване на гори;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одобрените ведомствени трудови норми за лесокултурните дейности на ИАГ (2008 г.) от председателя на Държавна агенция по горите, чиито правоприемник е Изпълнителна агенция по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разпокъсаността и малкият размер на имотите;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наличието на нежелана храстова растителност върху предвижданите за залесяване изоставени и негодни за земеделско ползване земеделски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квалификацията на работниците, извършващи определените видове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Анализа на факторите, влияещи върху разходите за залесяване и поддържане на създадените култури не показва значителни регионални различия, поради което разходите са средни за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При изчисляване на стойностите на плащанията са използвани: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база данни на ИАГ за извършените дейности в горски територии (1 ГС) – държавна собственост - отчетите на държавните предприятия (ДП) за управление на държавните гори през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статистически данни за средната работна заплата за сектор „селско, горско и рибно стопанство” на Националния статистически институт през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браншов колективен трудов договор сключен между синдикатите и Министерство на земеделието, храните и горите за работещите в сектор „Горско стопанство - стопанисване”, с който са определени началните работни заплати в съответните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средните пазарни цени за страната на фиданките за залесяване, транспортни разходи, на препарати и други материали, влагани при извършване на дейностите;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фиксирания курс на националната валута към еврото, която е 1,95583 лв./Евро.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Информация за спецификата на работата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Гъстотите на създаваните култури следва да бъдат съобразени с нормативите за съответните видове, посочени в Наредба № 2 от 07.02.2013 г. за условията и реда за залесяване на горски територии и земеделски земи, използвани за създаване на специални,  защитни и стопански гори и на гори в защитени територии, инвентаризация на създадените култури, тяхното отчитане и регистриране, като средната гъстота за иглолистните видове не трябва да надвишава 3000 бр./ха, а за широколистните 5000 бр./ха.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Качеството на фиданките с открита коренова система трябва да отговаря на изискванията на БДС 1449-73, а на фиданките със закрита коренова система на Наредба № 21 от 27.11.2012 г. за условията и реда за определяне, одобряване, регистрация и отмяна на източниците от горската семепроизводствена база, събирането и добива на горски репродуктивни материали, тяхното окачествяване, търговия и внос.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Ограждане на културите се прилага при необходимост.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Попълването на горските култури се извършва през първата година след засаждането до 20 % от общата площ  в зависимост от достигнатия процент на прихващане в рамките на 25-80 %."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Нива на плащане при залесителните и поддържащи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Подробна информация на изчислените стойности по дейности са посочени в Приложение № 2 към Раздел 8.2 мярка 8 „Методика за определяне на национални средни стандартни цени за създаване на гори – залесителни и поддържащи дейности по ПРСР 2014-2020“.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p>
            <w:pPr>
              <w:pStyle w:val="BodyText3"/>
              <w:jc w:val="center"/>
              <w:rPr>
                <w:b w:val="0"/>
              </w:rPr>
            </w:pPr>
            <w:r>
              <w:rPr>
                <w:b w:val="0"/>
              </w:rPr>
              <w:drawing>
                <wp:inline>
                  <wp:extent cx="4857750" cy="6457950"/>
                  <wp:docPr id="10000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
                          <pic:cNvPicPr>
                            <a:picLocks noChangeAspect="1"/>
                          </pic:cNvPicPr>
                        </pic:nvPicPr>
                        <pic:blipFill>
                          <a:blip xmlns:r="http://schemas.openxmlformats.org/officeDocument/2006/relationships" r:embed="rId13"/>
                          <a:stretch>
                            <a:fillRect/>
                          </a:stretch>
                        </pic:blipFill>
                        <pic:spPr>
                          <a:xfrm>
                            <a:off x="0" y="0"/>
                            <a:ext cx="4857750" cy="6457950"/>
                          </a:xfrm>
                          <a:prstGeom prst="rect">
                            <a:avLst/>
                          </a:prstGeom>
                        </pic:spPr>
                      </pic:pic>
                    </a:graphicData>
                  </a:graphic>
                </wp:inline>
              </w:drawing>
            </w:r>
          </w:p>
          <w:p>
            <w:pPr>
              <w:pStyle w:val="Footer"/>
              <w:jc w:val="center"/>
              <w:rPr>
                <w:b w:val="0"/>
              </w:rPr>
            </w:pPr>
            <w:r>
              <w:rPr>
                <w:b w:val="0"/>
              </w:rPr>
              <w:t>Нива на плащане при залесителните и поддържащи дейности</w:t>
            </w:r>
          </w:p>
          <w:p>
            <w:pPr>
              <w:pStyle w:val="Footer"/>
              <w:jc w:val="center"/>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Прилагане на правилата за обществени поръчки.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73"/>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Помощта ще се предоставя под формата на стандартни разходи и ще бъде създаден механизъм за извършване на контрол на съответствие на заявените разходи с максимално допустимите;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 връзка с опростеното предоставяне на финансова помощ под формата на стандартни разходи;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5.3.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сходни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Мeтодиката за определяне на национални средни стандартни цени за създаване на гори – залесителни и поддържащи дейности по ПРСР е изготвена от екип от Лесотехнически университет –София под ръководството на доц. Наско Илиев и е прикачена като Приложение № 2 към Раздел 8.2 мярка 8 „Методика за определяне на национални средни стандартни цени за създаване на гори-залесителни и поддържащи дейности по ПРСР 2014-2020“.</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новият планов период се изисква, да се представи "информация от практическо значение от плана за управление на горите" или еквивалентен документ за тези стопанства, които надхвърлят границата от 0.5 ха. За България определянето на такъв праг е ненужен, защото Закона за горите задължава собствениците на гори от 2 до 50 ха да изработват горскостопански програми. Горите, собственост на физически лица, юридически лица и техни обединения, с обща площ до 2 ха се включват в изготвянето на горскостопанските планове на териториалните поделения на държавните предприятия. По такъв начин отпада и изискването за определяне на „еквивалентен инструмент“, защото практически всички гори в България имат планове за управление, които Закона за горите, според размера на площта, определя като „горскостопански планове“- за горските територии над 50 ха, „горскостопански програми“ за горските територии от 2 до 50 ха, а изработването на горскостопанските планове за горските територии до 2 ха, се възлага едновременно с инвентаризацията на държавните горски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за залесяване дървесни видове трябва да отговарят на типа на месторастене.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Методите за залесяване трябва да включват: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използване на местни видове и/или видове, устойчиви на изменението на климата в съответното  горско растително райониране в страната, за които при оценка на въздействията не е установено, че застрашават биологичното разнообразие и   оказват отрицателно въздействие върху здравето на човека; или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комбинация от дървесни видове, която включва  минимум 10 % широколистни дървета върху определена площ, или минимум три дървесни вида, от които най-малобройният заема минимум 10 % от площта.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избора на площите за залесяване не се допускат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уязвими местообитания като торфища и влажни зони, карстови и силикатни терени, автохтонно не поддържащи горско-дървесна растителност(местообитания с европейска значимост, започващи с кодове 6, 7, и 8),</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нелесопригодни горски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земеделски земи с висока природна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зоните, включени в мрежата „Натура 2000“, ако залесяването не съответства на целите на управлението на тези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дървесни видове за залесяване трябва да отговарят на типа на месторастене, като се дава приоритет на местните видове и произходи.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pStyle w:val="Heading5"/>
        <w:jc w:val="left"/>
        <w:rPr>
          <w:b w:val="0"/>
        </w:rPr>
      </w:pPr>
      <w:r>
        <w:rPr>
          <w:b w:val="0"/>
        </w:rPr>
        <w:br w:type="page"/>
      </w:r>
      <w:r>
        <w:rPr>
          <w:b w:val="0"/>
        </w:rPr>
        <w:t>Подмярка 8.3. Предотвратяване на щети по горите от горски пожари, природни бедствия и катастрофични събития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74"/>
              </w:numPr>
              <w:rPr>
                <w:b w:val="0"/>
              </w:rPr>
            </w:pPr>
            <w:r>
              <w:rPr>
                <w:b w:val="0"/>
              </w:rPr>
              <w:t>8.3 — подпомагане за предотвратяване на щети по горите от горски пожари, природни бедствия и катастрофични събития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най-сериозен рисков фактор при опазване на горите продължават да се смятат горските пожари. Съгласно статистическите данни за последните 6 години са възникнали 3624 горски пожара, които са засегнали 61 511,3 ха горски територии. Причинените щети са за 14,057 млн. лева. Над 75% от горските пожари са възникнали извън границите на горските територии и са причинени от паленето на растителност или от небрежност. Изработването на методика и класифицирането на горите по степени на риск от горски пожари предстои, макар че по първоначални наблюдения, ще попаднат основно в среден риск и по-малка част във висок риск. Освен това, превенцията от горски пожари ще предотврати излъчването на вредни емисии (въглероден двуокис) в атмосферата.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разработване на новата методика  за класифициране на горите според риска от пожари, мярката ще стартира с класификацията от предходния планов период. След като новите методика и класификация бъдат готови, ще бъдат отразени в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риска от наводнения  и  съпътстващите превантивни дейности, България ще ги представи допълнително, след като Министерство на околната страна и водите разработи картите и плановете за управление на своите басейнови дирекции. Плановете за управление на риска от наводнение съгласно чл. 7, параграф 3 от Директива 2007/60/ЕО на Европейския парламент и на Съвета относно оценката и управлението на риска от наводнения ще включват и мерки за постигане на целите, определени в съответствие с параграф 2 на същата директива.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горите и свързаните с него подзаконови актове.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защита при бедствия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министерство на вътрешните работи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защитана растенията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7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Физически и юридически лица и местни поделения на вероизповеданията, собственици на горски територии;</w:t>
            </w:r>
          </w:p>
          <w:p>
            <w:pPr>
              <w:numPr>
                <w:ilvl w:val="0"/>
                <w:numId w:val="27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собственици/стопанисващи горски територии;</w:t>
            </w:r>
          </w:p>
          <w:p>
            <w:pPr>
              <w:numPr>
                <w:ilvl w:val="0"/>
                <w:numId w:val="27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стопанисващи горски територии;</w:t>
            </w:r>
          </w:p>
          <w:p>
            <w:pPr>
              <w:numPr>
                <w:ilvl w:val="0"/>
                <w:numId w:val="27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Държавни предприятия по чл. 163 от Закона за горите, управляващи държавни горски територии;</w:t>
            </w:r>
          </w:p>
          <w:p>
            <w:pPr>
              <w:numPr>
                <w:ilvl w:val="0"/>
                <w:numId w:val="27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Лесозащитни станции;</w:t>
            </w:r>
          </w:p>
          <w:p>
            <w:pPr>
              <w:numPr>
                <w:ilvl w:val="0"/>
                <w:numId w:val="27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Регионални дирекции по горите.</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numPr>
                <w:ilvl w:val="0"/>
                <w:numId w:val="27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 инвестиции:</w:t>
            </w:r>
          </w:p>
          <w:p>
            <w:pPr>
              <w:numPr>
                <w:ilvl w:val="0"/>
                <w:numId w:val="277"/>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подобряване и поддръжка на противопожарна инфраструктура – лесокултурни прегради, противопожарни просеки, минерализовани ивици;</w:t>
            </w:r>
          </w:p>
          <w:p>
            <w:pPr>
              <w:numPr>
                <w:ilvl w:val="0"/>
                <w:numId w:val="27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изграждане/подобряване на хеликоптерни площадки, с изключение на летищни съоръжения за търговски цели;</w:t>
            </w:r>
          </w:p>
          <w:p>
            <w:pPr>
              <w:numPr>
                <w:ilvl w:val="0"/>
                <w:numId w:val="27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изграждане/подобряване на водоизточници за борба с пожарите;</w:t>
            </w:r>
          </w:p>
          <w:p>
            <w:pPr>
              <w:numPr>
                <w:ilvl w:val="0"/>
                <w:numId w:val="27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строителство/подобряване на наблюдателни пунктове за борба с пожарите;</w:t>
            </w:r>
          </w:p>
          <w:p>
            <w:pPr>
              <w:numPr>
                <w:ilvl w:val="0"/>
                <w:numId w:val="27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комуникационно оборудване и средства за наблюдение на горски пожари, вредители и болести;</w:t>
            </w:r>
          </w:p>
          <w:p>
            <w:pPr>
              <w:numPr>
                <w:ilvl w:val="0"/>
                <w:numId w:val="27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 подобряване на горски пътища;</w:t>
            </w:r>
          </w:p>
          <w:p>
            <w:pPr>
              <w:numPr>
                <w:ilvl w:val="0"/>
                <w:numId w:val="277"/>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предотвратяване и ограничаване на разпространението на неприятели и болести;</w:t>
            </w:r>
          </w:p>
          <w:p>
            <w:pPr>
              <w:numPr>
                <w:ilvl w:val="0"/>
                <w:numId w:val="27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Нематериални инвестиции:</w:t>
            </w:r>
          </w:p>
          <w:p>
            <w:pPr>
              <w:numPr>
                <w:ilvl w:val="0"/>
                <w:numId w:val="279"/>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numPr>
                <w:ilvl w:val="0"/>
                <w:numId w:val="27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numPr>
                <w:ilvl w:val="0"/>
                <w:numId w:val="27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софтуер;</w:t>
            </w:r>
          </w:p>
          <w:p>
            <w:pPr>
              <w:numPr>
                <w:ilvl w:val="0"/>
                <w:numId w:val="28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Aвансови плащания в размер до 50% от одобрената финансова помощ.  </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8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кандидати трябва да докажат собственост върху горските територии, с които кандидатстват за подпомагане, или правото си да ги стопанисват/контролират;</w:t>
            </w:r>
          </w:p>
          <w:p>
            <w:pPr>
              <w:numPr>
                <w:ilvl w:val="0"/>
                <w:numId w:val="28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Превантивните дейности срещу пожари са допустими за подпомагане само в горските територии, класифицирани като такива със среден или висок риск от възникване на пожар. Списък на териториите с висок и среден риск от горски пожари е посочен в параграф „Identification of forest areas classified as being at medium to high risk of forest fire according to the relevant forest protection plan“</w:t>
            </w:r>
          </w:p>
          <w:p>
            <w:pPr>
              <w:numPr>
                <w:ilvl w:val="0"/>
                <w:numId w:val="28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превантивни дейности срещу горски пожари трябва да са част от утвърден  горскостопански план или програма или лесоустройствения проект, план или програма и/или от годишен план за защита на горските територии от пожари.</w:t>
            </w:r>
          </w:p>
          <w:p>
            <w:pPr>
              <w:numPr>
                <w:ilvl w:val="0"/>
                <w:numId w:val="28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на превантивни дейности срещу болести и вредители, дейностите за ограничаване на възможното бедствие трябва да бъдат одобрени с решение на Националната комисия по лесозащита. Списък с болестите и вредителите, които могат да причинят бедствие е посочен в параграф „Where relevant, list of species of organisms harmful to plants which may cause a disaster“.</w:t>
            </w:r>
          </w:p>
          <w:p>
            <w:pPr>
              <w:numPr>
                <w:ilvl w:val="0"/>
                <w:numId w:val="28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Съоръженията и инвентара за превенция да са заложени въз основа на нормите за проектиране на противопожарни мероприятия Наредба за инвентаризация и планиране в горските територии;</w:t>
            </w:r>
          </w:p>
          <w:p>
            <w:pPr>
              <w:numPr>
                <w:ilvl w:val="0"/>
                <w:numId w:val="28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дейността предотвратяване и ограничаване на разпространението на неприятели и болести допустими за подпомагане са само Лесозащитните станции;</w:t>
            </w:r>
          </w:p>
          <w:p>
            <w:pPr>
              <w:numPr>
                <w:ilvl w:val="0"/>
                <w:numId w:val="28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дейностите строителство/подобряване на наблюдателни пунктове за борба с пожарите и закупуване на комуникационно оборудване и средства за наблюдение на горски пожари ще бъдат допустими за подпомагане само Регионалните дирекции по горите са;</w:t>
            </w:r>
          </w:p>
          <w:p>
            <w:pPr>
              <w:numPr>
                <w:ilvl w:val="0"/>
                <w:numId w:val="28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numPr>
                <w:ilvl w:val="0"/>
                <w:numId w:val="2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помощ за свързани селскостопански дейности в райони, обхванати от агроекологични ангажименти.</w:t>
            </w:r>
          </w:p>
          <w:p>
            <w:pPr>
              <w:numPr>
                <w:ilvl w:val="0"/>
                <w:numId w:val="28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помощ за загуби на доход, дължащи се на пожари, природни бедствия, неблагоприятни климатични събития, които могат да бъдат приравнени на природни бедствия, други неблагоприятни климатични събития, нашествия на вредители по растенията и катастрофични събития.</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местоположение на територията на община, класифицирана с висок или среден риск от горски пожари (като се дава приоритет на високия риск);</w:t>
            </w:r>
          </w:p>
          <w:p>
            <w:pPr>
              <w:numPr>
                <w:ilvl w:val="0"/>
                <w:numId w:val="2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избираемите проекти ще бъдат класирани според големината на площта, която предпазват, като приоритет ще се дава на по-голямата площ.</w:t>
            </w:r>
          </w:p>
          <w:p>
            <w:pPr>
              <w:numPr>
                <w:ilvl w:val="0"/>
                <w:numId w:val="2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ще се дава предимство на проекти със съвпупност от противопожарни мерки, заложени по утвърден горскостопанския план или програма или лесоустройствен проект, план или програма и/или от годишен план за защита на горските територии от пожари.;</w:t>
            </w:r>
          </w:p>
          <w:p>
            <w:pPr>
              <w:numPr>
                <w:ilvl w:val="0"/>
                <w:numId w:val="28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допустими дейности ще получат точки, като приоритет ще се дава на тези, които нанасят най-малко щети към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тази подмярка ще бъде 100% от общите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общите допустими разходи, за които се кандидатства по проекта, е левовата равностойност на 2 500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общите допустими разходи, за които се кандидатства по проект, е левовата равностойност на 1 500 000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Финансовата помощ за един ползвател, предоставена по </w:t>
            </w:r>
            <w:r>
              <w:rPr>
                <w:rFonts w:ascii="Times New Roman" w:eastAsia="Times New Roman" w:hAnsi="Times New Roman" w:cs="Times New Roman"/>
                <w:b/>
                <w:bCs/>
                <w:szCs w:val="24"/>
                <w:u w:val="single"/>
              </w:rPr>
              <w:t>подмярката</w:t>
            </w:r>
            <w:r>
              <w:rPr>
                <w:rFonts w:ascii="Times New Roman" w:eastAsia="Times New Roman" w:hAnsi="Times New Roman" w:cs="Times New Roman"/>
                <w:szCs w:val="24"/>
              </w:rPr>
              <w:t>, не може да надхвърля левовата равностойност на  1 500 000 евро за периода на действие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от ЕЗФРСР е 85%.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Прилагане на правилата за обществени поръчки;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Изкуствено създадени условия за получаване на приоритет.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5.3.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Въвеждане на адекватно разграничаване на отделните операции и бенефициенти, допустими по мерките от ПРСР и ще бъдат извършвани и кръстосани проверки с останалите мерки от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за предотвратяване на условията, които определят създаването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7.2. На база придобития опит от програмен период 2007-2013 ще се елиминират критериите за подбор, които водят до създаването на изкуствени условия.</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2007-2013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срокове.РА</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p>
            <w:pPr>
              <w:pStyle w:val="BodyText3"/>
              <w:jc w:val="center"/>
              <w:rPr>
                <w:b w:val="0"/>
              </w:rPr>
            </w:pPr>
            <w:r>
              <w:rPr>
                <w:b w:val="0"/>
              </w:rPr>
              <w:drawing>
                <wp:inline>
                  <wp:extent cx="3914775" cy="5486400"/>
                  <wp:docPr id="10000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
                          <pic:cNvPicPr>
                            <a:picLocks noChangeAspect="1"/>
                          </pic:cNvPicPr>
                        </pic:nvPicPr>
                        <pic:blipFill>
                          <a:blip xmlns:r="http://schemas.openxmlformats.org/officeDocument/2006/relationships" r:embed="rId14"/>
                          <a:stretch>
                            <a:fillRect/>
                          </a:stretch>
                        </pic:blipFill>
                        <pic:spPr>
                          <a:xfrm>
                            <a:off x="0" y="0"/>
                            <a:ext cx="3914775" cy="5486400"/>
                          </a:xfrm>
                          <a:prstGeom prst="rect">
                            <a:avLst/>
                          </a:prstGeom>
                        </pic:spPr>
                      </pic:pic>
                    </a:graphicData>
                  </a:graphic>
                </wp:inline>
              </w:drawing>
            </w:r>
          </w:p>
          <w:p>
            <w:pPr>
              <w:pStyle w:val="Footer"/>
              <w:jc w:val="center"/>
              <w:rPr>
                <w:b w:val="0"/>
              </w:rPr>
            </w:pPr>
            <w:r>
              <w:rPr>
                <w:b w:val="0"/>
              </w:rPr>
              <w:t>Figure 2</w:t>
            </w:r>
          </w:p>
          <w:p>
            <w:pPr>
              <w:pStyle w:val="Footer"/>
              <w:jc w:val="center"/>
              <w:rPr>
                <w:b w:val="0"/>
              </w:rPr>
            </w:pPr>
            <w:r>
              <w:rPr>
                <w:b w:val="0"/>
              </w:rPr>
              <w:drawing>
                <wp:inline>
                  <wp:extent cx="4467225" cy="1000125"/>
                  <wp:docPr id="10001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
                          <pic:cNvPicPr>
                            <a:picLocks noChangeAspect="1"/>
                          </pic:cNvPicPr>
                        </pic:nvPicPr>
                        <pic:blipFill>
                          <a:blip xmlns:r="http://schemas.openxmlformats.org/officeDocument/2006/relationships" r:embed="rId15"/>
                          <a:stretch>
                            <a:fillRect/>
                          </a:stretch>
                        </pic:blipFill>
                        <pic:spPr>
                          <a:xfrm>
                            <a:off x="0" y="0"/>
                            <a:ext cx="4467225" cy="1000125"/>
                          </a:xfrm>
                          <a:prstGeom prst="rect">
                            <a:avLst/>
                          </a:prstGeom>
                        </pic:spPr>
                      </pic:pic>
                    </a:graphicData>
                  </a:graphic>
                </wp:inline>
              </w:drawing>
            </w:r>
          </w:p>
          <w:p>
            <w:pPr>
              <w:pStyle w:val="Footer"/>
              <w:jc w:val="center"/>
              <w:rPr>
                <w:b w:val="0"/>
              </w:rPr>
            </w:pPr>
            <w:r>
              <w:rPr>
                <w:b w:val="0"/>
              </w:rPr>
              <w:t>Figure2.1</w:t>
            </w:r>
          </w:p>
          <w:p>
            <w:pPr>
              <w:pStyle w:val="Footer"/>
              <w:jc w:val="center"/>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Списък с общините, чиято територия е с висок и среден риск от горски пожари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tbl>
            <w:tblPr>
              <w:tblW w:w="10080" w:type="dxa"/>
              <w:tblCellSpacing w:w="0" w:type="dxa"/>
              <w:tblCellMar>
                <w:top w:w="0" w:type="dxa"/>
                <w:left w:w="0" w:type="dxa"/>
                <w:bottom w:w="0" w:type="dxa"/>
                <w:right w:w="0" w:type="dxa"/>
              </w:tblCellMar>
            </w:tblPr>
            <w:tblGrid>
              <w:gridCol w:w="2115"/>
              <w:gridCol w:w="75"/>
              <w:gridCol w:w="7890"/>
            </w:tblGrid>
            <w:tr>
              <w:tblPrEx>
                <w:tblW w:w="10080" w:type="dxa"/>
                <w:tblCellSpacing w:w="0" w:type="dxa"/>
                <w:tblCellMar>
                  <w:top w:w="0" w:type="dxa"/>
                  <w:left w:w="0" w:type="dxa"/>
                  <w:bottom w:w="0" w:type="dxa"/>
                  <w:right w:w="0" w:type="dxa"/>
                </w:tblCellMar>
              </w:tblPrEx>
              <w:trPr>
                <w:tblCellSpacing w:w="0" w:type="dxa"/>
              </w:trPr>
              <w:tc>
                <w:tcPr>
                  <w:tcW w:w="10080" w:type="dxa"/>
                  <w:gridSpan w:val="3"/>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Списък с общините, чиято територия е с висок риск от горски пожари</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Област</w:t>
                  </w:r>
                </w:p>
              </w:tc>
              <w:tc>
                <w:tcPr>
                  <w:tcW w:w="7965" w:type="dxa"/>
                  <w:gridSpan w:val="2"/>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Община</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Видин</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Белоградчик, Бойница, Брегово, Видин, Грамада, Димово, Кула, Макреш, Ново село, Ружинци, Чупрене</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Враца</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Борован, Бяла Слатина, Враца, Козлодуй, Криводол, Мездра, Мизия, Оряхово, Роман, Хайредин</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Ловеч</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Априлци, Летница, Ловеч, Луковит, Тетевен, Троян, Угърчин, Ябланица</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Плевен</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Белене, Гулянци, Долна Митрополия, Долни Дъбник, Искра, Кнежа, Левски, Никопол, Плевен, Пордим, Червен бряг</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София област</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Антон, Божурище, Ботевград, Годеч, Горна Малина, Долна баня, Драгоман, Елин Пелин, Етрополе, Златица, Ихтиман, Копривщица, Костенец, Костинброд, Мирково, Пирдоп, Правец, Самоков, Своге, Сливница, Чавдар, Челопеч</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Стара Загора</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Братя Даскалови, Гурково, Гълъбово, Казанлък, Мъглиж, Николаево, Опан, Павел баня, Раднево, Стара Загора, Чирпан</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Хасково</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Димитровград, Ивайловград, Любимец, Маджарово, Минерални бани, Свиленград, Симеоновград, Стамболово, Тополовград, Харманли, Хасково</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Ямбол</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Болярово, Елхово, Стралджа, Тунджа, Ямбол</w:t>
                  </w:r>
                </w:p>
              </w:tc>
            </w:tr>
            <w:tr>
              <w:tblPrEx>
                <w:tblW w:w="10080" w:type="dxa"/>
                <w:tblCellSpacing w:w="0" w:type="dxa"/>
                <w:tblCellMar>
                  <w:top w:w="0" w:type="dxa"/>
                  <w:left w:w="0" w:type="dxa"/>
                  <w:bottom w:w="0" w:type="dxa"/>
                  <w:right w:w="0" w:type="dxa"/>
                </w:tblCellMar>
              </w:tblPrEx>
              <w:trPr>
                <w:tblCellSpacing w:w="0" w:type="dxa"/>
              </w:trPr>
              <w:tc>
                <w:tcPr>
                  <w:tcW w:w="10080" w:type="dxa"/>
                  <w:gridSpan w:val="3"/>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Списък с общините, чиято територия е със среден риск от горски пожари</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Област</w:t>
                  </w:r>
                </w:p>
              </w:tc>
              <w:tc>
                <w:tcPr>
                  <w:tcW w:w="7890" w:type="dxa"/>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Община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Благоевград</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Банско, Белица, Благоевград, Гоце Делчев, Гърмен, Кресна, Петрич, Разлог, Сандански, Сатовча, Симитли, Струмяни, Хаджидимово, Якоруда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Бургас</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Айтос, Бургас, Камено, Карнобат, Малко Търново, Несебър, Поморие, Приморско, Руен, Созопол, Средец, Сунгурларе, Царево</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Варна</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Аврен, Аксаково, Белослав, Бяла, Варна, Ветрино, Вълчи дол, Девня, Долни чифлик, Дългопол, Провадия, Суворово</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Велико Търново</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Велико Търново, Горна Оряховица, Елена, Златарица, Лясковец, Павликени, Полски Тръмбеш, Свищов, Стражица, Сухиндол</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Габрово</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Габрово, Дряново, Севлиево, Трявна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Добрич</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Балчик, Генерал Тошево, Добрич, Добрич-град, Каварна, Крушари, Тервел, Шабла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Кърджали</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Ардино, Джебел, Кирково, Крумовград, Кърджали, Момчилград, Черноочене</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Кюстендил</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Бобов дол, Бобошево, Дупница, Трекляно, Кочериново, Кюстендил, Невестино, Рила, Сапарева баня</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Монтана</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Берковица, Бойчиновци, Брусарци, Вълчедръм, Вършец, Георги Дамяново, Лом, Медковец, Монтана, Чипровци, Якимово</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Пазарджик</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Батак, Белово, Брацигово, Велинград, Лесичово, Пазарджик, Панагюрище, Пещера, Ракитово, Септември, Стрелча, Сърница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Перник</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Брезник, Земен, Ковачевци, Перник, Радомир, Трън</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Пловдив</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Асеновград, Брезово, Калояново, Карлово, Кричим, Куклен, Лъки, Марица, Перущица, Пловдив, Първомай, Раковски, Родопи, Садово, Сопот, Стамболийски, Съединение, Хисаря</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Сливен</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Котел, Нова Загора, Сливен, Твърдица</w:t>
                  </w:r>
                </w:p>
              </w:tc>
            </w:tr>
          </w:tbl>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pStyle w:val="Heading5"/>
        <w:jc w:val="left"/>
        <w:rPr>
          <w:b w:val="0"/>
        </w:rPr>
      </w:pPr>
      <w:r>
        <w:rPr>
          <w:b w:val="0"/>
        </w:rPr>
        <w:br w:type="page"/>
      </w:r>
      <w:r>
        <w:rPr>
          <w:b w:val="0"/>
        </w:rPr>
        <w:t>Подмярка 8.4. Възстановяване на щети по горите от горски пожари, природни бедствия и катастрофични събития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85"/>
              </w:numPr>
              <w:rPr>
                <w:b w:val="0"/>
              </w:rPr>
            </w:pPr>
            <w:r>
              <w:rPr>
                <w:b w:val="0"/>
              </w:rPr>
              <w:t>8.4 — подпомагане за възстановяване на щети по горите от горски пожари, природни бедствия и катастрофични събития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Навременното възстановяване на пострадалите гори има благоприятно въздействие върху почвите, водите, въздуха и биоразнообразието. Освен икономическия ефект, възстановените гори постигат и много по-значим екологичен ефект, като допринасят за борбата с промените в климата и увеличават поглъщането на въглерода.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Възстановените гори допринасят също и за защита на околната среда, предпазване от природни бедствия (особено наводнения) и пожари и спомагат за адаптирането към промените в климата чрез избор на подходящи за презалесяване дървесни видове.</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горите и свързаните с него подзаконови нормативни актове.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Физически и юридически лица и местни поделения на вероизповеданията, собственици на горски територии;</w:t>
            </w:r>
          </w:p>
          <w:p>
            <w:pPr>
              <w:numPr>
                <w:ilvl w:val="0"/>
                <w:numId w:val="2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собственици/стопанисващи горски територии;</w:t>
            </w:r>
          </w:p>
          <w:p>
            <w:pPr>
              <w:numPr>
                <w:ilvl w:val="0"/>
                <w:numId w:val="2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стопанисващи горски територии;</w:t>
            </w:r>
          </w:p>
          <w:p>
            <w:pPr>
              <w:numPr>
                <w:ilvl w:val="0"/>
                <w:numId w:val="28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Държавни предприятия по чл. 163 от Закона за горите, управляващи държавни горски територии.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numPr>
                <w:ilvl w:val="0"/>
                <w:numId w:val="28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 инвестиции:</w:t>
            </w:r>
          </w:p>
          <w:p>
            <w:pPr>
              <w:numPr>
                <w:ilvl w:val="0"/>
                <w:numId w:val="288"/>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Почистване на площи в гори, пострадали от пожари и други природни бедствия, с цел тяхното изкуствено възобновяване;</w:t>
            </w:r>
          </w:p>
          <w:p>
            <w:pPr>
              <w:numPr>
                <w:ilvl w:val="0"/>
                <w:numId w:val="28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Презалесяване на пострадалите гори;</w:t>
            </w:r>
          </w:p>
          <w:p>
            <w:pPr>
              <w:numPr>
                <w:ilvl w:val="0"/>
                <w:numId w:val="28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 на увредени инвестиции, защитни съоръжения, инженерни работи, инсталации, пътища  и места за наблюдение на пожари;</w:t>
            </w:r>
          </w:p>
          <w:p>
            <w:pPr>
              <w:numPr>
                <w:ilvl w:val="0"/>
                <w:numId w:val="28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на депа за съхранение на дървесина, добита от гори, пострадали от неблагоприятни природни въздействия, с цел избягване на по-нататъшно увреждане от гъбички или насекоми.</w:t>
            </w:r>
          </w:p>
          <w:p>
            <w:pPr>
              <w:numPr>
                <w:ilvl w:val="0"/>
                <w:numId w:val="28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 на горски култури.</w:t>
            </w:r>
          </w:p>
          <w:p>
            <w:pPr>
              <w:numPr>
                <w:ilvl w:val="0"/>
                <w:numId w:val="28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Нематериални инвестиции:</w:t>
            </w:r>
          </w:p>
          <w:p>
            <w:pPr>
              <w:numPr>
                <w:ilvl w:val="0"/>
                <w:numId w:val="290"/>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numPr>
                <w:ilvl w:val="0"/>
                <w:numId w:val="29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29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Авансови плащания в размер до 50% от одобрената финансова помощ.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кандидати трябва да докажат собственост върху горските територии, с които кандидатстват за подпомагане, или правото си да ги управляватстопанисват;</w:t>
            </w:r>
          </w:p>
          <w:p>
            <w:pPr>
              <w:numPr>
                <w:ilvl w:val="0"/>
                <w:numId w:val="29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Възстановителните дейности ще бъдат допустими за подпомагане в горските територии на цялата страна;</w:t>
            </w:r>
          </w:p>
          <w:p>
            <w:pPr>
              <w:numPr>
                <w:ilvl w:val="0"/>
                <w:numId w:val="29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Изборът на дървесни видове за залесяване трябва да отговарят на типа на месторастене;</w:t>
            </w:r>
          </w:p>
          <w:p>
            <w:pPr>
              <w:numPr>
                <w:ilvl w:val="0"/>
                <w:numId w:val="2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щетата е най-малко 20% от съответния горски потенциал на база увредена площ;</w:t>
            </w:r>
          </w:p>
          <w:p>
            <w:pPr>
              <w:numPr>
                <w:ilvl w:val="0"/>
                <w:numId w:val="2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на възстановяване на щети от болести и вредители, описанието на настъпилото бедствие трябва да бъде придружено от научни доказателства. </w:t>
            </w:r>
          </w:p>
          <w:p>
            <w:pPr>
              <w:numPr>
                <w:ilvl w:val="0"/>
                <w:numId w:val="2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презалесяване ще се използват стандартните разходи от под-мярка 8.1.</w:t>
            </w:r>
          </w:p>
          <w:p>
            <w:pPr>
              <w:numPr>
                <w:ilvl w:val="0"/>
                <w:numId w:val="29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 на горски култури ще бъде допустимо само ако:</w:t>
            </w:r>
          </w:p>
          <w:p>
            <w:pPr>
              <w:numPr>
                <w:ilvl w:val="0"/>
                <w:numId w:val="29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създадени по реда на тази  мярка или по мярка 223 от предходната ПРСР;</w:t>
            </w:r>
          </w:p>
          <w:p>
            <w:pPr>
              <w:numPr>
                <w:ilvl w:val="0"/>
                <w:numId w:val="2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 извършва втората или третата година след създаването на културата;</w:t>
            </w:r>
          </w:p>
          <w:p>
            <w:pPr>
              <w:numPr>
                <w:ilvl w:val="0"/>
                <w:numId w:val="29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прихващането, установено при есенната им инвентаризация е между 25 и 80 %;</w:t>
            </w:r>
          </w:p>
          <w:p>
            <w:pPr>
              <w:numPr>
                <w:ilvl w:val="0"/>
                <w:numId w:val="29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spacing w:before="240" w:after="240"/>
              <w:ind w:left="363"/>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Избираемите проекти ще бъдат класирани според:</w:t>
            </w:r>
          </w:p>
          <w:p>
            <w:pPr>
              <w:numPr>
                <w:ilvl w:val="0"/>
                <w:numId w:val="29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местоположение на територията на община, класифицирана с висок риск от горски пожари (като се дава най-висок приоритет на високия риск, следван среден риск и накрая нисък);</w:t>
            </w:r>
          </w:p>
          <w:p>
            <w:pPr>
              <w:numPr>
                <w:ilvl w:val="0"/>
                <w:numId w:val="29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степента на увреденост в проценти,  като се дава приоритет на по-високият процент;</w:t>
            </w:r>
          </w:p>
          <w:p>
            <w:pPr>
              <w:numPr>
                <w:ilvl w:val="0"/>
                <w:numId w:val="29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степента на ерозия, като се дава приоритет на високата и средна степен на ерозия;</w:t>
            </w:r>
          </w:p>
          <w:p>
            <w:pPr>
              <w:numPr>
                <w:ilvl w:val="0"/>
                <w:numId w:val="29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наклон на терена по-голям от 25°, като се дава приоритет на по-големия наклон;</w:t>
            </w:r>
          </w:p>
          <w:p>
            <w:pPr>
              <w:numPr>
                <w:ilvl w:val="0"/>
                <w:numId w:val="29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изборът на дървесен вид за презалесяване приоритет ще се дава на местни видове и произходи;</w:t>
            </w:r>
          </w:p>
          <w:p>
            <w:pPr>
              <w:numPr>
                <w:ilvl w:val="0"/>
                <w:numId w:val="29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избираемите проекти ще бъдат класирани според големината на площта, която се възстановява, като приоритет ще се дава на по-голямата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тази подмярка ще бъде 100% от общите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Максимумът на общите допустими разходи по тази подмярка за целия период на прилагане на ПРСР (2014-2020) е левовата равностойност на 1 000 000 евро на кандидат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Минимумът на общите допустими разходи е левовата равностойност на 1 000 евро на проект.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от ЕЗФРСР е 85%.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Прилагане на правилата за обществени поръчки;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Двойно финансиране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За дейностите, при които помощта ще се предоставя под формата на стандартни разходи, ще бъде създаден механизъм за извършване на контрол на съответствие на заявените разходи с максимално допустимите;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3.4. Подобряване на контролните системи във връзка с опростеното предоставяне на финансова помощ под формата на стандартни разходи в случаите на презалесяване;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5.3.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Въвеждане на адекватно разграничаване на отделните операции и бенефициенти, допустими по мерките от ПРСР и ще бъдат извършвани и кръстосани проверки с останалите мерки от програмата.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2007-2013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1.Болести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а.Трахеомикоза по дъба - Ceratocystis sp.</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б.Рак по цера - Hipoxylon mediterraneum (De Not.) Mill.</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Холандска болест по бряста - Ceratocystis ulmi (Buism)</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Мастилена болест по кестена - Phytophthora sp.</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Съхнене на иглолистни видове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Неприятели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Гъботворка - Lymantria dispar (Linnaeus, 1759)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Златозадка - Euproctis chrisorrhoea - (Linnaeus, 1758)</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Корояди - Curculionidae</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Борова процесионка -Thaumatocampa pityocampa (Denis&amp;Schiffermüller,  1775)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Ръждива борова листна оса- Neodiprion sertifer (Geoffroy, 1785)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pStyle w:val="Heading5"/>
        <w:jc w:val="left"/>
        <w:rPr>
          <w:b w:val="0"/>
        </w:rPr>
      </w:pPr>
      <w:r>
        <w:rPr>
          <w:b w:val="0"/>
        </w:rPr>
        <w:br w:type="page"/>
      </w:r>
      <w:r>
        <w:rPr>
          <w:b w:val="0"/>
        </w:rPr>
        <w:t>Подмярка 8.6. Инвестиции в технологии за лесовъдство и в преработката, мобилизирането и търговията на горски продукти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97"/>
              </w:numPr>
              <w:rPr>
                <w:b w:val="0"/>
              </w:rPr>
            </w:pPr>
            <w:r>
              <w:rPr>
                <w:b w:val="0"/>
              </w:rPr>
              <w:t>8.6 — подпомагане за инвестиции в технологии за лесовъдство и в преработката, мобилизирането и търговията на горски продукти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Горите, стопанисвани от частни субекти, както и частните инвестиции в сектора на горското стопанство играят все по-важна роля в икономическата дейност в селските райони. Поради това, подкрепата на ЕС е от значение за развитието на горите, опазването на горите, иновациите, подобряване на производството, технологиите, преработката и маркетинга. Едновременно с това тези гори са съобразени с ролята си на многофункционални гори, допринасящи за ключовите екологични и климатични цели на Европейския съюз. За да се гарантира предоставянето на тези ползи по балансиран начин от съществено значение е да се гарантира многофункционалност и устойчиво управление на горите, които са сред основните принципи на горскостопанската стратегия на ЕС. Укрепването на устойчивото управление на горите е необходимо за подобряване на конкурентоспособността и създаването на работни места, в частност в селските райони, като същевременно се гарантира опазването на горите и предоставяне на екосистемни услуги. В същото време, устойчивото управление е немислимо без извършването на сечи. Сечите са лесовъдски дейности, които се провеждат с цел подобряване състоянието на горите, възобновяване, запазване на генетичните ресурси, добив на дървесина, както и запазване и увеличаване на основните функции на горите. Отгледните сечи, които подкрепяме по тази подмярка  се провеждат за постигане на няколко основни цели: регулиране на състава и произхода на насажденията в зависимост от функциите им и поставените цели; подобряване на защитните и специалните функции на горите; подобряване на здравословното състояние и устойчивостта на горите; поддържане и опазване на биологичното разнообразие в горите; намаляване на риска за възникване на пожари в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Настоящата подмярка цели да се подсигурят средства за подпомагане на недържавните гори, както и държавните гори, стопанисвани от общини и частно-правни юридически лица, които да могат да запазят освен своята многофункционалност и конкурентоспособността на собствениците/стопаните си, за да продължат с устойчивото управление на горите си.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горите и свързаните с него нормативни актове.</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9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Физически и юридически лица и местни поделения на вероизповеданията, собственици на горски територии;</w:t>
            </w:r>
          </w:p>
          <w:p>
            <w:pPr>
              <w:numPr>
                <w:ilvl w:val="0"/>
                <w:numId w:val="29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собственици на горски територии;</w:t>
            </w:r>
          </w:p>
          <w:p>
            <w:pPr>
              <w:numPr>
                <w:ilvl w:val="0"/>
                <w:numId w:val="29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Сдружения на частни собственици на горски територии или общини;</w:t>
            </w:r>
          </w:p>
          <w:p>
            <w:pPr>
              <w:numPr>
                <w:ilvl w:val="0"/>
                <w:numId w:val="29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МСП;</w:t>
            </w:r>
          </w:p>
          <w:p>
            <w:pPr>
              <w:numPr>
                <w:ilvl w:val="0"/>
                <w:numId w:val="29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Горски стопани, доставчици на услуги.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numPr>
                <w:ilvl w:val="0"/>
                <w:numId w:val="29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w:t>
            </w:r>
          </w:p>
          <w:p>
            <w:pPr>
              <w:numPr>
                <w:ilvl w:val="0"/>
                <w:numId w:val="300"/>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преработка и маркетинг на горски продукти, в т.ч.:</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придобиване или подобрение на сгради и други недвижими активи необходими  за първичната преработка на дървесината, както и закупуването на земя, когато са пряко свързани с изпълнението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закупуването или вземането на лизинг на нови машини и оборудване за първична преработка на дървесината, както и други работни операции, предхождащи промишлената преработка, до пазарната цена на актива;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закупуването или вземането на лизинг на нови машини и оборудване за преработка на недървесни горски продукти;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2.Разходи за инвестиции в подобряване на икономическата стойност на горите, в т.ч.:</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отгледни сечи във високостъблени и семенно възобновени издънкови гори до 40 годишна възраст;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или вземането на лизинг на щадящи почвата и ресурсите специализирана горска техника и оборудване за сеч, извоз, товарене и траспорт на дървесина за едно или повече стопанства;</w:t>
            </w:r>
          </w:p>
          <w:p>
            <w:pPr>
              <w:spacing w:before="240" w:after="240"/>
              <w:ind w:left="1134"/>
              <w:jc w:val="left"/>
              <w:rPr>
                <w:rFonts w:ascii="Times New Roman" w:eastAsia="Times New Roman" w:hAnsi="Times New Roman" w:cs="Times New Roman"/>
                <w:szCs w:val="24"/>
              </w:rPr>
            </w:pPr>
            <w:r>
              <w:rPr>
                <w:rFonts w:ascii="Times New Roman" w:eastAsia="Times New Roman" w:hAnsi="Times New Roman" w:cs="Times New Roman"/>
                <w:szCs w:val="24"/>
              </w:rPr>
              <w:t>3.    Разходи за закупуване на земя, когато са пряко свързани с изпълнението на проекта и ненадхвърлят 10 % от общите допустими разходи по проекта.</w:t>
            </w:r>
          </w:p>
          <w:p>
            <w:pPr>
              <w:numPr>
                <w:ilvl w:val="0"/>
                <w:numId w:val="30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Нематериални инвестиции:</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1.Общи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2.Разходи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3.Закупуване на софтуер;</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4.Разходите за въвеждане на добри производствени практики, системи за управление на качеството и подготовка за сертификация.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30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Авансови плащания в размер до 50% от одобрената финансова помощ.   </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Закупуването на оборудване за сеч е допустимо за подпомагане само ако предвиденото устойчиво ползване на дървесина в горите, които стопанисва бенефициента  позволява подходящото му ефикасно използване;</w:t>
            </w:r>
          </w:p>
          <w:p>
            <w:pPr>
              <w:numPr>
                <w:ilvl w:val="0"/>
                <w:numId w:val="3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Частните собственици трябва да притежават минимум 0.5 ха горски територии;</w:t>
            </w:r>
          </w:p>
          <w:p>
            <w:pPr>
              <w:numPr>
                <w:ilvl w:val="0"/>
                <w:numId w:val="3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Сдруженията на частните собственици трябва да притежават горски територии с площ минимум 1.0 ха;</w:t>
            </w:r>
          </w:p>
          <w:p>
            <w:pPr>
              <w:numPr>
                <w:ilvl w:val="0"/>
                <w:numId w:val="3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Юридическите лица - частни собственици, са допустими за подпомагане, само ако са регистрирани съгласно българското законодателство и максималното участие на държавата в тях не превишава 25%;</w:t>
            </w:r>
          </w:p>
          <w:p>
            <w:pPr>
              <w:numPr>
                <w:ilvl w:val="0"/>
                <w:numId w:val="3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Общините и техните сдружения трябва да притежават минимум 10 ха гори;</w:t>
            </w:r>
          </w:p>
          <w:p>
            <w:pPr>
              <w:numPr>
                <w:ilvl w:val="0"/>
                <w:numId w:val="3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за инвестиции в преработка и маркетинг на дървесина са допустими за подпомагане само ако преработват не повече от 10 000 куб. м обла дървесина годишно.</w:t>
            </w:r>
          </w:p>
          <w:p>
            <w:pPr>
              <w:numPr>
                <w:ilvl w:val="0"/>
                <w:numId w:val="3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за инвестиции в преработка и маркетинг на горски продукти, както и закупуване или вземането на лизинг на щадящи почвата и ресурсите специализирана горска техника и оборудване за сеч, извоз, товарене и траспорт на дървесина представят бизнес план за доказване на икономическа жизнеспособност.</w:t>
            </w:r>
          </w:p>
          <w:p>
            <w:pPr>
              <w:numPr>
                <w:ilvl w:val="0"/>
                <w:numId w:val="3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Простото възстановяване на гъстотата на гората или възстановяване на същата гора след окончателна сеч е недопустимо за подпомагане;</w:t>
            </w:r>
          </w:p>
          <w:p>
            <w:pPr>
              <w:numPr>
                <w:ilvl w:val="0"/>
                <w:numId w:val="3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поддръжка и текущи разходи не са допустими за подпомагане по тази мярка.</w:t>
            </w:r>
          </w:p>
          <w:p>
            <w:pPr>
              <w:numPr>
                <w:ilvl w:val="0"/>
                <w:numId w:val="30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Избираемите проекти ще бъдат класирани според приоритетите на следните критерии за избор:</w:t>
            </w:r>
          </w:p>
          <w:p>
            <w:pPr>
              <w:numPr>
                <w:ilvl w:val="0"/>
                <w:numId w:val="30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местоположение на територията на община с висока лесистост (от 30% до 60% и  над 60%, като се дава приоритет на по-високият процент); </w:t>
            </w:r>
          </w:p>
          <w:p>
            <w:pPr>
              <w:numPr>
                <w:ilvl w:val="0"/>
                <w:numId w:val="3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за техника, която притежава валиден сертификат за съответствие с одобрения тип (сертификат за одобрение на типа на Европейската общност);</w:t>
            </w:r>
          </w:p>
          <w:p>
            <w:pPr>
              <w:numPr>
                <w:ilvl w:val="0"/>
                <w:numId w:val="30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и за проекти осигуряващи устойчива заетост.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тази подмярка ще бъде 50% от общите допустими разходи за проекти от селските райони на Р България и 40% за всички останали.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Максимумът на общите допустими разходи по тази подмярка за целия период на прилагане на ПРСР (2014-2020) е левовата равностойност на 500 000 евро на кандидат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Минимумът на общите допустими разходи е левовата равностойност на 5 000 евро на проект.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от ЕЗФРСР е 85%.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Прилагане на правилата за обществени поръчки.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1.2.Използване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Сключване на споразумения с търговските банки за предоставяне на улеснен достъп до финансов ресурс на одобрените кандидати;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Въвеждане на адекватно разграничаване на отделните операции и бенефициенти, допустими по мерките от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за предотвратяване на условията, които определят създаването им;</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7.2.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основните въпроси, идентифицирани от външни проверяващи органи, свързани с прилагането на мярка 123 „Добавяне на стойност на земеделски и горски продукти“  бяха свързани 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прилагането на един от подходите за оценка обосноваността на предложените разходи, а именно „оценяваща комисия“;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документирането на извършваните проверки за определяне вида на предприятието (микро, малко, средно).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извършване на проверките за вида на предприятието, ще бъдат въведени допълнителни работни документи, отразяващи по-добрата проследимост на извършваните проверки при спазване на изискването за одитна пътека.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Друга сходна мярка, прилагана в периода 2007-2013 г. е 122 „Подобряване на икономическата стойност на горите“ и не са налични установени конкретни рискове от външни проверяващи органи. Идентифицираните общи слабости по други мерки от ПРСР 2007-2013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Списък на производствата преди индустриалната преработка на дървесината съгласно</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Обща база за статистическите класификации на икономическите дейности в рамките на Европейската общност,</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NACE Rev. 1.1: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305"/>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Машинно обработване  на   дървен материал чрез бичене, фрезоване, комбинирано или рязане или развиване;</w:t>
            </w:r>
          </w:p>
          <w:p>
            <w:pPr>
              <w:numPr>
                <w:ilvl w:val="0"/>
                <w:numId w:val="30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Нарязване, сортиране, рендосване, профилиране, окрайчване, фасониране и шлайфане;</w:t>
            </w:r>
          </w:p>
          <w:p>
            <w:pPr>
              <w:numPr>
                <w:ilvl w:val="0"/>
                <w:numId w:val="30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Сушене и импрегниране на дървен материал;</w:t>
            </w:r>
          </w:p>
          <w:p>
            <w:pPr>
              <w:numPr>
                <w:ilvl w:val="0"/>
                <w:numId w:val="30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на дървесен талаш, дървесно брашно, технологични трески,  дървесни пелети и брикети от необработени дървени материали, вършина и други дървесни отпадъци;</w:t>
            </w:r>
          </w:p>
          <w:p>
            <w:pPr>
              <w:numPr>
                <w:ilvl w:val="0"/>
                <w:numId w:val="30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на колове или колчета: белене, цепене, заостряне, пакетиране;</w:t>
            </w:r>
          </w:p>
          <w:p>
            <w:pPr>
              <w:numPr>
                <w:ilvl w:val="0"/>
                <w:numId w:val="305"/>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на дърва за горене: рязане, цепене, пакетиране;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Възможен е риск при определянето на допустимостта на бенефициентите. Например неясно са формулирани бенефициентите „Горски стопани, доставчици на услуги”, включени в подмярка 8.6, във връзка с доказването на собственост и разписаните условия за допустимост на техниката за сеч, извоз и товарене.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Възможни трудности при въвеждане на адекватни проверки и системи за контрол при определяне и прилагане на критериите за подбор, регламентирани в програмата по тази мярка. Например критериите за подбор, в които от значение са големината на площите, а също така и използвания термин „съседство”.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неизпълнение на договорни задължения и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1. Дефиниране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на допълнителни изисквания и дефиниции, свързани с определяне на допустимостта, включително изискване на документи, даващи възможност за проверка на изискванията, както и да бъде посочено кои са компетентните орган, които се произнасят за необходимостта от тяхното извършване. Необходимо е да се посочи кой е компетентният орган, указващ необходимостта от третиране с предпазни и защитни материали.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Подобряване на контролните системи, въвеждане на методологии и измерими показатели за оценка и образци на документи доказващи икономическа обоснованост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Дефиниране на ясни, проверими и котролируеми критерии за подбор в съответствие с нуждите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 както и оценка на БП, където е приложимо. На база опита от предходния програмен период, РА счита, че голяма част от трудностите при прилагане и контрол на мерките произтичат от разписани общи и/или неясни изисквания, правила и условия за прилагане на програмата. Предвид това при прилагането на ПРСР 2007-2013 бяха изисквани допълнителни указания по отношение на прилагането на програмата от УО, което доведе до значителни забавяния в сроковете за обработка, трудности при изпълнение на проектите от бенефициентите и повишаване на нивото на грешката.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счита, че при така заложените в ПРСР 2014-2020 критерии и изисквания е възможно да възникнат затруднения при оценка на допустимостта на ниво прилагане и оторизация. Предвид описаните мерки за минимизиране на риска, РА счита, че е необходимо въвеждането на допълнителни действия за смекчаване, които ще доведат до повишена проверимост и контрол на заложените изисквания.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Подробна информация на изчислените стойности по дейности са посочени в Приложение № 2 към Раздел 8.2 мярка 8 „Методика за определяне на национални средни стандартни цени за създаване на гори – залесителни и поддържащи дейности по ПРСР 2014-2020".</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новият планов период се изисква, да се представи "информация от практическо значение от плана за управление на горите" или еквивалентен документ за тези стопанства, които надхвърлят границата от 0,5 ха. За България определянето на такъв праг е ненужен, защото Закона за горите задължава собствениците на гори от 2 до 50 ха да изработват горскостопански програми. Горите, собственост на физически лица, юридически лица и техни обединения, с обща площ до 2 ха се включват в изготвянето на горскостопанските планове на териториалните поделения на държавните предприятия. По такъв начин отпада и изискването за определяне на „еквивалентен инструмент“, защото практически всички гори в България имат планове за управление, които Закона за горите, според размера на площта, определя като „горскостопански планове“ - за горските територии над 50 ха, „горскостопански програми“ за горските територии от 2 до 50 ха, а изработването на горскостопанските планове за горските територии до 2 ха, се възлага едновременно с инвентаризацията на държавните горски територии.</w:t>
            </w:r>
          </w:p>
          <w:p>
            <w:pPr>
              <w:pStyle w:val="BodyText"/>
              <w:jc w:val="both"/>
              <w:rPr>
                <w:b w:val="0"/>
              </w:rPr>
            </w:pPr>
          </w:p>
        </w:tc>
      </w:tr>
    </w:tbl>
    <w:p>
      <w:pPr>
        <w:spacing w:after="100"/>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Залесяването в Република България се извършва според типа на месторастене.</w:t>
            </w:r>
          </w:p>
          <w:p>
            <w:pPr>
              <w:pStyle w:val="BodyText"/>
              <w:spacing w:after="100"/>
              <w:jc w:val="both"/>
              <w:rPr>
                <w:b w:val="0"/>
              </w:rPr>
            </w:pPr>
          </w:p>
        </w:tc>
      </w:tr>
    </w:tbl>
    <w:p>
      <w:pPr>
        <w:spacing w:after="100"/>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Залесяването в Република България се извършва според типа на месторастене.</w:t>
            </w:r>
          </w:p>
          <w:p>
            <w:pPr>
              <w:pStyle w:val="BodyText"/>
              <w:spacing w:after="100"/>
              <w:jc w:val="both"/>
              <w:rPr>
                <w:b w:val="0"/>
              </w:rPr>
            </w:pPr>
          </w:p>
        </w:tc>
      </w:tr>
    </w:tbl>
    <w:p>
      <w:pPr>
        <w:spacing w:after="100"/>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Спазват се изискванията на българското законодателство (Закон за горите и подзаконовите нормативни актове).</w:t>
            </w:r>
          </w:p>
          <w:p>
            <w:pPr>
              <w:pStyle w:val="BodyText"/>
              <w:spacing w:after="100"/>
              <w:jc w:val="both"/>
              <w:rPr>
                <w:b w:val="0"/>
              </w:rPr>
            </w:pPr>
          </w:p>
        </w:tc>
      </w:tr>
    </w:tbl>
    <w:p>
      <w:pPr>
        <w:spacing w:after="100"/>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Спазват се изискванията на българското законодателство (Закон за горите и подзаконовите нормативни актове).</w:t>
            </w:r>
          </w:p>
          <w:p>
            <w:pPr>
              <w:pStyle w:val="BodyText"/>
              <w:spacing w:after="100"/>
              <w:jc w:val="both"/>
              <w:rPr>
                <w:b w:val="0"/>
              </w:rPr>
            </w:pPr>
          </w:p>
        </w:tc>
      </w:tr>
    </w:tbl>
    <w:p>
      <w:pPr>
        <w:spacing w:after="100"/>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 на разработка.</w:t>
            </w:r>
          </w:p>
          <w:p>
            <w:pPr>
              <w:pStyle w:val="BodyText"/>
              <w:spacing w:after="100"/>
              <w:jc w:val="both"/>
              <w:rPr>
                <w:b w:val="0"/>
              </w:rPr>
            </w:pPr>
          </w:p>
        </w:tc>
      </w:tr>
    </w:tbl>
    <w:p>
      <w:pPr>
        <w:spacing w:after="100"/>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 на разработка.</w:t>
            </w:r>
          </w:p>
          <w:p>
            <w:pPr>
              <w:pStyle w:val="BodyText"/>
              <w:spacing w:after="100"/>
              <w:jc w:val="both"/>
              <w:rPr>
                <w:b w:val="0"/>
              </w:rPr>
            </w:pPr>
          </w:p>
        </w:tc>
      </w:tr>
    </w:tbl>
    <w:p>
      <w:pPr>
        <w:spacing w:after="100"/>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 на разработка.</w:t>
            </w:r>
          </w:p>
          <w:p>
            <w:pPr>
              <w:pStyle w:val="BodyText"/>
              <w:spacing w:after="100"/>
              <w:jc w:val="both"/>
              <w:rPr>
                <w:b w:val="0"/>
              </w:rPr>
            </w:pPr>
          </w:p>
        </w:tc>
      </w:tr>
    </w:tbl>
    <w:p>
      <w:pPr>
        <w:spacing w:after="100"/>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Недопустими разходи </w:t>
            </w:r>
            <w:r>
              <w:rPr>
                <w:rFonts w:ascii="Times New Roman" w:eastAsia="Times New Roman" w:hAnsi="Times New Roman" w:cs="Times New Roman"/>
                <w:b/>
                <w:bCs/>
                <w:szCs w:val="24"/>
              </w:rPr>
              <w:t>са:</w:t>
            </w:r>
          </w:p>
          <w:p>
            <w:pPr>
              <w:numPr>
                <w:ilvl w:val="0"/>
                <w:numId w:val="30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обикновена подмяна и поддръжка;</w:t>
            </w:r>
          </w:p>
          <w:p>
            <w:pPr>
              <w:numPr>
                <w:ilvl w:val="0"/>
                <w:numId w:val="3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възникнали при изпълнение на договори за лизинг, разходи за застраховки, разходи за лихви, разходи за неустойки и такси, други разходи, свързани с договора за лизинг, режийни разходи и разходи за застраховки;</w:t>
            </w:r>
          </w:p>
          <w:p>
            <w:pPr>
              <w:numPr>
                <w:ilvl w:val="0"/>
                <w:numId w:val="3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които подлежат на възстановяване в съответствие с националното законодателство в областта на ДДС /Съгласно Раздел 8.1/.</w:t>
            </w:r>
          </w:p>
          <w:p>
            <w:pPr>
              <w:numPr>
                <w:ilvl w:val="0"/>
                <w:numId w:val="3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оборудване втора ръка;</w:t>
            </w:r>
          </w:p>
          <w:p>
            <w:pPr>
              <w:numPr>
                <w:ilvl w:val="0"/>
                <w:numId w:val="3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Принос в натура;</w:t>
            </w:r>
          </w:p>
          <w:p>
            <w:pPr>
              <w:numPr>
                <w:ilvl w:val="0"/>
                <w:numId w:val="3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 за която е установено, че ще оказва отрицателно въздействие върху околната среда;</w:t>
            </w:r>
          </w:p>
          <w:p>
            <w:pPr>
              <w:numPr>
                <w:ilvl w:val="0"/>
                <w:numId w:val="30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преди подаването на заявление за финансиране от страна на бенефициента,  независимо дали всички свързани плащания са направени или не, с изключение на разходите за предпроектни проучвания, такси, хонорари за архитекти, инженери и консултантски услуги извършени след 01.01.2014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5" w:name="_Toc256000125"/>
      <w:r>
        <w:rPr>
          <w:b w:val="0"/>
        </w:rPr>
        <w:t>M09 — Създаване на групи и организации на производителите (член 27)</w:t>
      </w:r>
      <w:bookmarkEnd w:id="125"/>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 27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Една от посоките на развитие на мярката е насочено към подобряване и стабилно функциониране на веригата на предлагането на храни. Съществуват проблеми свързани с цените по веригата на доставки на хранителни продукти. От една страна изкупните цени на първичните (земеделските) продукти, които получават земеделските стопани, са много ниски. От друга страна се констатира, че цените, които плащат потребителите на храни са високи. Анализите ясно показват, че основната част от добавената стойност по веригата за доставки на храни отива при търговците и преработвателите и много малка част остава за земеделските стопани. Като основна причина за това се сочи разпокъсаността на земеделското производство, в резултат, на което в процеса на договаряне на изкупните цени, земеделските стопани се оказват икономически по-слабата страна. Необходимо е да се подобри сътрудничеството между стопаните, за да се повиши конкурентоспособността едновременно и на земеделието, и на хранително-преработвателната промишленост. Един от основните механизми за регулиране на отношенията по веригата на доставки на храни е учредяването на групи и организации на производители. Очаква се учредяването на групи и организации на производители в земеделския сектор да допринесе за увеличаване на производството и доставките на висококачествени продукти, които отговарят на европейските стандарти и пазарните изисквания. Съвместният маркетинг на селскостопанските продукти ще подпомогне достъпа на малки и средни стопанства до пазара. Обединяването на стопаните в групи или организации ще повиши възможностите им за заемане на по-силни позиции на пазара и по-добри възможности за реализация на произведената продукция, което от своя страна ще доведе до получаване от производителите на първични земеделски продукти на по-голям дял от добавената стойност на крайния продукт. Признатите организации на производители осигуряват по-добри възможности за планиране и намаляване разходите за производство, прилагане на земеделски практики, опазващи околната среда. При такова сътрудничество се увеличават и възможностите за проучване и въвеждане на устойчиви производствени практики и иновации. Организирането на стопаните в такива сдружения ще улесни тяхното сътрудничеств като повиши възможностите им за планиране и намаляване разходите за производство</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Мярка 9. Учредяване на групи и организации на производителите</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Една от посоките на развитие на мярката е насочено към подобряване и стабилно функциониране на веригата на предлагането на храни. Съществуват проблеми свързани с цените по веригата на доставки на хранителни продукти. От една страна изкупните цени на първичните (земеделските) продукти, които получават земеделските стопани, са много ниски. От друга страна се констатира, че цените, които плащат потребителите на храни са високи. Анализите ясно показват, че основната част от добавената стойност по веригата за доставки на храни отива при търговците и преработвателите и много малка част остава за земеделските стопани. Като основна причина за това се сочи разпокъсаността на земеделското производство, в резултат на което, в процеса на договаряне на изкупните цени, земеделските  стопани се оказват икономически по-слабата страна. Необходимо е да се подобри сътрудничеството между стопаните, за да се повиши конкурентоспособността едновременно и на земеделието, и на хранително-преработвателната промишленост. Един от основните механизми за регулиране на отношенията по веригата на доставки на храни е учредяването на групи и организации на производители. Очаква се учредяването на групи и организации на производители в земеделския сектор да допринесе за увеличаване на производството и доставките на висококачествени продукти, които отговарят на европейските стандарти и пазарните изисквания. Съвместният маркетинг на селскостопанските продукти ще подпомогне достъпа на малки и средни стопанства до пазара. Обединяването на  стопаните в групи или организации ще повиши възможностите им за заемане на по-силни позиции на пазара и по-добри възможности за реализация на произведената продукция, което от своя страна ще доведе до получаване от производителите на първични земеделски продукти на по-голям дял от добавената стойност на крайния продукт.Признатите организации на производители осигуряват по-добри възможности за планиране и намаляване разходите за производство, прилагане на земеделски практики, опазващи околната среда. При такова сътрудничество се увеличават и възможностите за проучване и въвеждане на устойчиви производствени практики и иновации. Организирането на  стопаните в такива сдружения ще улесни тяхното сътрудничество, като повиши възможностите им за планиране и намаляване разходите за 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Принос на мярката към междусекторните цели и приоритетни области</w:t>
            </w:r>
            <w:r>
              <w:rPr>
                <w:rFonts w:ascii="Times New Roman" w:eastAsia="Times New Roman" w:hAnsi="Times New Roman" w:cs="Times New Roman"/>
                <w:szCs w:val="24"/>
              </w:rPr>
              <w:t>3A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приоритетна област 3А целят да укрепят хоризонталната и вертикална интеграция на хранителната верига и да насърчат изграждането на конкурентни предимства на основа качество и добавена стойност на продуктите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мярка допринася за хоризонталните цели, свързани с изменението на климата, опазването на околната среда и иновациите.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възможностите, които дава тази мярка групите и организациите на производители могат посредством посещенията, които организират, обмяната на опит и обученията да допринесат за по-доброто използване на природните ресурси, да натрупат знания в областта на околната среда, иновациите и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Изменение на климата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създаването на групи производители и организации ще се постигне и чрез развитието на къси вериги на доставки и местните пазари, което от своя страна ще доведе до намаляване на разходите за логистика, складиране и транспорт, и това от своя страна ще доведе до намаляване на емисиите на въглероден диоксид.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Опазване на околната среда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Посредством сътрудничеството между малките и младите земеделски  стопани са възможни действия, свързани с иновацията, разработване на нови методи за съхранение на производството, както и методи за използване на отпадъци и пречистване на водите, целящи опазване на околната среда. Признатите групи и организации на производители имат по-голям потенциал за проучване и въвеждане на устойчиви производствени практики опазващи околната среда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мярката 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насърчаване и учредяване на групи и организации на производители в земеделския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подпомагане производството и доставките на висококачествени земеделски продукти, отговарящи на европейските стандарти и на пазарните изисквания;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подпомагане на достъпа до пазара на малки и средни стопанства.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отпуска за учредяване на групи и организации на производители в областта на селското стопанство.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 Регламент (ЕС) № 1308/2013на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№922/72, (ЕИО) №234/79, (ЕО) № 1037/2001 и (ЕО) №1234/2007, както и с национално законодателство в областта на Закона за прилагане на общата организация на пазарите на земеделски продукти на Европейския съюз, Наредба № 11 от 15 май 2007 г. за условията и реда за признаване на организации на производителите на плодове и зеленчуци и техните асоциации и за условията и реда за одобряване и изменение на одобрените оперативни програми.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Групи и организации на производители, които отговарят на определението „малки и средни предприятия” и са официално признати до края на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отпуска на групи и организации на производителите въз основа на бизнес план.</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бъде допустима за признаване и подкрепа групата или организацията на производители в бизнес плана си трябва задължително да планира една или повече от следните дейности:</w:t>
            </w:r>
          </w:p>
          <w:p>
            <w:pPr>
              <w:numPr>
                <w:ilvl w:val="0"/>
                <w:numId w:val="30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Адаптиране към пазарните изисквания на продукцията и производството на членовете на такива групи или организации;</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Съвместно пускане на стоки на пазара, включително подготовка за продажби, централизация на продажбите и доставки за купувачи на едро;</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Установяване на общи правила за информация за продукцията, в частност за прибиране на реколтата и наличностите;</w:t>
            </w:r>
          </w:p>
          <w:p>
            <w:pPr>
              <w:numPr>
                <w:ilvl w:val="0"/>
                <w:numId w:val="30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дейности, които могат да се осъществяват от групи и организации на производителите, като изграждането на умения за стопанска и търговска дейност и организацията и улесняването на иновационните процеси.</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бъде допустима за признаване и подкрепа групата или организацията на производители трябва да отговаря на следните условия:</w:t>
            </w:r>
          </w:p>
          <w:p>
            <w:pPr>
              <w:numPr>
                <w:ilvl w:val="0"/>
                <w:numId w:val="30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бъде група или организация на производители, за постигане на една от целите на мярката;</w:t>
            </w:r>
          </w:p>
          <w:p>
            <w:pPr>
              <w:numPr>
                <w:ilvl w:val="0"/>
                <w:numId w:val="3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бъде регистрирана в Търговския регистър съгласно Търговския закон или съгласно Закона за кооперациите на Република България;</w:t>
            </w:r>
          </w:p>
          <w:p>
            <w:pPr>
              <w:numPr>
                <w:ilvl w:val="0"/>
                <w:numId w:val="3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групата да има минимум четири членове;</w:t>
            </w:r>
          </w:p>
          <w:p>
            <w:pPr>
              <w:numPr>
                <w:ilvl w:val="0"/>
                <w:numId w:val="3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организацията да има минимум шест члена;</w:t>
            </w:r>
          </w:p>
          <w:p>
            <w:pPr>
              <w:numPr>
                <w:ilvl w:val="0"/>
                <w:numId w:val="3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членовете на групата на производители всяка година трябва предлагат на пазара продукция на стойност не по-малко от 25 000 лева;</w:t>
            </w:r>
          </w:p>
          <w:p>
            <w:pPr>
              <w:numPr>
                <w:ilvl w:val="0"/>
                <w:numId w:val="3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членовете на организацията всяка година предлагат на пазара продукция на стойност не по-малко от 50 000 лева</w:t>
            </w:r>
          </w:p>
          <w:p>
            <w:pPr>
              <w:numPr>
                <w:ilvl w:val="0"/>
                <w:numId w:val="3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членове на групата или организацията могат да бъдат физически лица, еднолични търговци или юридически лица (с изключение на юридическите лица с нестопанска цел), които са регистрирани в ИСАК, и/или са регистрирани като земеделски стопани по реда на Наредба № 3 от 29 януари 1999 г. като производители на такива земеделски продукти, за които организацията кандидатства за признаване;</w:t>
            </w:r>
          </w:p>
          <w:p>
            <w:pPr>
              <w:numPr>
                <w:ilvl w:val="0"/>
                <w:numId w:val="3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Членовете на групата или организацията трябва да са производители на земеделски продукти, за които групата кандидатства за признаване и подпомагане;</w:t>
            </w:r>
          </w:p>
          <w:p>
            <w:pPr>
              <w:numPr>
                <w:ilvl w:val="0"/>
                <w:numId w:val="3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Членове на група или организация на производители, която вече е била финансирана, няма да бъде допустима за финансиране в случай, че участва или се премества в друга група или организация от същата сфера</w:t>
            </w:r>
          </w:p>
          <w:p>
            <w:pPr>
              <w:numPr>
                <w:ilvl w:val="0"/>
                <w:numId w:val="3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Производител (физическо или юридическо лице) може да бъде подпомаган за всеки земеделски продукт като член само на една група или организация на производители;</w:t>
            </w:r>
          </w:p>
          <w:p>
            <w:pPr>
              <w:numPr>
                <w:ilvl w:val="0"/>
                <w:numId w:val="3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Производител на два или повече земеделски продукти може да бъде член на различни групи или организации на производители за всеки земеделски продукт;</w:t>
            </w:r>
          </w:p>
          <w:p>
            <w:pPr>
              <w:numPr>
                <w:ilvl w:val="0"/>
                <w:numId w:val="3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вземане на решения в организации на производители, регистрирани по Търговския закон, всеки член може да притежава не повече от 40 % от правото на глас.</w:t>
            </w:r>
          </w:p>
          <w:p>
            <w:pPr>
              <w:numPr>
                <w:ilvl w:val="0"/>
                <w:numId w:val="3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има разработен бизнес план за период от 5 години;</w:t>
            </w:r>
          </w:p>
          <w:p>
            <w:pPr>
              <w:numPr>
                <w:ilvl w:val="0"/>
                <w:numId w:val="30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изработи учредителен акт</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дружествен договор/устав), както и вътрешни правила за работа на групата или организацията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Групите или организациите на производители могат да бъдат членове на оперативни групи, които се определят като такива в контекста на прилагането на Европейското партньорство за иновации (EИП).</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ДФЗ-РА извършва проверки на правата на глас и дяловете, включващи проверки на самоличността на физическите и юридическите лица, притежаващи дялове на членовете на групата или организацията  на производители, които от своя страна са юридически лица.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процента от правото на глас се прилагат разпоредбите за свързани предприятия и предприятия партньори съгласно чл. 4 от Закона за малки и средни предприятия.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b/>
                <w:bCs/>
                <w:szCs w:val="24"/>
              </w:rPr>
              <w:t>Допустими сектори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Помощ ще бъде отпускана на групи и организации на производители, чийто членове произвеждат следните животински или растителни продукти: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Зърнено-житни култури;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Медицински и етерично-маслени култури;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Зърнено-бобови култури;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Технически култури, с изключение на тютюн;</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Картофи;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Мляко;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Месо;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Мед;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Биологично произведени продукти;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Винено грозде;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Яйца;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Плодове;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Зеленчуци.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включва поне: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резюме на плана;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информация за групата или организация на производителите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началното състояние на групата или организацията включително размер на обработваема земя, отглеждани земеделски култури и животни,  местоположение, настоящо състояние на материалните активи (оборудване, машини, помещения за отглеждане на животните, други производствени сгради и т.н.)</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концепцията за развитие на земеделската дейност на групата или организацията включително: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 специфичните резултати и цели за развитието на дейностите на групата/организацията;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планираните резултати към края на 5-та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заложени в бизнес плана трябва да са постигнати в рамките на 5 години след учредяването на групите или организациите на производители, определени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Обединяването на вече съществуващи групи и/или организации на производителите не е допустимо.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критерии целят да гарантират насочване на помощ съобразно установените потребности и заложените цели. Критериите се основават на анализа и на практиката от прилагане на Програмата за развитие на селските райони (2007-2013) и осигуряват съответствие и допълняемост с други стратегически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процесът на оценка проектите на групите или организациите на производители се класират и се дава приоритет на:</w:t>
            </w:r>
          </w:p>
          <w:p>
            <w:pPr>
              <w:numPr>
                <w:ilvl w:val="0"/>
                <w:numId w:val="30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в сектор „Животновъдство”</w:t>
            </w:r>
          </w:p>
          <w:p>
            <w:pPr>
              <w:numPr>
                <w:ilvl w:val="0"/>
                <w:numId w:val="3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в сектор „Плодове и зеленчуци”</w:t>
            </w:r>
          </w:p>
          <w:p>
            <w:pPr>
              <w:numPr>
                <w:ilvl w:val="0"/>
                <w:numId w:val="3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които 50% от членовете на групата или организацията на производителите е съставена от млади фермери;</w:t>
            </w:r>
          </w:p>
          <w:p>
            <w:pPr>
              <w:numPr>
                <w:ilvl w:val="0"/>
                <w:numId w:val="3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които 50%  от членовете на групата или организацията на производителите са подпомогнати по Подпрограмата за малки стопанства;</w:t>
            </w:r>
          </w:p>
          <w:p>
            <w:pPr>
              <w:numPr>
                <w:ilvl w:val="0"/>
                <w:numId w:val="30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които е заложено обмяната на опит и обучения допринасящи за по-доброто използване на природните ресурси, околната среда, иновациите и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процесът на оценка проектите на групите или организациите на производители, които не са събрали минималният брой точки няма да бъдат одобрени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под формата на фиксирано годишно плащане, отпускана за не повече от пет последователни години от датата, на която групата или организацията на производителите е призната. Размерът на помощта за всяка група или организация на производителите е не повече от 100 000 евро за всяка една година. Подпомагането трябва да бъде намаляващо.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Последното плащане се извършва при условие, че има коректно изпълнение на представения и одобрен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първата година финансовата помощ може да бъде изплатена на групата или организацията на производителите, изчислена на база средна годишна продадена продукция от нейните членове през трите години, предхождащи включването им в групата или организацията.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1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одобряване на необосновано високи разходи;</w:t>
            </w:r>
          </w:p>
          <w:p>
            <w:pPr>
              <w:numPr>
                <w:ilvl w:val="0"/>
                <w:numId w:val="31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numPr>
                <w:ilvl w:val="0"/>
                <w:numId w:val="31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промяна на условията, за които кандидатът е получил приоритет;</w:t>
            </w:r>
          </w:p>
          <w:p>
            <w:pPr>
              <w:numPr>
                <w:ilvl w:val="0"/>
                <w:numId w:val="31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заложените цели и дейности в бизнес плана;</w:t>
            </w:r>
          </w:p>
          <w:p>
            <w:pPr>
              <w:numPr>
                <w:ilvl w:val="0"/>
                <w:numId w:val="31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неподходящ избор на бенефициенти, които не отговарят на условията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11"/>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Помощта към крайните ползватели няма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няма да превишава 100 000 евро годишно;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2.2. Изискване на документи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Контролните процедури включват елементи за проверка за наличие на изкуствено създадени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Административният контрол ще обхваща всички одобрени бизнес планове, с цел установяване нивото на изпълнение. Годишното плащане ще се извършва, след проверка на изпълнението на предвидените дейности в бизнес плана;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Въвеждане на контролни процедури, гарантиращи, че плащането ще се извършва само на групи и организации на производителите, признати в периода 2014-2020 г.</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 по мярката се извършва чрез проверки. Всяко условие за допустимост и критерии за оценка е проверимо чрез представяне на документ или проверка в държавни регистри. Проверките включват системни административни проверки на всички заявления за помощ и се допълват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Опита от прилагане на мярка 142 от ПРСР 2007-2013 г. ще спомогне преодоляване на основните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Специален акцент трябва да се постави на мерки за повишаване на информираността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мярката не може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неможе да превишава 100 000 евро годишно.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 на годишната пазарна продукция на групата или организацията на производители не се включва стойността на реализираната продукция на земеделски производители, които не са членове на организацията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 на стойността на годишната пазарна продукция на групата или организацията не се включват:</w:t>
            </w:r>
          </w:p>
          <w:p>
            <w:pPr>
              <w:numPr>
                <w:ilvl w:val="0"/>
                <w:numId w:val="31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реализираната продукция на земеделски производители, които не са членове на организацията;</w:t>
            </w:r>
          </w:p>
          <w:p>
            <w:pPr>
              <w:numPr>
                <w:ilvl w:val="0"/>
                <w:numId w:val="3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продукцията на всеки един член, който е получил помощ за същите продукти като член на друга група или организация на производители;</w:t>
            </w:r>
          </w:p>
          <w:p>
            <w:pPr>
              <w:numPr>
                <w:ilvl w:val="0"/>
                <w:numId w:val="31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продукцията, за която групата или организацията на производители не е призната.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официалната процедура за признаване на групите и организациите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Признаването на новосъздадените групи на производителите ще се извършва от министъра на земеделието, храните и горите в съответствие с приложимите национални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Започването и приключването на приема на заявления за признаване на групи производители се определят със заповед на министъра на земеделието, храните 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Групите производители подават в Министерство на земеделието, храните и горите заявления за признаване.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Признаването на организации на производителите се осъществява по реда на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Кандидатстващите групи и организации на производителите подават документи за подпомагане по мярката в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Изпълнителният Директор на РА въз основа на извършените проверки взима крайно решение за подпомагане на групата или организация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Признатата група или организация на производителите сключва договор за финансово подпомагане с Разплащателна  агенция (РА) на база представен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организации на производители признати съгласно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 и националното законодателство за неговото прилагане, както и групи на производители, признати от министъра на земеделието, храните и горите, съгласно националното законодателство.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1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одобряване на необосновано високи разходи;</w:t>
            </w:r>
          </w:p>
          <w:p>
            <w:pPr>
              <w:numPr>
                <w:ilvl w:val="0"/>
                <w:numId w:val="31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numPr>
                <w:ilvl w:val="0"/>
                <w:numId w:val="31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промяна на условията, за които кандидатът е получил приоритет;</w:t>
            </w:r>
          </w:p>
          <w:p>
            <w:pPr>
              <w:numPr>
                <w:ilvl w:val="0"/>
                <w:numId w:val="31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заложените цели и дейности в бизнес плана;</w:t>
            </w:r>
          </w:p>
          <w:p>
            <w:pPr>
              <w:numPr>
                <w:ilvl w:val="0"/>
                <w:numId w:val="313"/>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неподходящ избор на бенефициенти, които не отговарят на условията за допустимост.</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14"/>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Помощта към крайните ползватели няма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няма да превишава 100 000 евро годишно;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2.2. Изискване на документи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Контролните процедури включват елементи за проверка за наличие на изкуствено създадени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Административният контрол ще обхваща всички одобрени бизнес планове, с цел установяване нивото на изпълнение. Годишното плащане ще се извършва, след проверка на изпълнението на предвидените дейности в бизнес плана;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Въвеждане на контролни процедури, гарантиращи, че плащането ще се извършва само на групи и организации на производителите, признати в периода 2014-2020 г.</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 по мярката се извършва чрез проверки. Всяко условие за допустимост и критерии за оценка е проверимо чрез представяне на документ или проверка в държавни регистри. Проверките включват системни административни проверки на всички заявления за помощ и се допълват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Опита от прилагане на мярка 142 от ПРСР 2007-2013 г. ще спомогне преодоляване на основните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Специален акцент трябва да се постави на мерки за повишаване на информираността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мярката не може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неможе да превишава 100 000 евро годишно.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 на годишната пазарна продукция на групата или организацията на производители не се включва стойността на реализираната продукция на земеделски производители, които не са членове на организацията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 на стойността на годишната пазарна продукция на групата или организацията не се включват:</w:t>
            </w:r>
          </w:p>
          <w:p>
            <w:pPr>
              <w:numPr>
                <w:ilvl w:val="0"/>
                <w:numId w:val="31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реализираната продукция на земеделски производители, които не са членове на групата или организацията;</w:t>
            </w:r>
          </w:p>
          <w:p>
            <w:pPr>
              <w:numPr>
                <w:ilvl w:val="0"/>
                <w:numId w:val="3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продукцията на всеки един член, който е получил помощ за същите продукти като член на друга група или организация на производители;</w:t>
            </w:r>
          </w:p>
          <w:p>
            <w:pPr>
              <w:numPr>
                <w:ilvl w:val="0"/>
                <w:numId w:val="31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продукцията, за която групата или организацията на производители не е призната. </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Описание на официалната процедура за признаване на групите и организациите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Признаването на новосъздадените групи на производителите ще се извършва от министъра на земеделието, храните и горите в съответствие с приложимите национални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Започването и приключването на приема на заявления за признаване на групи производители се определят със заповед на министъра на земеделието, храните 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Групите производители подават в Министерство на земеделието, храните и горите заявления за признаване.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Признаването на организации на производителите се осъществява по реда на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Кандидатстващите групи и организации на производителите подават документи за подпомагане по мярката в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Изпълнителният Директор на РА въз основа на извършените проверки взима крайно решение за подпомагане на групата или организация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Признатата група или организация на производителите сключва договор за финансово подпомагане с Разплащателна  агенция (РА) на база представен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организации на производители признати съгласно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 и националното законодателство за неговото прилагане, както и групи на производители, признати от министъра на земеделието, храните и горите, съгласно националното законодателство. </w:t>
            </w:r>
          </w:p>
          <w:p>
            <w:pPr>
              <w:pStyle w:val="BodyText"/>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мярка „Инвестиции в материални активи“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Инвестиционните разходи свързани с дейността на групите или организации на производители ще бъдат допустими за подпомагане в рамките на мярка „Инвестиции в материални активи“.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Първи стълб на ОСП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прилагането на мярката ще бъдат осигурени необходимите проверки за гарантиране избягването на двойно финансиране с първи стълб от ОСП. Разплащателната агенция ще извършва кръстосана проверка, целяща избягване на двойното финансиране по ПРСР и схемите за подпомагане в рамките на първи стълб. Инвестиционните проекти, които има възможност да попаднат в обсега на схемите за подпомагане по първи стълб  от ОСП ще бъдат проверявани индивидуално за възможно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„Плодове и зеленчуци”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на производителите няма да бъдат подпомагани по мярката за дейности включени за подпомагане в техните Оперативни програми, съгласно Регламент (EC)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Преходни договорености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 за нереализираните многогодишни финансови ангажименти по Програма за развитие на селските райони (2007-2013) е дадена в Раздел 19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6" w:name="_Toc256000126"/>
      <w:r>
        <w:rPr>
          <w:b w:val="0"/>
        </w:rPr>
        <w:t>M10 — Агроекология и климат (член 28)</w:t>
      </w:r>
      <w:bookmarkEnd w:id="126"/>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28 от Регламент (ЕС) № 1305/2013 на Европейския парламент и Съвета от 17.12.2013 г. относно подпомагане на селските райони от Европейският земеделски фонд за развитие на селските райони (ЕЗФРСР) и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е продължение на приложените дейности по мярка „Агроекологични плащания” от ПРСР (2007-2013). Тя предоставя възможност за прилагане на широк спектър дейности с цел устойчиво ползване на земеделските ресурси и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Полу-естествените местообитания са една от най-ценните екосистеми в България и за тяхното опазване се предвижда подпомагането на  се екстензивни  традиционни земеделски практики  на паша и коситба в земите с висока природна стойност. Подпомагането на традиционните практики на сезонна паша във високопланинските пасища в националните и природните  паркове, и местата от Натура 2000, с утвърдени планове на управление, ще допринесе за съхраняване на тревните екосистеми и свързаните с тях ценни местообитания и видове. Тези дейности ще допринесат за постигането на целите по приоритет 4А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опазване на почвеното плодородие, намаляване на замърсяването на почвите и водите, и  деградацията на земеделските земи  се предвиждат дейности, свързани с превръщането на обработваеми земи в пасища, създаване и поддържане на буферни ивици, създаване на оттокоотвеждащи бразди в  трайни насаждения и лозя и  въвеждане на поясно редуване културите. Тези дейности ще допринесат за постигането на целите по приоритети 4 Б и 4В.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подкрепа  и за отглеждане на застрашени от изчезване местни породи животни и сортове растения, която да доведе до опазване на агробиоразнообразието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мярката съответстват на приоритетите на България за възстановяване и опазване на биоразнообразието и екосистемите, заложени в Националната приоритетната рамка за действие за Натура 2000, а именно Мярка 52 „ Подкрепа за прилагане на агроекологични мерки” от приоритет  2.2. Устойчиво управление на земеделските земи, в т.ч. на земите с висока природна стойност при използване на екосистемния и регионален подход.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допринесе основно за постигането на целите на приоритетна област 4 (А, Б и В но подпомаганите дейности (особено подходящите почвообработки и съхранението на постоянните пасища) ще доведат до намаляване на парниковите газове произтичащи от земеделска дейност (приоритет 5Г)  и насърчаване на опазването и съхранение на въглерод в селското и горското стопанство (приоритет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мярка „Агроекология и климат” са от значение и за насърчаване на икономическия растеж и развитие на селските райони и за подобряване на устойчиво ползване на природните ресурси, ресурсната ефективност и екологичните показатели на земеделските стопанства. Устойчивите екосистеми в добро състояние притежават голям потенциал за смекчаване на последиците от изменението на климата и приспособяването към тях. Те устояват и се възстановяват по-лесно от крайни метеорологични явления и осигуряват широк обхват от обществени ползи, от които зависи земеделието и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цели на мярката са следните:</w:t>
            </w:r>
          </w:p>
          <w:p>
            <w:pPr>
              <w:numPr>
                <w:ilvl w:val="0"/>
                <w:numId w:val="31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 и поддържане на затревени площи с висока природна стойност и свързваните с тях видове, чрез насърчаване или възстановяване на традиционните практики за управление на полу-естествените затревени площи; предотвратяване на бъдещата загуба на затревени площи, причинена от превръщането им в обработваеми земеделски земи или преизпасването им, или преустановяване на пашата и коситбата върху тях;</w:t>
            </w:r>
          </w:p>
          <w:p>
            <w:pPr>
              <w:numPr>
                <w:ilvl w:val="0"/>
                <w:numId w:val="31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Опазване на биологичното разнообразие и защита, поддържане и възстановяване на благоприятния статус на местата от Натура 2000, преди да са влезли в сила задължителните ограничения, наложени от плановете им за управление и заповедите за обявяването им, издадени съгласно Директива 92/43/ ЕИО на Съвета от 21 май 1992 година за опазване на естествените местообитания и на дивата флора и фауна;</w:t>
            </w:r>
          </w:p>
          <w:p>
            <w:pPr>
              <w:numPr>
                <w:ilvl w:val="0"/>
                <w:numId w:val="31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Опазване на застрашените от изчезване редки породи и традиционни сортове растения;</w:t>
            </w:r>
          </w:p>
          <w:p>
            <w:pPr>
              <w:numPr>
                <w:ilvl w:val="0"/>
                <w:numId w:val="3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Предотвратяване на ерозията на почвите и подобряване на управлението им;</w:t>
            </w:r>
          </w:p>
          <w:p>
            <w:pPr>
              <w:numPr>
                <w:ilvl w:val="0"/>
                <w:numId w:val="31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почвеното плодородие.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основно значение за правилното прилагане на природощадящите земеделски  дейности е и повишаването на познанията на земеделските стопани относно опазването на  биоразнообразнообразие, предотвратяването на деградацията на почви и намаляването на замърсяването на водните тела. За тази цел земеделските стопани трябва да преминат през агро-екологично обучение или да докажат опит  за прилагането на поетите от тях ангажименти.</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10.1.1.Възстановяване и поддържане на затревени площи с висока природна стойност (ВПС1)</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318"/>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екстензивни  традиционни практики за поддържане и възстановяване на затревени площи с висока природна стойност (ВПС)  и тяхното 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ще се осъществява върху постоянно затревени площи, попадащи в обхвата на земите с ВПС на територията на цялата страна извън зони от Натура 2000 с влезли в сила заповеди за тяхното обявяване. От дейността се изключват и постоянно затревените площи в  Националните паркове и резервати.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са следните видове постоянно затревени площи: пасища, мери и ливади, смесено земеползване,  храсти и затревени площи (други неземеделски площи), определени в ИСАК. Когато част от физическия блок е определен като ВПС, дейностите могат да се прилагат на територията на целия физически блок.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 и ще допринесе  за предотвратяване на климатичните промени.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върху едни и същи площи за период от пет години, като съществува вариант за ежегодно удължаване на срока не по-късно от 2022 г., като поетите ангажименти през 2021 г. се изпълняват за срок от една година. От 2022 година ангажименти, които се удължават след изтичането им през 2021 г. се изпълняват за срок от 1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Новите ангажименти от 2022г. са с продължителност 3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ха постоянно затревена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1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5-годишно задължение;</w:t>
            </w:r>
          </w:p>
          <w:p>
            <w:pPr>
              <w:numPr>
                <w:ilvl w:val="0"/>
                <w:numId w:val="32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избират дали да поддържат земеделските площи чрез паша или косене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Изисквания за поддържане чрез паша:</w:t>
            </w:r>
          </w:p>
          <w:p>
            <w:pPr>
              <w:numPr>
                <w:ilvl w:val="0"/>
                <w:numId w:val="32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Спазване на гъстота на животинските единици  в зависимост от природните, климатични и почвени условия, с цел осигуряване на добро екологично състояние на ливадите и пасищата и поддържане на постоянна тревна покривка от 0,3 – 1 ЖЕ/ха;</w:t>
            </w:r>
          </w:p>
          <w:p>
            <w:pPr>
              <w:numPr>
                <w:ilvl w:val="0"/>
                <w:numId w:val="3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Забранено е използването на минерални торове и продукти за растителна защита;</w:t>
            </w:r>
          </w:p>
          <w:p>
            <w:pPr>
              <w:numPr>
                <w:ilvl w:val="0"/>
                <w:numId w:val="32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Забранява се изграждането на нови отводнителни системи.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Изисквания за поддържане чрез косене:</w:t>
            </w:r>
          </w:p>
          <w:p>
            <w:pPr>
              <w:numPr>
                <w:ilvl w:val="0"/>
                <w:numId w:val="32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Забранено е използването на минерални торове и продукти за растителна защита;</w:t>
            </w:r>
          </w:p>
          <w:p>
            <w:pPr>
              <w:numPr>
                <w:ilvl w:val="0"/>
                <w:numId w:val="3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Забранява се изграждането на нови отводнителни системи.</w:t>
            </w:r>
          </w:p>
          <w:p>
            <w:pPr>
              <w:numPr>
                <w:ilvl w:val="0"/>
                <w:numId w:val="3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Първата коситба трябва да бъде от 15 юни до 15 юли за равнините и хълмистите райони и в периода от 30 юни до 15 август за планинските необлагодетелствани райони, определени в мярка 13. „Плащания за райони с природни или други специфични ограничения”;</w:t>
            </w:r>
          </w:p>
          <w:p>
            <w:pPr>
              <w:numPr>
                <w:ilvl w:val="0"/>
                <w:numId w:val="3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Косенето да се извършва ръчно или с косачка за бавно косене, да е от центъра към периферията на ливадата и с бавна скорост или от единия към другия край на парцела;</w:t>
            </w:r>
          </w:p>
          <w:p>
            <w:pPr>
              <w:numPr>
                <w:ilvl w:val="0"/>
                <w:numId w:val="32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Окосената трева трябва да се изнася от затревената площ или да се изсушава и събира на купове.</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 дейността трябва да са регистрирани в ИСАК и да обработват постоянно затревени площи с ВПС. От обхвата на мярката се изключват постоянно затревените площи в зоните от Натура 2000 с влезли в сила заповеди за тяхното обявяване, Националните паркове и резервати.</w:t>
            </w:r>
          </w:p>
          <w:p>
            <w:pPr>
              <w:numPr>
                <w:ilvl w:val="0"/>
                <w:numId w:val="3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Минималната площ за участие в мярката е 0,5 ха.</w:t>
            </w:r>
          </w:p>
          <w:p>
            <w:pPr>
              <w:numPr>
                <w:ilvl w:val="0"/>
                <w:numId w:val="3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към мярка 10 от ПРСР. И за площите, заявени за подпомагане, съответните базови  изисквания, посочени в Приложение 1 към мярка 10 на ПРСР.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numPr>
                <w:ilvl w:val="0"/>
                <w:numId w:val="3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че площи от ангажимента на земеделски стопанин бъдат изключени от обхвата на мярката, поради влезли в сила заповеди за обявяване на зони по Натура 2000,  ангажимента може да се прекрати и в съответствие с чл. 48 от Регламент (ЕС) № 1305/2013 няма да се изисква възстановяване на полученото финансово подпомагане по направлението.</w:t>
            </w:r>
          </w:p>
          <w:p>
            <w:pPr>
              <w:numPr>
                <w:ilvl w:val="0"/>
                <w:numId w:val="32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стопанин може да продължи да изпълнява дейности по направлението само с площи от ангажимента, които не са изключени от обхвата  на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 ”Агроекология и климат”, дейност „Възстановяване и поддържане на затревени площи с висока природна стойност” не могат да кандидатстват за подпомагане върху един и същи парцел за затревени площи по мярка „ Биологично земеделие.</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постоянно затревена площ –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поддържане на постоянно затревени площи с ВПС чрез паша - 126,80 Евро/ха. За заявените за подпомагане площи през  2021 г. и след нея.  - 134,09 Евро/ха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поддържане на постоянно затревени площи с ВПС чрез косене -113,51 евро /ха. За заявените за подпомагане площи през 2021 г. и след нея  – 125,78 Евро/ха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попадат в обхвата на слой със земи с висока природна стойност, при което няма да отговорят на критериите за допустимост за одобрение и получаване на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при заявяване на площите кандидатите да очертаят такива, които попадат на територията на национален парк и същите да не бъдат одобрени за учстие или съответно да бъдат наложени санкции при изчислението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Визуализира се и предупреждение за кандидатите, когато са заявили площи, попадащи на територията на националните паркове.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РА извършва административни проверки чрез ИСАК – заявена площ, заявени животни, гъстотата на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двата вида практики ще се извършва измерване на площите и проверка на водените в стопанството дневници за прилагани минерални торове и продукти за растителна защита. Теренните проверки на площите следят за прилагани минерални торове и ПРЗ,  извършва се и  оглед за изградени нови отводнителни системи или обработка. Извършва се проверка на записите в дневника на стопанството за извършените агреокологични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поддържане чрез паша: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контрол на натоварването на пасищата ще бъде изчислявана гъстотата на животинските единици, като се съотнесат извежданите на паша пасищни животни към заявените пасищни площи в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поддържане с косене: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график за проверка на място ще бъде следена забраната за косене на ливадите преди 15 юни за равнинните райони и преди 30 юни за планинските райони. Ще бъде проверявана наличната в стопанството техника, както и начина на косене на ливадите в установените периоди.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направлението поемат ангажимент да спазват специфичните за прилаганите от тях дейности базови изисквания:</w:t>
            </w:r>
          </w:p>
          <w:p>
            <w:pPr>
              <w:numPr>
                <w:ilvl w:val="0"/>
                <w:numId w:val="32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3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(Заповед на министъра на земеделието и храните РД-09-501 от 27.07.2014 г.).</w:t>
            </w:r>
          </w:p>
          <w:p>
            <w:pPr>
              <w:numPr>
                <w:ilvl w:val="0"/>
                <w:numId w:val="3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numPr>
                <w:ilvl w:val="0"/>
                <w:numId w:val="3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 Задължително е да се запазват и поддържат съществуващите: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32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управление (ЗИУ) 2.1. Забрана за: 1. умишлено улавяне или убиване на диви птици с каквито и да е уреди, средства и методи; 2. умишлено разрушаване, увреждане или преместване на гнезда; 3. умишлено унищожаване на яйца на диви птици, включително в случаите, когато те са изоставени; 4. умишлено обезпокояване на дивите птици, особено през периода на размножаване и отглеждане на малките.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представени в Приложение 3 към мярка 10 от ПРСР.</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направлението поемат ангажимент да спазват Минималните изисквания за употреба на торове и препарати за растителна защита, описани в Приложение 6 към мярка 10.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2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10.1.2. Поддържане на местообитанията на защитени видове в обработваеми земи с орнитологично значение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326"/>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дейност ще се подпомага опазването на обработваемите земеделски земи с висока природна стойност. Дейността ще се осъществява на територията на обработваеми земи с висока природна стойност, определени в ИСАК.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дейността на мярката се изключват националните паркове и резерватите.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поемат ангажимент да прилагат поетите ангажименти върху едни и същи площи за период от пет последователни години. След изтичане на петгодишния период на ангажимента, кандидатите могат да удължават ангажимента си ежегодно до изтичане на програмния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ха обработваема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2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2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 годишно задължение;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могат да изберат едно от следните  направления:</w:t>
            </w:r>
          </w:p>
          <w:p>
            <w:pPr>
              <w:numPr>
                <w:ilvl w:val="0"/>
                <w:numId w:val="32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Поддържане на местообитания на зимуващи гъски и Ливаден блатар в обработваеми земи с орнитологично значение</w:t>
            </w:r>
          </w:p>
          <w:p>
            <w:pPr>
              <w:numPr>
                <w:ilvl w:val="0"/>
                <w:numId w:val="32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Поддържане на местообитания на Царски орел  и Египетски лешояд в обработваеми земи  с орнитологично значение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могат да изберат да  прилагат една от следните дейности от направление ”Поддържане на местообитания на зимуващи гъски и Ливаден блатар в обработваеми земи с орнитологично значение”:</w:t>
            </w:r>
          </w:p>
          <w:p>
            <w:pPr>
              <w:numPr>
                <w:ilvl w:val="0"/>
                <w:numId w:val="33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Засяване и отглеждане на есенни зърнено-житни култури в местообитания на зимуващи видове гъски на минимум 50% от заявените по дейността площи;</w:t>
            </w:r>
          </w:p>
          <w:p>
            <w:pPr>
              <w:numPr>
                <w:ilvl w:val="0"/>
                <w:numId w:val="33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Засяване и отглеждане на минимум 50% есенни зърнено-житни култури и минимум 30% царевица  от заявената по дейността площ  в местообитания на червеногушата гъска;</w:t>
            </w:r>
          </w:p>
          <w:p>
            <w:pPr>
              <w:numPr>
                <w:ilvl w:val="0"/>
                <w:numId w:val="33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стопанин поемат ангажимент да не прибират реколтата от зърнено-житни култури преди 31 юли в площи с местообитания на ливадния блатар (Circus pygargus).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могат да изберат да  прилагат следната дейност от направление „Поддържане на местообитания на Царски орел  и Египетски лешояд в обработваеми земи  с орнитологично значение”:</w:t>
            </w:r>
          </w:p>
          <w:p>
            <w:pPr>
              <w:numPr>
                <w:ilvl w:val="0"/>
                <w:numId w:val="33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Превръщане на обработваеми земи, които са местообитания на Царски орел (Aquila heliaca) или Египетски Лешояд (Neophron pernopterus) в постоянно затревени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3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 дейността трябва да са регистрирани в ИСАК и да обработват обработваеми земи, попадащи в обхвата на земеделските земи с ВПС.</w:t>
            </w:r>
          </w:p>
          <w:p>
            <w:pPr>
              <w:numPr>
                <w:ilvl w:val="0"/>
                <w:numId w:val="33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Минималната площ за участие в мярката е 0,3 ха.</w:t>
            </w:r>
          </w:p>
          <w:p>
            <w:pPr>
              <w:numPr>
                <w:ilvl w:val="0"/>
                <w:numId w:val="33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3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3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по направление ”Поддържане на местообитания на зимуващи гъски и Ливаден блатар в обработваеми земи с орнитологично значение” може да не е една и съща..</w:t>
            </w:r>
          </w:p>
          <w:p>
            <w:pPr>
              <w:numPr>
                <w:ilvl w:val="0"/>
                <w:numId w:val="33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w:t>
            </w:r>
          </w:p>
          <w:p>
            <w:pPr>
              <w:numPr>
                <w:ilvl w:val="0"/>
                <w:numId w:val="33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засяване и отглеждане на есенни зърнено-житни култури в местообитания на зимуващи видове гъски на минимум 50 % от заявените по дейността площи – 81,59 евро/ха;</w:t>
            </w:r>
          </w:p>
          <w:p>
            <w:pPr>
              <w:numPr>
                <w:ilvl w:val="0"/>
                <w:numId w:val="3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превръщане на обработваемите земи, които са местообитания на Царски орел или Египетски лешояд, в постоянно затревени площи- 278 евро/ха; За заявените за подпомагане площи по дейността след 01.01.2018 г. – 247 евро/ха;</w:t>
            </w:r>
          </w:p>
          <w:p>
            <w:pPr>
              <w:numPr>
                <w:ilvl w:val="0"/>
                <w:numId w:val="3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засяване и отглеждане на есенни зърнено-житни култури в местообитания на червеногушата гъска – 103,68 евро/ха;</w:t>
            </w:r>
          </w:p>
          <w:p>
            <w:pPr>
              <w:numPr>
                <w:ilvl w:val="0"/>
                <w:numId w:val="33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прибиране на реколтата след 31 юли в площи с гнезда на ливадния блатар (Circus pygargus) - 109,93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попадат в обхвата на съответния допустим слой, при което кандидатите няма да отговорят на критериите за допустимост за одобрение и получаване на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поради неблагоприятни метеорологични условия или други причини земеделските стопани, кандидатстващи за подпомагане за зимуващи видове гъски, да не успеят да осигурят засяване на есенно зърнено-житни култури на минимум  50 % от площите, декларирани по дейността, което ще доведе до неполучаване на подпомагане на дадената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кандидатите за подпомагане за превръщане на обработваеми земи в постоянно затревени площи в местообитанията на Царски орел или Египетски лешояд, след затревяването на площите, в периода на ангажимента същите да бъдат разорани отново, при което да се откаже изплащане на средствата.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земеделският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информираност на бенефициентите относно специфичните изисквания на отделните дейности и тяхното предупреждение относно това, че при неизпълнение на изискването може да им бъде отказано изплащането на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констатирано разораване на площи, одобрени за подпомагане по дейността за превръщане на обработваеми земи в постоянно затревени площи в местообиранията на Царски орел или Египетски лешояд, на кандидатите се дава възможност да възстановят разораните площи на следващата година, като това се проследява чрез извършване на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РА извършва административни проверки чрез ИСАК  на заявената площ, дали поне 50 % от заявената площ е засята с есенни зърнено-житни култури, дали заявените площи попадат в обхвата на съответния специализиран слой.</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измерване на площите, като за определяне на изискването за оставяне на минимум 50 % есенни зърнено-житни култури от заявените по дейността площи, ще бъдат направени допълнителни измервания по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график за проверка на място ще бъде следена забраната за прибиране на реколтата преди 31 юли в площи с гнезда на ливадния блатар (Circus pygargus).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проверка на записите в дневника на стопанството за извършените агреокологични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проверка на изискването за превръщане на обработваеми земи в пасища, наред с теренната проверка ще бъдат проверени водените в стопанството дневници, фактури за закупени семена, срок на засяване на тревните смески и пр.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специфичните за прилаганите от тях дейности базови изисквания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Направление „</w:t>
            </w:r>
            <w:r>
              <w:rPr>
                <w:rFonts w:ascii="Times New Roman" w:eastAsia="Times New Roman" w:hAnsi="Times New Roman" w:cs="Times New Roman"/>
                <w:b/>
                <w:bCs/>
                <w:szCs w:val="24"/>
              </w:rPr>
              <w:t>Поддържане на местообитанията на зимуващи гъски и ливаден блатар в обработваеми земи с орнитологично значение</w:t>
            </w:r>
            <w:r>
              <w:rPr>
                <w:rFonts w:ascii="Times New Roman" w:eastAsia="Times New Roman" w:hAnsi="Times New Roman" w:cs="Times New Roman"/>
                <w:b/>
                <w:bCs/>
                <w:szCs w:val="24"/>
              </w:rPr>
              <w:t>”</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6. Забранява се изгарянето на стърнищата.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управление 2.1</w:t>
            </w:r>
            <w:r>
              <w:rPr>
                <w:rFonts w:ascii="Times New Roman" w:eastAsia="Times New Roman" w:hAnsi="Times New Roman" w:cs="Times New Roman"/>
                <w:b/>
                <w:bCs/>
                <w:szCs w:val="24"/>
              </w:rPr>
              <w:t>.</w:t>
            </w:r>
            <w:r>
              <w:rPr>
                <w:rFonts w:ascii="Times New Roman" w:eastAsia="Times New Roman" w:hAnsi="Times New Roman" w:cs="Times New Roman"/>
                <w:szCs w:val="24"/>
              </w:rPr>
              <w:t xml:space="preserve"> Забрана за: 1. умишлено улавяне или убиване на диви птици с каквито и да е уреди, средства и методи; 2. умишлено разрушаване, увреждане или преместване на гнезда; 3. умишлено унищожаване на яйца на диви птици, включително в случаите, когато те са изоставени; 4. умишлено обезпокояване на дивите птици, особено през периода на размножаване и отглеждане на малките.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управления (ЗИУ) 2.2. Забрани за НАТУРА зона за птиците: Забрана за премахване на характеристиките на ландшафта (синори, единични и група дървета) при ползването на земеделските земи като такива.*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управления 2.3. Забрани за НАТУРА зона за птиците</w:t>
            </w:r>
            <w:r>
              <w:rPr>
                <w:rFonts w:ascii="Times New Roman" w:eastAsia="Times New Roman" w:hAnsi="Times New Roman" w:cs="Times New Roman"/>
                <w:b/>
                <w:bCs/>
                <w:szCs w:val="24"/>
              </w:rPr>
              <w:t>:</w:t>
            </w:r>
            <w:r>
              <w:rPr>
                <w:rFonts w:ascii="Times New Roman" w:eastAsia="Times New Roman" w:hAnsi="Times New Roman" w:cs="Times New Roman"/>
                <w:szCs w:val="24"/>
              </w:rPr>
              <w:t xml:space="preserve"> Забрана за използване на неселективни средства за борба с вредителите по горите (в селското стопанство).*</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*ЗИУ 2.2. и 2.3. се прилагат само за  парцели с влезли в сила  забрани от Заповедите за обявяване на зоните от НАТУРА 2000 за птиците.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Направление „Поддържане на местообитанията на Царски орел и Египетски лешояд в обработваеми земи с орнитологично значение”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управление 2.1</w:t>
            </w:r>
            <w:r>
              <w:rPr>
                <w:rFonts w:ascii="Times New Roman" w:eastAsia="Times New Roman" w:hAnsi="Times New Roman" w:cs="Times New Roman"/>
                <w:b/>
                <w:bCs/>
                <w:szCs w:val="24"/>
              </w:rPr>
              <w:t>.</w:t>
            </w:r>
            <w:r>
              <w:rPr>
                <w:rFonts w:ascii="Times New Roman" w:eastAsia="Times New Roman" w:hAnsi="Times New Roman" w:cs="Times New Roman"/>
                <w:szCs w:val="24"/>
              </w:rPr>
              <w:t xml:space="preserve"> Забрана за: 1. умишлено улавяне или убиване на диви птици с каквито и да е уреди, средства и методи; 2. умишлено разрушаване, увреждане или преместване на гнезда; 3. умишлено унищожаване на яйца на диви птици, включително в случаите, когато те са изоставени; 4. умишлено обезпокояване на дивите птици, особено през периода на размножаване и отглеждане на малките.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управления (ЗИУ) 2.2. Забрани за НАТУРА зона за птиците: Забрана за премахване на характеристиките на ландшафта (синори, единични и група дървета) при ползването на земеделските земи като такива.*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*ЗИУ 2.2. прилага само за  парцели с влезли в сила  забрани от Заповедите за обявяване на зоните от НАТУРА 2000 за птиците.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Базовите изисквания са описани подробно в Приложение 3 към мярка 10 от ПРСР.</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3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 xml:space="preserve">10.1.3. Контрол на почвената ерозия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336"/>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Това направление позволява земеделските стопани да прилагат една или комбинация от следните дейности - превръщане на обработваеми земеделски земи в пасища, чрез използване на многогодишни тревни смески; противоерозионни мероприятия в лозя и трайни насаждения, създаване и поддържане на буферни ивици за предовратяване на ерозията, поясно редуване на културите.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осъществява на територията на България, с изключение на Националните паркове и резервати. Предимство ще се дава на територията на общини, в които земеделските земи (обработваеми земи, пасища, трайни насаждения  и/или лозя) са средно или силно засегнати от ерозия.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върху едни и същи площи за период от пет години, като съществува вариант за ежегодно удължаване на срока не по-късно от 2022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за нови кандидати може да са с продължителност от 1 до 3 години в съответствие с приетото европейско законодателство за периода 2021-2022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2022 година новите ангажименти и тези, които се удължават след изтичането им през 2021 г. се изпълняват за срок от 1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Тeзи дейности ще допринесат основно за постигането на целите на приоритетна област 4Б и ще допринесе  за предотвратяване на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ха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3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3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поетият ангажимент;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могат да изберат да прилагат следните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Превръщане на обработваеми земеделски земи в постоянно затревени площи, чрез използване на многогодишни тревни смески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Противоерозионни мероприятия в лозя и трайни насаждения -</w:t>
            </w:r>
          </w:p>
          <w:p>
            <w:pPr>
              <w:numPr>
                <w:ilvl w:val="0"/>
                <w:numId w:val="338"/>
              </w:numPr>
              <w:spacing w:before="240" w:after="0"/>
              <w:ind w:left="720" w:hanging="244"/>
              <w:jc w:val="left"/>
              <w:rPr>
                <w:rFonts w:ascii="Times New Roman" w:eastAsia="Times New Roman" w:hAnsi="Times New Roman" w:cs="Times New Roman"/>
                <w:szCs w:val="24"/>
              </w:rPr>
            </w:pPr>
            <w:r>
              <w:rPr>
                <w:rFonts w:ascii="Times New Roman" w:eastAsia="Times New Roman" w:hAnsi="Times New Roman" w:cs="Times New Roman"/>
                <w:szCs w:val="24"/>
              </w:rPr>
              <w:t>чрез затревяване на междуредията на лозята и трайните насаждения - поддържане на нисък тревостой на междуредовото затревяване и вътрешноредово окопаване на насажденията;</w:t>
            </w:r>
          </w:p>
          <w:p>
            <w:pPr>
              <w:numPr>
                <w:ilvl w:val="0"/>
                <w:numId w:val="338"/>
              </w:numPr>
              <w:spacing w:before="0" w:after="240"/>
              <w:ind w:left="720" w:hanging="244"/>
              <w:jc w:val="left"/>
              <w:rPr>
                <w:rFonts w:ascii="Times New Roman" w:eastAsia="Times New Roman" w:hAnsi="Times New Roman" w:cs="Times New Roman"/>
                <w:szCs w:val="24"/>
              </w:rPr>
            </w:pPr>
            <w:r>
              <w:rPr>
                <w:rFonts w:ascii="Times New Roman" w:eastAsia="Times New Roman" w:hAnsi="Times New Roman" w:cs="Times New Roman"/>
                <w:szCs w:val="24"/>
              </w:rPr>
              <w:t>прокарване и поддържане на оттокоотвеждащи бразди напречно на склона - дължината на браздите е 5-10 м, като се прекъсват през 5 м. Разполагат се перпендикулярно на наклона и шахматно по склона в редовете. Браздите се прокопават три пъти годишно.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Противоерозионни мероприятие в обработваеми земи:</w:t>
            </w:r>
          </w:p>
          <w:p>
            <w:pPr>
              <w:numPr>
                <w:ilvl w:val="0"/>
                <w:numId w:val="339"/>
              </w:numPr>
              <w:spacing w:before="240" w:after="240"/>
              <w:ind w:left="720" w:hanging="244"/>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 поддържане на буферни ивици с медоносна тревна растителност – ширината на ивиците е от поне  4м. Прокарват се  напречно на склона в зависимост от наклона на терена, почвения тип и други фактори. В зависимост от разстоянието между тях и ширината им те заемат поне 15 % от обработваемата площ на парцел.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поясно редуване на окопни със слята повърхност култури перпендикулярно на склона - поясите, широки 30-100 м, с редуващи се окопни и слятопокровни култури, се  разполагат перпендикулярно (напречно) на склона (по контура).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 дейността трябва да са регистрирани в ИСАК и да обработват обработваеми земи.</w:t>
            </w:r>
          </w:p>
          <w:p>
            <w:pPr>
              <w:numPr>
                <w:ilvl w:val="0"/>
                <w:numId w:val="3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Минималната площ за участие в мярката е 0,5 ха.</w:t>
            </w:r>
          </w:p>
          <w:p>
            <w:pPr>
              <w:numPr>
                <w:ilvl w:val="0"/>
                <w:numId w:val="3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 дейността, трябва да предоставят план за противоерозионни дейности, изготвен от дипломиран агроном и документ при закупуване на тревните смески и семена на медоносни растения.</w:t>
            </w:r>
          </w:p>
          <w:p>
            <w:pPr>
              <w:numPr>
                <w:ilvl w:val="0"/>
                <w:numId w:val="3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4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земеделска площ:</w:t>
            </w:r>
          </w:p>
          <w:p>
            <w:pPr>
              <w:numPr>
                <w:ilvl w:val="0"/>
                <w:numId w:val="34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превръщане на обработваеми земеделски земи в постоянно затревени площи – 315 евро/ха; За заявените за подпомагане площи по дейността след 01.01.2018 г. – 266 евро/ха;</w:t>
            </w:r>
          </w:p>
          <w:p>
            <w:pPr>
              <w:numPr>
                <w:ilvl w:val="0"/>
                <w:numId w:val="34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противоерозионни мероприятия в лозя и трайни насаждения: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затревяване на междуредията на лозята и трайните насаждения 156 евро/ха; За заявените за подпомагане площи през  2021 г. и след нея -157,48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 изграждане и поддържане на  оттокоотвеждащи бразди напречно на склона – 142  евро/ха; За заявените за подпомагане площи през  2021 г. и след нея – 128,85 евро/ха;</w:t>
            </w:r>
          </w:p>
          <w:p>
            <w:pPr>
              <w:numPr>
                <w:ilvl w:val="0"/>
                <w:numId w:val="34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Противоерозионни мероприятие в обработваеми земи: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за създаване и поддържане на буферни ивици- 40 евро/ха;За заявените за подпомагане площи по дейността след 01.01.2018 г. – 36 евро/ха; За заявените за подпомагане площи през  2021 г. и след нея създаване и поддържане на буферни ивици с медоносна тревна растителност - 63,82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 за поясно редуване на културите – 38,2 евро/ха. За заявените за подпомагане площи през  2021 г. – 91,88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кандидатите за подпомагане за превръщане на обработваеми земи в постоянно затревени площи след затревяването на площите, в периода на ангажимента същите да бъдат разорани отново, при което да се откаже изплащане на средствата.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констатирано разораване на площи, одобрени за подпомагане по дейността за превръщане на обработваеми земи в постоянно затревени площи, на кандидатите се дава възможност да възстановят разораните площи на следващата година, като това се проследява чрез извършване на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извършва административни проверки чрез ИСАК – заявена площ, а на проверка на място се извършва измерване на заявената площ, дневника на стопанството, площта на буферни ивици, пояасно редуване на културите, предвидените антиерозионни дейности, изполваните тревни смески.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измерване на площите.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проверка на записите в дневника на стопанството за извършените агреокологични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измервана ширината и отстоянието на буферните ивици една от друга, както и тяхното процентно съотношение към обработваемата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проверка на изискването за превръщане на обработваеми земи в постоянно затревени площи, наред с теренната проверка, ще бъдат проверени водените в стопанството дневници, фактури за закупени семена, срок на засяване на тревните смески и пр.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специфичните за прилаганите от тях дейности базови изисквания:</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(Заповед на министъра на земеделието и храните РД-09-501 от 27.07.2014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описани в Приложение 3 към мярка 10.</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4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10.1.4. Традиционни практики за сезонна паша (пасторализъм)</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344"/>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това направление се подпомага традиционната високопланинска паша в летните месеци. Направлението се прилага на територията на национални паркове в Република България – Централен Балкан, Рила и Пирин, с изключение на резерватите. Направлението ще се приложи и пилотно за високопланинските пасища на  територията на природните паркове  и защитените зони от Натура 2000 с утвърдени планове за управление.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 и ще допринесе  за предотвратяване на климатичните промени.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за период от пет години, като съществува вариант за ежегодно удължаване на срока</w:t>
            </w:r>
            <w:r>
              <w:rPr>
                <w:rFonts w:ascii="Times New Roman" w:eastAsia="Times New Roman" w:hAnsi="Times New Roman" w:cs="Times New Roman"/>
                <w:szCs w:val="24"/>
                <w:u w:val="single"/>
              </w:rPr>
              <w:t xml:space="preserve"> </w:t>
            </w:r>
            <w:r>
              <w:rPr>
                <w:rFonts w:ascii="Times New Roman" w:eastAsia="Times New Roman" w:hAnsi="Times New Roman" w:cs="Times New Roman"/>
                <w:szCs w:val="24"/>
              </w:rPr>
              <w:t>не по-късно от 2022г.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Ангажиментите от 2022 година са с продължителност от 1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не могат да заявяват едни и същи земеделски парцели по направлението и по мярка 12 „Плащания по Натура 2000 и Рамковата директива за водите“ от Програмата за развитие на селските райони за периода 2014 - 2020 г.</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ЖЕ/ха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4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4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4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4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4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изплаща само, при спазване на нормите на натоварване на пасищата, одобрени от Дирекциите на националните и природните паркове, като земеделските стопани не извеждат по–голям брой животни от определените в разрешителните за паша.</w:t>
            </w:r>
          </w:p>
          <w:p>
            <w:pPr>
              <w:numPr>
                <w:ilvl w:val="0"/>
                <w:numId w:val="34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Земеделският стопанин трябва да пасе животните си на определените планински пасища, най-малко 3 месеца от годината (в периода май – октомври). Изключения от тези срокове се допускат при изрични разпоредби на Дирекцията на националните и природните паркове.</w:t>
            </w:r>
          </w:p>
          <w:p>
            <w:pPr>
              <w:numPr>
                <w:ilvl w:val="0"/>
                <w:numId w:val="34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Земеделският стопанин трябва да притежава най-малко две кучета за опазване на животните от нападения на хищници, в случай че кандидатстват за допълнително плащане.</w:t>
            </w:r>
          </w:p>
          <w:p>
            <w:pPr>
              <w:numPr>
                <w:ilvl w:val="0"/>
                <w:numId w:val="34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получаване на допълнителното компенсаторно плащане за паша с каракачански кучета и кучетата от порода „българско овчарско куче“, те трябва да притежават „Родословен сертификат” за произход, издаден от призната асоциация.</w:t>
            </w:r>
          </w:p>
          <w:p>
            <w:pPr>
              <w:numPr>
                <w:ilvl w:val="0"/>
                <w:numId w:val="34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Животните се придружавани от пастир (гледач), ако не се придружават от земеделския стопанин.</w:t>
            </w:r>
          </w:p>
          <w:p>
            <w:pPr>
              <w:numPr>
                <w:ilvl w:val="0"/>
                <w:numId w:val="34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 придружаващите стадото кучета се поставя спъвачка.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4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по направлението трябва да притежават тревопасни животни (овце, говеда) и да имат годишно разрешително за паша, издадено от дирекциите на национални паркове Рила, Пирин и/или Централен Балкан, както и от природните паркове. Ангжиментът не се  поема за фиксирани земеделски парцели – те могат да варират в зависимост от състоянието на пасищата и целесъобразността на пашата. По преценка и предписание на Дирекциите на националните и природните паркове, пашата върху даден парцел може да бъде преустановена.  Земеделският стопанин, кандидатстващи за подпомагане по направлението трябва да притежава най-малко или 50 овце, или 10 говеда, или комбинация от тях, но не по-малко от 10 ЖЕ.</w:t>
            </w:r>
          </w:p>
          <w:p>
            <w:pPr>
              <w:numPr>
                <w:ilvl w:val="0"/>
                <w:numId w:val="34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се вписват в системата за идентификация на животните по чл. 30, ал. 2, т. 3 от ЗПЗП.</w:t>
            </w:r>
          </w:p>
          <w:p>
            <w:pPr>
              <w:numPr>
                <w:ilvl w:val="0"/>
                <w:numId w:val="35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5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5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не е една и съща.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w:t>
            </w:r>
          </w:p>
          <w:p>
            <w:pPr>
              <w:numPr>
                <w:ilvl w:val="0"/>
                <w:numId w:val="35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традиционни практики за сезонна паша (пасторализъм) - 179 евро/ха;</w:t>
            </w:r>
          </w:p>
          <w:p>
            <w:pPr>
              <w:numPr>
                <w:ilvl w:val="0"/>
                <w:numId w:val="35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традиционни практики за сезонна паша (пасторализъм) при използване на най-малко две работни кучета - 182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кандидатите да заявят площи извън допустимите територии или такива, които попадат в резервати, поради неправилно очертаване на площите.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кандидатите да не спазят нормите на натоварване на пасищата, което би довело до редуциране на средствата.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бенефициентът да заяви участие по дейността с кучета, но същият да няма налични такива или да не притежава изискуемия минимален брой, както и да не е осигурил необходимите документи (Родословен сертификат) за доказване породността на кучетата.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случай на очертаване на площи в резерват, в ИСАК е създадена отделна страница, на която са описани всички парцели, които земеделският стопанин е заявил в резерват или имат пресичане с резерват.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Създадена е електронна система, в която дирекциите на националните и природните паркове въвеждат данни за извършените проверки. С електронната система се елиминираха грешките, получени в резултат на предаването на информация от различни административни структури. Относно натовараемостта на пасищата ще се осъществява контрол и 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време на подаване на заявление по дейността с кучета в системата ще бъде заложена функционалност, като на отделна страница ще се генерира предупреждение, че е необходимо кандидатът да притежава минимум 2 броя кучета от съответната порода и да предостави родословен сертификат за тях. Бенефициентът се запознава с информацията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ще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извършва административни проверки чрез ИСАК – заявена площ, броя на отглежданите животни, наличие на кучета и тяхната породност, а на проверка на място се проверяват, наличните животни и кучета, , дневник за закупените и продадени кучета.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Породите кучета са традиционни за този начин на отглеждане на животните за България и са част от същността на традиционната практика за сезонна паша, наречена пасторализъм. Това са работни кучета, които са приобщени към стадото и опазват стадата от нападение на хищници. Двете породи кучета притежават родословен сертификат за произход, което основно изискване за допустимост по направлението.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Проверката на място се извършва в периода на извеждане на животните на високопланинските пасища. Следи се гъстотата на изведените пасищните животни, съгласно издаденото разрешително за паша от дирекциите на националните паркове, както и дали животните пасат на определените пасища.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Проверява се, дали стадата се придружават от кучета за опазване от нападение на хищници, както и техният брой.</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Проверява се, дали земеделският стопанин/овчарят води дневник на загубите на животните както и причината за тяхната загуба. Вписаните дати на извеждане и прибиране на животните от пасищата.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всяко куче от породата каракачанско куче и „Българско овчарско куче“, заявено за получаване на допълнително компесатоно плащане се изисква в допълнение и сетификат за произход.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направлението поемат ангажимент да спазват специфичните за прилаганите от тях дейности базови изисквания:</w:t>
            </w:r>
          </w:p>
          <w:p>
            <w:pPr>
              <w:numPr>
                <w:ilvl w:val="0"/>
                <w:numId w:val="35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националните паркове се забраняват: използване на изкуствени торове и други химически средства; паша на кози, както и пашата в горите извън ливадите и пасищата; нарушаване на естественото състояние на водни площи, водни течения, техните брегове и прилежащи територии, освен в случаи на опасност от наводнения, които могат да доведат до риск за живота и здравето на хората или настъпване на материални щети; замърсяване на водите и терените с битови, промишлени и други отпадъци;  бивакуване и палене на огън извън определените места; намеса в биологичното разнообразие.( Чл. 21 от Закона за защитените територии, т. 4, 6, 9, 12, 13, 14).</w:t>
            </w:r>
          </w:p>
          <w:p>
            <w:pPr>
              <w:numPr>
                <w:ilvl w:val="0"/>
                <w:numId w:val="35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резерватите се забраняват всякакви дейности, с изключение на посочените в чл. 17 от Закона за защитените територии.</w:t>
            </w:r>
          </w:p>
          <w:p>
            <w:pPr>
              <w:numPr>
                <w:ilvl w:val="0"/>
                <w:numId w:val="35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природните паркове се спазват забраните предвидени в чл. 31 от Закона за защитените територии, както и забраните предвидени в чл. 21, ал. 1, когато са приети с плановете за управление.</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описани в Приложение 3 към мярка 10.</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5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10.1.5. Опазване на застрашени от изчезване местни породи, важни за селското стопанство</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354"/>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Ще се прилага на цялата територия на Република България. Ще се подпомагат застрашени от изчезване местни породи от следните видове животни: говеда, биволи, овце, кози, коне, свине. Списъкът на застрашените от изчезване местни породи е представен в Приложение 3 към мярка 10 от ПРСР (2014-2020). Списъкът се предоставя от компетентни държавни и частни организации, отговорни за дейностите по животинска репродукция в България. Съгласно българското законодателство те носят отговорност за регистрирането и воденето на племенните книги на породите, за които отговарят. Тези организации се одобряват от Министъра на земеделието, храните и горите.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Ангажиментите са за период от пет години, като съществува вариант за ежегодно удължаване на срока не по-късно от 2022 г. Поети ангажименти през 2021 се изпълняват за срок от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Новите ангажименти от 2022 г. са с продължителност 3 години.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ЖЕ. Подпомагат се чистокръвни породи животни, притежаващи документ, доказващ произхода им.</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5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5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5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(2007-2013), не се изисква повторно преминаване на обучението;</w:t>
            </w:r>
          </w:p>
          <w:p>
            <w:pPr>
              <w:numPr>
                <w:ilvl w:val="0"/>
                <w:numId w:val="35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за продажбите и закупуването на всички животни в стопанството.</w:t>
            </w:r>
          </w:p>
          <w:p>
            <w:pPr>
              <w:numPr>
                <w:ilvl w:val="0"/>
                <w:numId w:val="35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се задължават да спазват развъдната програма за съответната подпомагана порода.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Допълнителни изисквания за управление са:</w:t>
            </w:r>
          </w:p>
          <w:p>
            <w:pPr>
              <w:numPr>
                <w:ilvl w:val="0"/>
                <w:numId w:val="35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Уведомяване и получаване на писмено позволение от съответната развъдна асоциация или от ИАСРЖ преди клане или продажба на всяко животно, подпомагано с плащания по тази дейност;</w:t>
            </w:r>
          </w:p>
          <w:p>
            <w:pPr>
              <w:numPr>
                <w:ilvl w:val="0"/>
                <w:numId w:val="35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Забранява се свободното пасищно отглеждане на свинете извън регламентираните за тази цел места.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трябва да отглеждат застрашени от изчезване местни породи от посочените в Списък на застрашените от изчезване местни породи - Приложение 3 към мярка 10 от ПРСР (2014-2020).эБенефициентите по застрашени от изчезване местни породи се вписват в системата за идентификация на животните по чл. 30, ал. 2, т. 3 от ЗПЗП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Подпомагането се предоставя под формата на годишни плащания на животинска единица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за едър рогат добитък и биволи - 200 евро/животинска единица (ЖЕ). </w:t>
            </w:r>
            <w:r>
              <w:rPr>
                <w:rFonts w:ascii="Times New Roman" w:eastAsia="Times New Roman" w:hAnsi="Times New Roman" w:cs="Times New Roman"/>
                <w:b/>
                <w:bCs/>
                <w:szCs w:val="24"/>
              </w:rPr>
              <w:t>За заявените след 01.01.2022 г.</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 212,21 евро/животинска единица (ЖЕ);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за овце и кози – 145 евро/ЖЕ; </w:t>
            </w:r>
            <w:r>
              <w:rPr>
                <w:rFonts w:ascii="Times New Roman" w:eastAsia="Times New Roman" w:hAnsi="Times New Roman" w:cs="Times New Roman"/>
                <w:b/>
                <w:bCs/>
                <w:szCs w:val="24"/>
              </w:rPr>
              <w:t>За заявените след 01.01.2022 г - 150,32 евро/ЖЕ;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за свине - 122 евро/ЖЕ; </w:t>
            </w:r>
            <w:r>
              <w:rPr>
                <w:rFonts w:ascii="Times New Roman" w:eastAsia="Times New Roman" w:hAnsi="Times New Roman" w:cs="Times New Roman"/>
                <w:b/>
                <w:bCs/>
                <w:szCs w:val="24"/>
              </w:rPr>
              <w:t>За заявените след 01.01.2022 г .- 126 евро/ЖЕ;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за коне – 143 евро/ЖЕ; </w:t>
            </w:r>
            <w:r>
              <w:rPr>
                <w:rFonts w:ascii="Times New Roman" w:eastAsia="Times New Roman" w:hAnsi="Times New Roman" w:cs="Times New Roman"/>
                <w:b/>
                <w:bCs/>
                <w:szCs w:val="24"/>
              </w:rPr>
              <w:t>За заявените след 01.01.2022 г -   143,80 евро/ЖЕ;</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кандатите да намалят бройката на одобрените за подпомагане животни, без да са информирали ДФЗ за причините наложили намалението, при което да не изпълнят задълженията 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кандидатът да заяви животни, които не са негова собственост или за които не е предоставен зоотехнически сертификат, или  ДПЖ, роден след 01.01.2010г. и не са чипирани да бъдат заявени за подпомагане, при което на бенефицинетът ще бъде наложена санкция.</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при подаване на заявлението за подпомагане за установена липса на документи при наличие на загуба на животни. При кандидатстване от електронната система излиза предупреждение, ако бенефициентът е заявил по-малък брой животни от тези, за които е поет агроекологичен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кандидатстване от електронната система излиза предупреждение, ако бенефициентът е заявил животни, които не са негова собственост, не са чипирани или за които не е предоставен зоотехнически сертификат.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ще се описват изискванията по управление, които бенефициентът следва да спазва. Описват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извършва административни проверки чрез ИСАК – заявена площ, заявените животни и тяхната породност, а на проверка на място се извършва  проверка на наличните животни, развъдната програма, дневника на стопанството, дневник за продажбите и закупуването на всички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Всяко заявено за подпомагане животно се проверява, дали е правилно и надлежно идентифицирано, съгласно нормативните изисквания. Проверява се регистъра на животновъдния обект.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Проверява се дали свинете пасат в регламентираните за целта места (съгласно издаденото разрешително за паша).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клане или продажба на заявено за подпомагане животно се проверява издаденото писмено позволение от съответната развъдна асоциация или от ИАСРЖ.</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Няма специфични базови изисквания за опазване на застрашени от изчезване местни породи животни.</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5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Списъкът на застрашените от изчезване местни породи е в Приложение 8 към ПРСР (2014-2020) </w:t>
            </w:r>
            <w:r>
              <w:rPr>
                <w:rFonts w:ascii="Times New Roman" w:eastAsia="Times New Roman" w:hAnsi="Times New Roman" w:cs="Times New Roman"/>
                <w:b/>
                <w:bCs/>
                <w:szCs w:val="24"/>
              </w:rPr>
              <w:t>и е приложим до изтичане на изпълняваните многогодишни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Във връзка с прилагането на идентична интервенция в одобрения Стратегически план на България 2023-2027 г., размерът на подпомагане е адаптиран в съответствие с изчисленията от 2022 г. за съответните видове животни в интервенция II.А.6. - Опазване на местни породи (автохтонни), важни за селското стопанство.</w:t>
            </w:r>
          </w:p>
          <w:p>
            <w:pPr>
              <w:pStyle w:val="BodyText"/>
              <w:jc w:val="both"/>
              <w:rPr>
                <w:b w:val="0"/>
              </w:rPr>
            </w:pPr>
          </w:p>
        </w:tc>
      </w:tr>
    </w:tbl>
    <w:p>
      <w:pPr>
        <w:pStyle w:val="Heading5"/>
        <w:jc w:val="left"/>
        <w:rPr>
          <w:b w:val="0"/>
        </w:rPr>
      </w:pPr>
      <w:r>
        <w:rPr>
          <w:b w:val="0"/>
        </w:rPr>
        <w:br w:type="page"/>
      </w:r>
      <w:r>
        <w:rPr>
          <w:b w:val="0"/>
        </w:rPr>
        <w:t>10.1.6. Опазване на застрашени от изчезване местни сортове, важни за селското стопанство</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359"/>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Застрашените от изчезване местни сортове растения са важна културна ценност, която характеризира селските райони. Старите местни сортове представляват, ценен генетичен потенциал за бъдещ напредък. В контекста на все по застрашаващите ни климатични промени, тези  сортове са от съществено значение, поради тяхната доказана адаптивност. В тази връзка от особена важност е запазването и популяризирането на знания свързани с отглеждането и съхранението им.</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до началото на новото хилядолетие се е водила активна селекционна дейност и са запазени много разнообрази сортове, които са доказали своята устойчивост през годините. Тези сортове са били много популярни сред земеделските стопани, но поради икономически причини селекционерите не могат да предоставят посевен и посадъчен материал от тях.</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Основната цел на направлението е да се увеличи отглеждането застрашените от изчезване местни сортове растения, в отговор на все по-голямото търсене на регионални продукти. С увеличаването на площите, върху които се отглеждат такива сортове се цели и да се разнообрази еднообразното сортово присъствие на пазара, което се налага от икономически по изгодните сортове растения, чието производство е по рентабилно.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данни на научните институциии към момента  площите в България, върху които  се отглеждат местни сортове растения, застрашени от генетична ерозия са следните: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-Зеленчуци  - около 6000 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-Трайни насаждения – около 150 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-Други видове култури – няма данни.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застрашените от изчезване местни сортове и популации от вички земеделски култури, които са традиционни за отглеждане на територията на Република България, посочени в Приложение 4 към мярка 10 от ПРСР 2014-2020. Ще се подпомага отглеждането на застрашени от изчезване сортове до 50 ха на земеделски стопанин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 и ще допринесе  за предотвратяване на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за период от пет години, като съществува вариант за ежегодно удължаване на срока не по-късно от 2022 г. Ангажиментите на нови кандидати може да са с продължителност от 1 до 3 години в съответствие с приетото европейско законодателство за периода 2021-2022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Новите ангажименти от 2022 г. са с продължителност 3 години.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ха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на Съвета от 14 юни 1966 година относно търговията със семена от зърнени култури (66/402/ЕИО);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2001/64/ЕО на Съвета от 31 август 2001 година за изменение на Директиви 66/401/ЕИО относно търговията със семена от фуражни култури и 66/402/ЕИО относно търговията със семена от зърнени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на Съвета 2002/55/ЕО от 13 юни 2002 година относно търговията със семена от зеленчукови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2002/56/ЕО на Съвета от 13 юни 2002 година относно търговията с посадъчен материал от картофи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на Комисията от 13 април 1982 година за изменение на приложенията към Директиви 66/401/ЕИО и 69/208/ЕИО на Съвета съответно относно търговията със семена от фуражни култури и със семена от маслодайни и влакнодайни култури и на Директиви 78/386/ЕИО и 78/388/ЕИО (82/287/ЕИО)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биологичното разнообразие обн. дв. бр.77 от 9 август 2002г.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посевния и посадъчния материал обн. дв. бр.20 от 4 март 2003г.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Наредба № 12 от 1 юни 2007 г. за процедурите по сертификация и/или одобрение на произвеждания и търгуван посадъчен материал от групите земеделски растения - овощни, лозя, декоративни и зеленчукови видове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Наредба № 12 от 15 март 2004 г. за условията и реда за сортоизпитване, признаване, вписване и отписване на сортовете растения в и от официалната сортова листа на Република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Наредба № 24 от 28 май 2004 г. за производство и търговия с посевен и посадъчен материал от медицински и ароматни растения</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 и научни институции;</w:t>
            </w:r>
          </w:p>
          <w:p>
            <w:pPr>
              <w:numPr>
                <w:ilvl w:val="0"/>
                <w:numId w:val="36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6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6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 годишно задължение.</w:t>
            </w:r>
          </w:p>
          <w:p>
            <w:pPr>
              <w:numPr>
                <w:ilvl w:val="0"/>
                <w:numId w:val="36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отглеждат заявените от тях сортове, като могат да намаляват одобрената за подкрепата площ  с местни сортове, застрашени от генетична ерозия до 10%, но не по-малко  от минимално определената площ за съответно агроекологично направление през периода на прилагане на поетото задължение (във връзка с чл. 47, на Регламент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6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трябва да отглеждат застрашени от изчезване местни сортове и  популации растения от посочените в Списък на застрашените от изчезване местни сортове и  популации  растения - Приложение 4 към мярка 10 от ПРСР (2014-2020) и да притежават официален документ, издадено от лицето, което има право да сортоподдържа съответния местен сортове, застрашен от генетична ерозия.</w:t>
            </w:r>
          </w:p>
          <w:p>
            <w:pPr>
              <w:numPr>
                <w:ilvl w:val="0"/>
                <w:numId w:val="36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Минимален размер за участие в дейността е 0,1 ха.</w:t>
            </w:r>
          </w:p>
          <w:p>
            <w:pPr>
              <w:numPr>
                <w:ilvl w:val="0"/>
                <w:numId w:val="3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6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по  групи култури може да не е една и съща.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земеделска площ. Подпомагането се предоставя до 50 ха от застрашен от генетична ерозия сорт на земеделски стопанин.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36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w:t>
            </w:r>
            <w:r>
              <w:rPr>
                <w:rFonts w:ascii="Times New Roman" w:eastAsia="Times New Roman" w:hAnsi="Times New Roman" w:cs="Times New Roman"/>
                <w:szCs w:val="24"/>
              </w:rPr>
              <w:t xml:space="preserve">Полски култури –223,95 евро/ха; За заявените за подпомагане площи след 01.01.2018 г. – 221,39 евро/ха; </w:t>
            </w:r>
            <w:r>
              <w:rPr>
                <w:rFonts w:ascii="Times New Roman" w:eastAsia="Times New Roman" w:hAnsi="Times New Roman" w:cs="Times New Roman"/>
                <w:b/>
                <w:bCs/>
                <w:szCs w:val="24"/>
              </w:rPr>
              <w:t>За заявените за подпомагане площи след 01.01.2022 г.  - 408,01 евро/ха</w:t>
            </w:r>
          </w:p>
          <w:p>
            <w:pPr>
              <w:numPr>
                <w:ilvl w:val="0"/>
                <w:numId w:val="36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Трайни насаждения –787,39 евро/ха; </w:t>
            </w:r>
            <w:r>
              <w:rPr>
                <w:rFonts w:ascii="Times New Roman" w:eastAsia="Times New Roman" w:hAnsi="Times New Roman" w:cs="Times New Roman"/>
                <w:b/>
                <w:bCs/>
                <w:szCs w:val="24"/>
              </w:rPr>
              <w:t>За заявените за подпомагане площи след 01.01.2022 г.  - 825,73 евро/ха</w:t>
            </w:r>
            <w:r>
              <w:rPr>
                <w:rFonts w:ascii="Times New Roman" w:eastAsia="Times New Roman" w:hAnsi="Times New Roman" w:cs="Times New Roman"/>
                <w:szCs w:val="24"/>
              </w:rPr>
              <w:t> </w:t>
            </w:r>
          </w:p>
          <w:p>
            <w:pPr>
              <w:numPr>
                <w:ilvl w:val="0"/>
                <w:numId w:val="36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Зеленчуци - 429,48 евро/ха; </w:t>
            </w:r>
            <w:r>
              <w:rPr>
                <w:rFonts w:ascii="Times New Roman" w:eastAsia="Times New Roman" w:hAnsi="Times New Roman" w:cs="Times New Roman"/>
                <w:b/>
                <w:bCs/>
                <w:szCs w:val="24"/>
              </w:rPr>
              <w:t>За заявените за подпомагане площи след 01.01.2022 г.  -  956,12 евро/ха</w:t>
            </w:r>
          </w:p>
          <w:p>
            <w:pPr>
              <w:numPr>
                <w:ilvl w:val="0"/>
                <w:numId w:val="36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Ароматно-медицински култури - 536,86 евро/ха. </w:t>
            </w:r>
            <w:r>
              <w:rPr>
                <w:rFonts w:ascii="Times New Roman" w:eastAsia="Times New Roman" w:hAnsi="Times New Roman" w:cs="Times New Roman"/>
                <w:b/>
                <w:bCs/>
                <w:szCs w:val="24"/>
              </w:rPr>
              <w:t>За заявените за подпомагане площи след 01.01.2022 г. - 845,34евро/ха;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информираността на бенефициентите относно опазването на застрашените от изчезване сортове и тяхната полза за опазването на биоразнообразието.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извършва административни проверки чрез ИСАК – заявена площ, заявените култури, а на проверка на място се извършва измерване на заявената площ, засетите култури, дневника на стопанството.</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опазване на застрашени от изчезване местни сортове, важни за селското стопанство няма специфични базови изисквания.</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застрашените от изчезване местни сортове и популации е в Приложение 4 към ПРСР (2014-2020 и е приложим до изтичане на изпълняваните ангажименти.</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Във връзка с прилагането на идентична интервенция в одобрения Стратегически план на България 2023-2027 г., размерът на подпомагане е адаптиран в съответствие с изчисленията от 2022 г. за съответните групи в интервенция II.А.5. - Опазване на застрашени от изчезване местни сортове, важни за селското стопанство.</w:t>
            </w:r>
          </w:p>
          <w:p>
            <w:pPr>
              <w:pStyle w:val="BodyText"/>
              <w:jc w:val="both"/>
              <w:rPr>
                <w:b w:val="0"/>
              </w:rPr>
            </w:pPr>
          </w:p>
        </w:tc>
      </w:tr>
    </w:tbl>
    <w:p>
      <w:pPr>
        <w:pStyle w:val="Heading5"/>
        <w:jc w:val="left"/>
        <w:rPr>
          <w:b w:val="0"/>
        </w:rPr>
      </w:pPr>
      <w:r>
        <w:rPr>
          <w:b w:val="0"/>
        </w:rPr>
        <w:br w:type="page"/>
      </w:r>
      <w:r>
        <w:rPr>
          <w:b w:val="0"/>
        </w:rPr>
        <w:t>10.1.7 Подсигуряване разнообразна паша на пчелите и осигуряване на естествено опрашване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366"/>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направлението ще се подпомагат земеделски стопани, които поемат ангажимент за преместване и разполагане на пчелни семейства в територии, важни за биоразнообразието в Република България, като по този начин стимулират развитието на прилежащата растителност.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по направлението ще се изпълняват на част от територията на страната. Временните пчелини трябва да се разполагат на площ в референти парцели, с Натура 2000 зони, в райони с природни или други ограничения и земи с висока природна стойност от територията на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за период от пет години, като съществува вариант за удължаване на годишна база. В случай на недостиг на средства няма да се поемат нови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  като с осигуряване на разнообразна паша на пчелите ще се подпомогне опазването на биоразнообразието в страната чрез:</w:t>
            </w:r>
          </w:p>
          <w:p>
            <w:pPr>
              <w:numPr>
                <w:ilvl w:val="0"/>
                <w:numId w:val="36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Опрашването предоставя важна екосистемна услуга, което допринася за подобряването на биологичното разнообразие чрез поддържане на генетичното разнообразие на растенията. Подпомаганите пчелни семейства за дейността за преместване и разполагане на пчелни семейства в райони със значение за биоразнообразието ще допринесе за развитието и опазването на прилежаща растителност  и съществуващи екосистеми като в допълнение пчеларството индиректно ще подсигури разпространението и развитието на растителната покривка от диворастящи и естествени видове в районите от значение за биоразнообразието. </w:t>
            </w:r>
          </w:p>
          <w:p>
            <w:pPr>
              <w:numPr>
                <w:ilvl w:val="0"/>
                <w:numId w:val="36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Опазване на пчелните семейства посредством осигуряване разнообразна паша.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пчелно семейство.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пчеларството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numPr>
                <w:ilvl w:val="0"/>
                <w:numId w:val="36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притежават минимум 25 бр. пчелни семейства в пчелин регистриран в животновъдния регистър</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дейностите поемат ангажимент да водят дневник (регистър) на стопанството, предмет на поетото 5 годишно задължение;</w:t>
            </w:r>
          </w:p>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Сезонно преместване и разполагане на пчелни семейства на разстояние от минимум 3 км от постоянния пчелин на кандидата, регистриран в БАБХ.</w:t>
            </w:r>
          </w:p>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 на броя на подпомагания брой пчелни семейства до 80 % от първоначалния като се поема ангажимент за минимум 25 бр. пчелни семейства.</w:t>
            </w:r>
          </w:p>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придвижване на минимум 2 местоположения за пчелни семейства с ангажимент.</w:t>
            </w:r>
          </w:p>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Спазване на минимално време за престой на пчелните семейства от 3 седмици за всяко  местоположение.</w:t>
            </w:r>
          </w:p>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 едно местоположение се разполагат до 50 пчелни семейства</w:t>
            </w:r>
          </w:p>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Разполагане на временните пчелини на разстояние от минимум 500м. от друго местоположение, в което е разположен пчелин на кандидата</w:t>
            </w:r>
          </w:p>
          <w:p>
            <w:pPr>
              <w:numPr>
                <w:ilvl w:val="0"/>
                <w:numId w:val="36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Временните пчелини трябва да са регистрирани посредством GPS координати в животновъдния регистър на БАБХ и да са разположени на площи в референтни парцели с Натура 2000 зони, райони с природни или други ограничения или земи с висока природна стойност.</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трябва да спазват задължителните стандарти, установени  съгласно гл. I на дял VI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са регистрирани в ИСАК и да притежават пчелин с минимум 25 пчелни семейства, регистриран по чл.137 от ЗВД</w:t>
            </w:r>
          </w:p>
          <w:p>
            <w:pPr>
              <w:numPr>
                <w:ilvl w:val="0"/>
                <w:numId w:val="37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 на броя на подпомагания брой пчелни семейства до 80 % от първоначалния ангажимент.</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дейността за осигуряване на естествено опрашване чрез преместване и разполагане на пчелни семейства подпомагането се предоставя под формата на годишни плащания за пчелно семейство, както следва:</w:t>
            </w:r>
          </w:p>
          <w:p>
            <w:pPr>
              <w:numPr>
                <w:ilvl w:val="0"/>
                <w:numId w:val="37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пчелно семейство – 15,37 евро/пчелно семейство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 Съществува риск от неизпълнение на ангажимент за запазване на броя на пчелните семейства до 80% от одобрения. Съществува риск от непредоставяне на задължителен документ.Съществува риск от невъзможност да се осигури площ за разполагане на временните пчелини. 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попадат в райони, важни за биоразнообразието..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съответните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информираността на бенефициентите относно опазването на пчелите и тяхната роля за опазването на биоразнообразието.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Извършват се проверки за местоположението на пчелините, въз основа на имота, в който ще се разполагат пчелините.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проверка на записите в дневника на стопанството за извършените агроекологични дейности, базови изисквания и документи за преместване на пчелина.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предвидените действия се постига разумна увереност по отношение проверимостта и контрола на заложените изисквания.</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следните базови изисквания:</w:t>
            </w:r>
          </w:p>
          <w:p>
            <w:pPr>
              <w:numPr>
                <w:ilvl w:val="0"/>
                <w:numId w:val="37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пчеларството - чл.15 и чл.16, свързани с ограничения по отношение на разполагането на постоянни и временни пчелини..</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цели да допринесе за опазването на биоразнообразието, контрола на почвената ерозия, възстановяване на традиционните практики за сезонна паша, съхраняване на генетичното разнообразие, както и за смекчаването на последствията от изменението на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за период от пет години, като съществува вариант за удължаване на срока с две допълнителни години. Следователно се очаква, че положителното въздействие върху околната среда трябва да се реализира в рамките на този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37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бъде намалена с до 10 %, но не по-малко от минимално определената площ за подмярката през периода на прилагане на поетото задължение. Намалението може да бъде поради прехвърляне на стопанството и/ или поради промяна на размера на стопанството. В този случай бенефициентът не връща предоставената помощ и ще получава компенсаторни плащания за намаления размер на площта за оставащия период за изпълнение на задължението.</w:t>
            </w:r>
          </w:p>
          <w:p>
            <w:pPr>
              <w:numPr>
                <w:ilvl w:val="0"/>
                <w:numId w:val="37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могат да увеличават одобрените площи по мярка „Агроекология и климат“ с до 20 на сто от първоначалния размер, но с не повече от 10 хектара без да поемат ново агроекологично задължение, а разширяват ангажиментите си с новите площи за оставащия период.</w:t>
            </w:r>
          </w:p>
          <w:p>
            <w:pPr>
              <w:pStyle w:val="BodyText"/>
              <w:jc w:val="both"/>
              <w:rPr>
                <w:b w:val="0"/>
              </w:rPr>
            </w:pPr>
          </w:p>
        </w:tc>
      </w:tr>
    </w:tbl>
    <w:p>
      <w:pPr>
        <w:spacing w:after="100"/>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Минималните изисквания за употреба на торове и препарати за растителна защита, описани в приложение (приложение 2 към мярка 10).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застрашените от изчезване месни породи е в Приложение 8 към ПРСР (2014-2020).</w:t>
            </w:r>
          </w:p>
          <w:p>
            <w:pPr>
              <w:numPr>
                <w:ilvl w:val="0"/>
                <w:numId w:val="37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застрашените от изчезване местни сортове е в Приложение 4 към ПРСР (2014-2020).</w:t>
            </w:r>
          </w:p>
          <w:p>
            <w:pPr>
              <w:pStyle w:val="BodyText"/>
              <w:spacing w:after="100"/>
              <w:jc w:val="both"/>
              <w:rPr>
                <w:b w:val="0"/>
              </w:rPr>
            </w:pPr>
          </w:p>
        </w:tc>
      </w:tr>
    </w:tbl>
    <w:p>
      <w:pPr>
        <w:spacing w:after="100"/>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Методология за определяне на компенсаторните плащания по Мярка 10. Плащания за агроекология и климат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изчисление на конкретните нива на подпомагане по Мярка 10“Агроекология и климат” в България е използван модел, оценяващ пропуснатите ползи и направените допълнителни разходи за всяко отделно направление на мярката и конкретните, допустими и изискуеми дейности. Методологията е разработена от екип в състав: Доц.д-р Божидар Иванов,  Доц.д-р Красимира Кънева, Ас. Васил Стойчев, ас. Емилия Сколова (Институт по аграрна икономика) и Проф. д-р Тотка Трифонова (Институтът по почвознание, агротехнологии и защита на растенията „Никола Пушкаров”).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всички направления основната част от методологията е определянето на пропуснатите приходи, направените допълнителни разходи, като при някои направления под внимание се взима и реализираните допълнителни приходи. При изчисляване на компенсаторните плащания са използвани икономически данни от: отдел „Агростатистика” на МЗХГ, аграрни доклади на МЗХГ, НСИ, технологични спецификации, разработени от институти в системата на ССА, експертни оценки, проучване на дистрибуционни и снабдителни канали и представителни стопанства. Периодът за изчисление обхваща три последователни години 2011-2013. При всички направени изчисления са отчетени изискванията за „позеленяването” и свързаните за тях плащания са извадени от агроекологичните плащания, там където това е необходимо. Разходите, свързани с воденето на дневник в стопанството и преминаване на агроекологично обучение не се отчитат при изчисляване на плащанията.Във връзка с влязла в сила от 01.01.2018 г. забрана за използване на препарати за растителна защита при прилагане на практики по чл. 43 от Регламент 1307/2013 г. е извършен анализ на необходимостта от преразглеждане на нивата на подпомагане по всички дейности от мярката с оглед на избягване на риск от двойно финансиране. За част от дейностите е предвидено намаление на размера на подпомагане с фиксирана средна сума, което е приложимо за площите от съответната операция, заявени за подпомагане след 01.01.2018г.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Прегледът и анализът за настъпили промени или други условия водещи до нуждата от преизчисляване са направени на база няколко критерия: настъпили пазарни и производствени промени в периода 2017-2019 г., съотнесени към периода 2011-2013 г., който е използван за изчисляване на компенсаторното плащане в действащия програмен период. Наред с това са взети в предвид въвеждани ограничения и базови изисквания, които трябва да бъдат отчетени при изчисляване на компенсациите с оглед избягване или недопускане на риск от двойно финансиране. Включени и калкулирани са и спестените разходи и загубите вследствие неизвършването на определени дейности поради разписаните забрани 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Прегледът и анализът за настъпили промени или други условия водещи до нуждата от преизчисляване са направени на база няколко критерия: настъпили пазарни и производствени промени в периода 2017-2019 г., съотнесени към периода 2011-2013 г., който е използван за изчисляване на компенсаторното плащане в действащия програмен период. Наред с това са взети в предвид въвеждани ограничения и базови изисквания, които трябва да бъдат отчетени при изчисляване на компенсациите с оглед избягване или недопускане на риск от двойно финансиране. Включени и калкулирани са и спестените разходи и загубите вследствие неизвършването на определени дейности поради разписаните забрани 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1. За направление </w:t>
            </w:r>
            <w:r>
              <w:rPr>
                <w:rFonts w:ascii="Times New Roman" w:eastAsia="Times New Roman" w:hAnsi="Times New Roman" w:cs="Times New Roman"/>
                <w:szCs w:val="24"/>
                <w:u w:val="single"/>
              </w:rPr>
              <w:t xml:space="preserve">10.1.1 Възстановяване и поддържане на затревени площи с висока природна стойност </w:t>
            </w:r>
          </w:p>
          <w:p>
            <w:pPr>
              <w:numPr>
                <w:ilvl w:val="0"/>
                <w:numId w:val="37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При дейност </w:t>
            </w:r>
            <w:r>
              <w:rPr>
                <w:rFonts w:ascii="Times New Roman" w:eastAsia="Times New Roman" w:hAnsi="Times New Roman" w:cs="Times New Roman"/>
                <w:b/>
                <w:bCs/>
                <w:szCs w:val="24"/>
              </w:rPr>
              <w:t>поддържане на затревени площи с висока природна стойност</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чрез паша</w:t>
            </w:r>
            <w:r>
              <w:rPr>
                <w:rFonts w:ascii="Times New Roman" w:eastAsia="Times New Roman" w:hAnsi="Times New Roman" w:cs="Times New Roman"/>
                <w:szCs w:val="24"/>
              </w:rPr>
              <w:t>, изчисленията на компенсаторното плащане са направени на база на изискванията за максимално допустим брой животни, данни за добива на мляко, средната млечност, както и цените на млякото.</w:t>
            </w:r>
          </w:p>
          <w:p>
            <w:pPr>
              <w:numPr>
                <w:ilvl w:val="0"/>
                <w:numId w:val="37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w:t>
            </w:r>
            <w:r>
              <w:rPr>
                <w:rFonts w:ascii="Times New Roman" w:eastAsia="Times New Roman" w:hAnsi="Times New Roman" w:cs="Times New Roman"/>
                <w:b/>
                <w:bCs/>
                <w:szCs w:val="24"/>
              </w:rPr>
              <w:t xml:space="preserve"> поддържане на затревени площи с висока природна стойност чрез косене</w:t>
            </w:r>
            <w:r>
              <w:rPr>
                <w:rFonts w:ascii="Times New Roman" w:eastAsia="Times New Roman" w:hAnsi="Times New Roman" w:cs="Times New Roman"/>
                <w:szCs w:val="24"/>
              </w:rPr>
              <w:t>, изчисленията на компенсаторното плащане са направени на база на данни за средния добив и цена на сено, цени и количество на влаганите разрешени минерални и азотни торове (Регламент (ЕО) № 834/2007), които реално се спестяват, както и допълнителни разходи за косене от център към периферия и такива, произлизащи от ограничения срок на косене.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  За  направленията, включени в </w:t>
            </w:r>
            <w:r>
              <w:rPr>
                <w:rFonts w:ascii="Times New Roman" w:eastAsia="Times New Roman" w:hAnsi="Times New Roman" w:cs="Times New Roman"/>
                <w:szCs w:val="24"/>
                <w:u w:val="single"/>
              </w:rPr>
              <w:t xml:space="preserve">10.1.2 Поддръжка на местообитания на защитени видове на обработваема земя с орнитологическо значение </w:t>
            </w:r>
            <w:r>
              <w:rPr>
                <w:rFonts w:ascii="Times New Roman" w:eastAsia="Times New Roman" w:hAnsi="Times New Roman" w:cs="Times New Roman"/>
                <w:szCs w:val="24"/>
              </w:rPr>
              <w:t>наложените изисквания са свързани с допълнителни разходи, които стопаните ще трябва да извършват.</w:t>
            </w:r>
          </w:p>
          <w:p>
            <w:pPr>
              <w:numPr>
                <w:ilvl w:val="0"/>
                <w:numId w:val="37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дейност"Засяване на 50% от площта със зимна пшеница" - общо компенсаторно плащане за есенни зърнени култури е изчислено, като към допълнителните загуби нанасяни от различните видове гъски се добавят загубената част от добива от рапица, зърнени и други култури и се отчете, че се отнася само за половината от площта, засята със зърнени култури.</w:t>
            </w:r>
          </w:p>
          <w:p>
            <w:pPr>
              <w:numPr>
                <w:ilvl w:val="0"/>
                <w:numId w:val="37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 "Превръщане на обработваема земя в постоянно затревени площи" - е основана на брутните маржини на култури подходящи за отглеждане на обработваеми земи в обхвата на този слой, за опазване на биоразнообразието, откъдето са приспаднати алтернативните приходи от продукцията, идваща от затревените площи.</w:t>
            </w:r>
          </w:p>
          <w:p>
            <w:pPr>
              <w:numPr>
                <w:ilvl w:val="0"/>
                <w:numId w:val="3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 "Засаждане на 50% зимна пшеница или друга житна култура, като царевицата съставлява 30% от площта"- общо компенсаторно плащане е изчислено,като са взети пропуснатите ползи от ограниченията за процентен дял на зимната пшеница и царевицата.</w:t>
            </w:r>
          </w:p>
          <w:p>
            <w:pPr>
              <w:numPr>
                <w:ilvl w:val="0"/>
                <w:numId w:val="37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дейност"Прибиране на реколтата след 31 юли"- общо компенсаторно плащане е изчислено, като към загуби от отказване от рапица за сметка на зърнени са прибавени загубата на добив от есенните култури и рапицата поради по-късна жътва и е добавено загубата на добив при площите за сено с тревни и люцернови култури.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 Направление </w:t>
            </w:r>
            <w:r>
              <w:rPr>
                <w:rFonts w:ascii="Times New Roman" w:eastAsia="Times New Roman" w:hAnsi="Times New Roman" w:cs="Times New Roman"/>
                <w:szCs w:val="24"/>
                <w:u w:val="single"/>
              </w:rPr>
              <w:t>10.1.3 Контрол на почвената ерозия</w:t>
            </w:r>
          </w:p>
          <w:p>
            <w:pPr>
              <w:numPr>
                <w:ilvl w:val="0"/>
                <w:numId w:val="37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превръщане на обработваеми/изоставени земеделски земи в постоянно затревени площи. Тарифната ставка се определя на базата на пропуснати ползи от култури със слята повърхност, които основно се отглеждат върху обработваемата земя.; допълнителни разходи за създаване на постоянно затревена площ, като се включват разходите за подготовка на почвата, торене, семена, посявка, труд и ежегодно поддържане; допълнителни приходи.</w:t>
            </w:r>
          </w:p>
          <w:p>
            <w:pPr>
              <w:numPr>
                <w:ilvl w:val="0"/>
                <w:numId w:val="37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противоерозионни мероприятия в лозя и трайни насаждения. Тарифната ставка се определя на базата на допълнителни разходи за маркиране и създаване на отоко-задържаща бразда, перпендикулярна на склона. Разходите са определени на базата на необходимите машиносмени за извършване на дейността. Предвидено е браздите да се прокопават три пъти годишно. Затревяване на междуредовото пространство на трайни насаждения. Тарифната ставка включва разходите за механизирани обработка по косене и почистване на междуредовите пространства, както и повишените трудови разходи.За създаване и поддържане на буферни ивици. Тук се отчита избягването на двойно финансиране на 5% ЕНП, задължителна по зелените плащания, а компонентите на ставката включват пропуснатите ползи от превръщането на част от обработваемата площ в затревени буферни ивици, както и допълнителните разходи за затревяването на буферните ивици с медоносна растителност, приспадайки възможните допълнителни приходи от затревената площ. Получената стойност от двата компонентна е умножена с дела на затревената буферна площ, за да се разпредели плащането върху целия парцел.</w:t>
            </w:r>
          </w:p>
          <w:p>
            <w:pPr>
              <w:numPr>
                <w:ilvl w:val="0"/>
                <w:numId w:val="37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поясно редуване на културите. Тарифната ставка се определя на базата пропуснати ползи заради разликата в брутните маржини между окопните култури и културите на слята повърхност. Взета са предвид и увеличените разходи от прилагането на такава дейност, които представляват 7% от променливите разходи за окопни култури.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4. Направление </w:t>
            </w:r>
            <w:r>
              <w:rPr>
                <w:rFonts w:ascii="Times New Roman" w:eastAsia="Times New Roman" w:hAnsi="Times New Roman" w:cs="Times New Roman"/>
                <w:szCs w:val="24"/>
                <w:u w:val="single"/>
              </w:rPr>
              <w:t>10.1.4. Традиционни практики за сезонна паша (пасторализъм)</w:t>
            </w:r>
          </w:p>
          <w:p>
            <w:pPr>
              <w:numPr>
                <w:ilvl w:val="0"/>
                <w:numId w:val="37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традиционни практики за сезонна паша (пасторализъм). Тарифната ставка е определена на базата на </w:t>
            </w:r>
            <w:r>
              <w:rPr>
                <w:rFonts w:ascii="Times New Roman" w:eastAsia="Times New Roman" w:hAnsi="Times New Roman" w:cs="Times New Roman"/>
                <w:b/>
                <w:bCs/>
                <w:szCs w:val="24"/>
              </w:rPr>
              <w:t xml:space="preserve">допълнителни разходи </w:t>
            </w:r>
            <w:r>
              <w:rPr>
                <w:rFonts w:ascii="Times New Roman" w:eastAsia="Times New Roman" w:hAnsi="Times New Roman" w:cs="Times New Roman"/>
                <w:szCs w:val="24"/>
              </w:rPr>
              <w:t>за 5 месеца паша при 1ЖЕ/ха.</w:t>
            </w:r>
          </w:p>
          <w:p>
            <w:pPr>
              <w:numPr>
                <w:ilvl w:val="0"/>
                <w:numId w:val="37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традиционни практики за сезонна паша (пасторализъм) при използване на най-малко две работни кучета.Тарифната ставка е определена на базата на </w:t>
            </w:r>
            <w:r>
              <w:rPr>
                <w:rFonts w:ascii="Times New Roman" w:eastAsia="Times New Roman" w:hAnsi="Times New Roman" w:cs="Times New Roman"/>
                <w:b/>
                <w:bCs/>
                <w:szCs w:val="24"/>
              </w:rPr>
              <w:t xml:space="preserve">допълнителни разходи </w:t>
            </w:r>
            <w:r>
              <w:rPr>
                <w:rFonts w:ascii="Times New Roman" w:eastAsia="Times New Roman" w:hAnsi="Times New Roman" w:cs="Times New Roman"/>
                <w:szCs w:val="24"/>
              </w:rPr>
              <w:t xml:space="preserve">за 5 месеца паша при 1ЖЕ/ха и </w:t>
            </w:r>
            <w:r>
              <w:rPr>
                <w:rFonts w:ascii="Times New Roman" w:eastAsia="Times New Roman" w:hAnsi="Times New Roman" w:cs="Times New Roman"/>
                <w:b/>
                <w:bCs/>
                <w:szCs w:val="24"/>
              </w:rPr>
              <w:t>допълнителни разходи</w:t>
            </w:r>
            <w:r>
              <w:rPr>
                <w:rFonts w:ascii="Times New Roman" w:eastAsia="Times New Roman" w:hAnsi="Times New Roman" w:cs="Times New Roman"/>
                <w:szCs w:val="24"/>
              </w:rPr>
              <w:t xml:space="preserve"> за две работни кучета.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 Направление </w:t>
            </w:r>
            <w:r>
              <w:rPr>
                <w:rFonts w:ascii="Times New Roman" w:eastAsia="Times New Roman" w:hAnsi="Times New Roman" w:cs="Times New Roman"/>
                <w:szCs w:val="24"/>
                <w:u w:val="single"/>
              </w:rPr>
              <w:t xml:space="preserve">10.1.5 Опазване на застрашени от изчезване местни породи, важни за селското стопанство </w:t>
            </w:r>
            <w:r>
              <w:rPr>
                <w:rFonts w:ascii="Times New Roman" w:eastAsia="Times New Roman" w:hAnsi="Times New Roman" w:cs="Times New Roman"/>
                <w:szCs w:val="24"/>
              </w:rPr>
              <w:t>При определяне на компенсаторните плащания за отглеждане на местни породи под внимание се взимат както спестените разходи (в част от случаите), така и пропуснатите доходи от отглеждане на по-високопродуктивни породи. Особеност при осъществяваната калкулация е, че при определяне на дохода от крава от застрашена порода се прилага коефициент за завишение с 10%, който отразява бонуса в цената на млякото, който получават фермерите за по-високо качество. Счита се, че местните породи имат и по-ниски разходи за ветеринарни услуги, тъй като са по-приспособени към местните условия в сравнение с разпространените конвенионални породи и по-рядко боледуват.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6. Направление </w:t>
            </w:r>
            <w:r>
              <w:rPr>
                <w:rFonts w:ascii="Times New Roman" w:eastAsia="Times New Roman" w:hAnsi="Times New Roman" w:cs="Times New Roman"/>
                <w:szCs w:val="24"/>
                <w:u w:val="single"/>
              </w:rPr>
              <w:t>10.1.6 Опазване на застрашени от изчезване местни сортове, важни за селското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са направени на основата на изчисляване на брутните маржове при конвенционалните сортове на производство и на брутните маржове при сортовете от групата на защитените сортове за съответната група. Изчисленията включват разработването на технологични карти и количествени сметки, където са включени всички променливи разходи. Специфичното при защитените сортове е, че тяхната технология на отглеждане включва по-високи разходи на труд в сравнение с конвенционалните сортове, поради което и разходите за труд в производството са включени и те обичайно съставляват по-висок процент от общата структура на разходите.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7. Направление </w:t>
            </w:r>
            <w:r>
              <w:rPr>
                <w:rFonts w:ascii="Times New Roman" w:eastAsia="Times New Roman" w:hAnsi="Times New Roman" w:cs="Times New Roman"/>
                <w:szCs w:val="24"/>
                <w:u w:val="single"/>
              </w:rPr>
              <w:t>10.1.7 Подсигуряване разнообразна паша на пчелите и осигуряване на естествено опрашване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извършване на дейността за преместване и разполагане на пчелни семейства възникват ограничения свързани със сезонното преместване и разполагане на пчелни семейства на разстояние от минимум 3 км от постоянния пчелин на същия кандидат, осигуряване на придвижване на минимум 2 местоположения за пчелни семейства, спазване на минимално време за престой на пчелните пчелни семейства от 3 седмици за всяко  местоположение и разполагане на временните пчелини на разстояние от минимум 500 м. от друго местоположение, в което е разположен пчелин на кандидата. Тези ограничения основно водят до по-високи разходи, дължащи се на увеличените разходи за труд, както и за наем на земя за настаняване на колониите, тяхната поддръжка и специфични разходи дължащи се на по-висок риск от загуба на пчелни семейства следствие на отдалечеността им от традиционното място на пребиваване.</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Финансиране</w:t>
            </w:r>
            <w:r>
              <w:rPr>
                <w:rFonts w:ascii="Times New Roman" w:eastAsia="Times New Roman" w:hAnsi="Times New Roman" w:cs="Times New Roman"/>
                <w:b/>
                <w:bCs/>
                <w:i/>
                <w:iCs/>
                <w:szCs w:val="24"/>
              </w:rPr>
              <w:t xml:space="preserve"> на</w:t>
            </w:r>
            <w:r>
              <w:rPr>
                <w:rFonts w:ascii="Times New Roman" w:eastAsia="Times New Roman" w:hAnsi="Times New Roman" w:cs="Times New Roman"/>
                <w:b/>
                <w:bCs/>
                <w:i/>
                <w:iCs/>
                <w:szCs w:val="24"/>
              </w:rPr>
              <w:t xml:space="preserve"> стари</w:t>
            </w:r>
            <w:r>
              <w:rPr>
                <w:rFonts w:ascii="Times New Roman" w:eastAsia="Times New Roman" w:hAnsi="Times New Roman" w:cs="Times New Roman"/>
                <w:b/>
                <w:bCs/>
                <w:i/>
                <w:iCs/>
                <w:szCs w:val="24"/>
              </w:rPr>
              <w:t xml:space="preserve"> задължения</w:t>
            </w:r>
            <w:r>
              <w:rPr>
                <w:rFonts w:ascii="Times New Roman" w:eastAsia="Times New Roman" w:hAnsi="Times New Roman" w:cs="Times New Roman"/>
                <w:b/>
                <w:bCs/>
                <w:i/>
                <w:iCs/>
                <w:szCs w:val="24"/>
              </w:rPr>
              <w:t xml:space="preserve"> поети</w:t>
            </w:r>
            <w:r>
              <w:rPr>
                <w:rFonts w:ascii="Times New Roman" w:eastAsia="Times New Roman" w:hAnsi="Times New Roman" w:cs="Times New Roman"/>
                <w:b/>
                <w:bCs/>
                <w:i/>
                <w:iCs/>
                <w:szCs w:val="24"/>
              </w:rPr>
              <w:t xml:space="preserve"> по</w:t>
            </w:r>
            <w:r>
              <w:rPr>
                <w:rFonts w:ascii="Times New Roman" w:eastAsia="Times New Roman" w:hAnsi="Times New Roman" w:cs="Times New Roman"/>
                <w:b/>
                <w:bCs/>
                <w:i/>
                <w:iCs/>
                <w:szCs w:val="24"/>
              </w:rPr>
              <w:t xml:space="preserve"> ПРСР</w:t>
            </w:r>
            <w:r>
              <w:rPr>
                <w:rFonts w:ascii="Times New Roman" w:eastAsia="Times New Roman" w:hAnsi="Times New Roman" w:cs="Times New Roman"/>
                <w:b/>
                <w:bCs/>
                <w:i/>
                <w:iCs/>
                <w:szCs w:val="24"/>
              </w:rPr>
              <w:t xml:space="preserve"> (2007-2013)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поетите и изпълнявани ангажименти за всички допустими заявления по мярката, извършени след крайния допустим срок за плащания по ПРСР 2007-2013 г. ще бъдат отнесени към бюджета на мярка 10 „Агроекология и климат“ и мярка 11 „Биологично земеделие“. В съответствие с чл. 88 от Регламент (ЕС) № 1305/2013 за заявленията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мерки 10 и 11, ще бъдат извършени най-късно през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недостиг на средствата за поетите и изпълнявани ангажименти по мярка 214 „Агроекологични плащания” от ПРСР 2007-2013 преди крайният допустим срок по ПРСР 2007-2013 г., те ще бъдат отнесени към бюджета на мярка 10”Агроекология и климат или мярка 11 „Биологично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Комбиниране</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дейности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по</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мярката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други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мерки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подмерки</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чиито</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плащания</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единица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площ</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или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животинска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единица</w:t>
            </w:r>
            <w:r>
              <w:rPr>
                <w:rFonts w:ascii="Times New Roman" w:eastAsia="Times New Roman" w:hAnsi="Times New Roman" w:cs="Times New Roman"/>
                <w:b/>
                <w:bCs/>
                <w:szCs w:val="24"/>
              </w:rPr>
              <w:t>:</w:t>
            </w:r>
          </w:p>
          <w:p>
            <w:pPr>
              <w:numPr>
                <w:ilvl w:val="0"/>
                <w:numId w:val="38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могат да изберат да прилагат различни агроекологични дейности в своето стопанство. На един и същи парцел обаче могат да се комбинират единствено агроекологични дейности, за които се извършва плащане на единица площ, с агроекологични дейности за които се извършва плащане на ЖЕ;</w:t>
            </w:r>
          </w:p>
          <w:p>
            <w:pPr>
              <w:numPr>
                <w:ilvl w:val="0"/>
                <w:numId w:val="38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 „Агроекология и климат”, направление „Опазване на застрашени от изчезване местни породи, важни за селското стопанство“ и направление  „Контрол на почвената ерозия“ могат да кандидатстват за подпомагане с едни и същи парцели и животни по мярка 11 „Биологично земеделие”.</w:t>
            </w:r>
          </w:p>
          <w:p>
            <w:pPr>
              <w:numPr>
                <w:ilvl w:val="0"/>
                <w:numId w:val="38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да се избегне двойно финансиране за ангажименти, които попадат в обхвата на биологичното земеделие, бенефициенти по мярка „Агроекология и климат”, които не попадат в категориите по предходния параграф не могат да кандидатстват за подпомагане с едни и същи парцели и животни едновременно по мярка „Агроекология и климат” и по мярка “Биологично земеделие“.</w:t>
            </w:r>
          </w:p>
          <w:p>
            <w:pPr>
              <w:numPr>
                <w:ilvl w:val="0"/>
                <w:numId w:val="38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тази мярка могат да кандидатстват по направление „Контрол на почвената ерозия“ с одобрени парцели по направление „Биологично растениевъдство“ по мярка 214 „Агроекологични плащания“ от ПРСР 2007-2013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7" w:name="_Toc256000127"/>
      <w:r>
        <w:rPr>
          <w:b w:val="0"/>
        </w:rPr>
        <w:t>М11 — Биологично земеделие (член 29)</w:t>
      </w:r>
      <w:bookmarkEnd w:id="127"/>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29 от Регламент (ЕС) № 1305/2013 на Европейския парламент и Съвета от 17.12.2013 г. относно подпомагане на селските райони от Европейският земеделски фонд за развитие на селските райони (ЕЗФРСР) и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последните години нарастват площите, обработвани по методите на биологично производство в България. През 2012 г. сертифицираните площи са 11 974 ха, а площите в преход към биологично земеделие са 27 164 ха. Общо за двете категории, площите в системата за контрол достигат 39 138 ха, което е почти 3 пъти повече спрямо 2007 г. и представлява 0,8% от използваната земеделска площ. Над 90% от биологичните фермисе намират в планински райони. В голямата си част това са малки, семейни ферми.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Статистическите данни през последните години показват, че съществува потенциал за увеличаване на дела на биологичното животновъдство у нас. Към края на 2012 г. в страната се отглеждат 9 175 бр. овце, 1 173 бр. говеда и 2 831 бр. кози.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биологичното земеделие в Програмата за развитие на селските райони (2007-2013) е част от мярка 214 „Агроекологични плащания“. Подмярката бе насочена към подпомагане на биологичното растениевъдство и биологичното пчеларство. През настоящия програмен период (2014-2020) мярката ще продължи подпомагането на биологичното растениевъдство и биологичното пчеларство, но в допълнение към тях се предвижда подпомагане на биологично отглеждане на ЕРД, ДРД.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мярка ще се изпълняват две подмерки:</w:t>
            </w:r>
          </w:p>
          <w:p>
            <w:pPr>
              <w:numPr>
                <w:ilvl w:val="0"/>
                <w:numId w:val="38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11.1 . Плащания за преминаване към практики и методи за биологично земеделие</w:t>
            </w:r>
          </w:p>
          <w:p>
            <w:pPr>
              <w:numPr>
                <w:ilvl w:val="0"/>
                <w:numId w:val="38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11.2. Плащания за поддържане на практики и методи за биологично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Насърчаването на биологичното растениевъдство, пчеларство и животновъдство ще доведат до намаляване на използването на минерални торове, пестициди, намаляване на замърсяването на почвите и водите и като цяло до земеделие, съобразено с добрите екологични практики. Това от своя страна ще допринесе за постигане на основните цели на Приоритет 4Б: „Подобряване управлението на водите, включително управлението на торовете и пестицидите”. В допълнение мярката ще допринесе и към постигане на целите на Приоритет 4А и 4В, като прилагането на щадящите практики при обработката на площите ще допринесат за предотвратяването на почвената ерозия и за борбата с климатичните промени. Мярката има отношение към приоритет 1, приоритет 5Е, приоритет 6, като с биологично производство започнат да се занимават повече млади и безработни хора живеещи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Въвеждането на екстензивни земеделски практики ще намали нитрификацията и втока на биогени в естествените и полуестествени екосистеми особено тревните съобщества и водните местообитания, с кумулиращ се положителен ефект върху флората и фауната и като цяло върху естествените и полу-естествени екосистеми. Това ще допринесе и за поддържане на видове и местообитания – целеви за зоните, в благоприятно природозащитно състояние.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Очаква се мярката да има положителен ефект и принос към устойчивото развитие на селските райони, като допринася за околната среда и смекчаването на последиците от изменението на климата и подкрепата на малки и средни ферми, повечето от които са семейни. Освен това, предвид факта, че повечето биологични производители предпочитат да развиват къси вериги на доставки, се очаква също да допринесе за социалната съгласуваност на селските райони.Дайносте по мярката ще допринесат и за постигането на целите на Европейския план за действие за бъдещето на биологичното производство в Европейския съюз.</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Подмярка 11.1 Плащания за преминаване към практики и методи за биологично земеделие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383"/>
              </w:numPr>
              <w:rPr>
                <w:b w:val="0"/>
              </w:rPr>
            </w:pPr>
            <w:r>
              <w:rPr>
                <w:b w:val="0"/>
              </w:rPr>
              <w:t>11.1 — плащания за преминаване към практики и методи за биологично земеделие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тази подмярка ще се подпомагат на територията на цялата страна, земеделски стопани, чиито стопанства са в период на преход - преминаване на стопанството от конвенционално към биологично производство (растениевъдство, пчеларство и биологично животновъдство).Ангажиментите са за период от пет години, като съществува вариант за удължаване на срока с две допълнителни години. </w:t>
            </w:r>
            <w:r>
              <w:rPr>
                <w:rFonts w:ascii="Times New Roman" w:eastAsia="Times New Roman" w:hAnsi="Times New Roman" w:cs="Times New Roman"/>
                <w:i/>
                <w:iCs/>
                <w:szCs w:val="24"/>
              </w:rPr>
              <w:t>Преходният период</w:t>
            </w:r>
            <w:r>
              <w:rPr>
                <w:rFonts w:ascii="Times New Roman" w:eastAsia="Times New Roman" w:hAnsi="Times New Roman" w:cs="Times New Roman"/>
                <w:szCs w:val="24"/>
              </w:rPr>
              <w:t xml:space="preserve"> е задължителен етап за преприминаване към биологично производство. В България той е регламентиран  в Наредба №1 от 7 февруари 2013 г. за прилагане на правилата на биологичното производство на растения, животни и аквакултури, растителни, животински продукти, продукти от аквакултури и храни, тяхното етикетиране и контрола върху производството и етикетирането и е  с продължителност 2 години за едногодишните култури и 3 години – за трайните насаждения. През това време земеделският стопанин прилага всички изисквания за биологично производство, но не може да получи сертификат за биологична продукция. Началото на преходния период се регистрира и контролира от Контролиращите лица.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Наредба № 1 от 2013 г. е отменена с Наредба № 5 от 3 септември 2018 г. за прилагане на правилата на биологично производство, етикетиране и контрол, и за издаване на разрешение за контролна дейност за спазване на правилата на биологичното производство, както и за последващ официален надзор върху контролиращите лица (в сила от 12.11.2018 г.). Продължителността на преходните периоди, за които е предвидено финансово подпомагане за дейности от под-мярката - биологично животновъдство и биологично пчеларство се определят в съответствие с изискванията, уредени в Наредба № 5 от 3 септември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Площи, животни и пчелни семейства по подмярката могат да се включат в нови ангажименти през 2021 г., когато периода на преход към биологично производство е стартирал преди края на 2020 г. и не е по-дълъг от продължителността на ангажимента.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2022 г. могат да се поемат нови ангажименти с продължителност до 3 г. включително в съответствие с приетото законодателство за периода 2021-2022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Площи, животни и пчелни семейства по подмярката могат да се включат в нови ангажименти през 2022 г., когато периода на преход към биологично производство е стартирал преди края на 2021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по подмярката може да се предоставя за срок не по-дълъг от минималните периоди на преход към биологично производство.</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 ЖЕ или пчелно семейство. Бенефициентите получават компенсаторно плащане за преминаване към биологично животновъдство при спазване на съотношението 1 ЖЕ = 1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затревените площи по направление „Биологично растениевъдство“, бенефициентите могат да получат компенсаторно плащане за хектарите съответстващи на броя на биологичните им животни в съотношение 0,3 ЖЕ = 1 ха.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(ЕО) № 834/2007 на съвета от 28 юни 2007 година относно биологичното производство и етикетирането на биологични продукти и за отмяна на Регламент (ЕИО) № 2092/91;</w:t>
            </w:r>
          </w:p>
          <w:p>
            <w:pPr>
              <w:numPr>
                <w:ilvl w:val="0"/>
                <w:numId w:val="384"/>
              </w:numPr>
              <w:spacing w:before="240" w:after="240"/>
              <w:ind w:left="720" w:right="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2018/848 на Европейския парламент и на Съвета биологичното производство и етикетирането на биологични продукти и за отмяна на Регламент (ЕО) № 834/2007 на Съвета;</w:t>
            </w:r>
          </w:p>
          <w:p>
            <w:pPr>
              <w:numPr>
                <w:ilvl w:val="0"/>
                <w:numId w:val="3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на Комисията (ЕО) № 889/2008 от 5 септември 2008 г. за определяне на подборни правила за прилагането на Регламент (ЕО) № 834/2007 на Съвета относно биологичното производство и етикетирането на биологични продукти по отношение на биологичното производство, етикетирането и контрола;</w:t>
            </w:r>
          </w:p>
          <w:p>
            <w:pPr>
              <w:numPr>
                <w:ilvl w:val="0"/>
                <w:numId w:val="3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(ЕО) № 882/2004 на Европейския парламент и Съвета относно официалния контрол, провеждан с цел осигуряване на проверка на съответствието със законодателството в областта на фуражите и храните и правилата за опазване здравето на животните и хуманното отношение към животните.</w:t>
            </w:r>
          </w:p>
          <w:p>
            <w:pPr>
              <w:numPr>
                <w:ilvl w:val="0"/>
                <w:numId w:val="3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Наредба №1 от 7 февруари 2013 г. за прилагане на правилата на биологичното производство на растения, животни и аквакултури, растителни, животински продукти, продукти от аквакултури и храни, тяхното етикетиране и контрола върху производството и етикетирането ( отм. 12.11.2018 г.);</w:t>
            </w:r>
          </w:p>
          <w:p>
            <w:pPr>
              <w:numPr>
                <w:ilvl w:val="0"/>
                <w:numId w:val="3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Наредба № 5 от 3 септември 2018 г. за прилагане на правилата на биологично производство, етикетиране и контрол, и за издаване на разрешение за контролна дейност за спазване на правилата на биологичното производство (в сила от 12.11.2018 г);</w:t>
            </w:r>
          </w:p>
          <w:p>
            <w:pPr>
              <w:numPr>
                <w:ilvl w:val="0"/>
                <w:numId w:val="38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земеделски стопани (физически и юридически лица и еднолични търговци).</w:t>
            </w:r>
          </w:p>
          <w:p>
            <w:pPr>
              <w:numPr>
                <w:ilvl w:val="0"/>
                <w:numId w:val="3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дефиницията за активен фермер съгласно чл. 9 от Регламент (ЕС) № 1307/2013 г.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numPr>
                <w:ilvl w:val="0"/>
                <w:numId w:val="38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бъдат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тази мярка трябва да:</w:t>
            </w:r>
          </w:p>
          <w:p>
            <w:pPr>
              <w:numPr>
                <w:ilvl w:val="0"/>
                <w:numId w:val="38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спазват изискванията на Регламент (ЕО) № 834/2007, а след 01.01.2022г на Регламент(ЕС) 2018/848  и да имат сключен договор с Контролиращо лице за биологично производство, одобрено от министъра на земеделието, храните и горите, за преминаване към и/или продължаване на управлението в съответствие с правилата за биологично производство съгласно изискванията на Регламент (ЕО) № 834/2007, а след 01.01.2022 на Регламент(ЕС) 2018/848   на целия блок на земеделското стопанство. Всички парцели на блока в земеделското стопанство трябва да бъдат в преход към биологично производство и/или вече да са преминали периода на преход. Всички животни в стопанството е необходимо да са под контрола на контролиращото лице, в случай че кандидатът заяви участие по биологично животновъдство;</w:t>
            </w:r>
          </w:p>
          <w:p>
            <w:pPr>
              <w:numPr>
                <w:ilvl w:val="0"/>
                <w:numId w:val="3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ангажимента поне веднъж да получат сертификат за съответствие на произведената от него растителна или животинска продукция с правилата на биологичното производство;</w:t>
            </w:r>
          </w:p>
          <w:p>
            <w:pPr>
              <w:numPr>
                <w:ilvl w:val="0"/>
                <w:numId w:val="3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поддържат дневник на стопанството;</w:t>
            </w:r>
          </w:p>
          <w:p>
            <w:pPr>
              <w:numPr>
                <w:ilvl w:val="0"/>
                <w:numId w:val="3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втората година от петгодишния ангажимент кандидатът трябва да премине агроекологично или биологично обучение с минимална продължителност 18 часа или демонстрационна дейност с минимална продължителност от 3 дни, свързана с приоритет 4, по мярка 1 „Трансфер на знания и действия за осведомяване“ от ПРСР 2014-2020 г. За кандидати, с доказано вече агроекологично обучение по предходен ангажимент по ПРСР (2007-2013) или с опит в прилагането на агроекологичното или биологичното земеделие няма да се изисква повторно преминаване на обучение. Опит може да се докаже и със сертификат за произведена биологична продукция съгласно Регламент (ЕС) № 2018/848/Регламент (ЕО) 834/2007;</w:t>
            </w:r>
          </w:p>
          <w:p>
            <w:pPr>
              <w:numPr>
                <w:ilvl w:val="0"/>
                <w:numId w:val="3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получават плащане за биологично животновъдство в преход на ха площ в съответствие с броя на отглежданите животни при спазване на съотношението на отглежданите в стопанството площи с фуражи, ливади и пасища, отглеждани по биологичен начин и в преход, в съотношение от 1 ЖЕ на 1 ха.</w:t>
            </w:r>
          </w:p>
          <w:p>
            <w:pPr>
              <w:numPr>
                <w:ilvl w:val="0"/>
                <w:numId w:val="38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 направление „Биологично растениевъдство“, заявени за подпомагане през 2021 и следващи кампании, може да се получава плащане, в случай, че е спазено изискването за отглеждане на биологични животни, заявени по направление „Биологично животновъдство“ при спазване съотношение 0,3 ЖЕ = 1 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за извършване на дейности по направление „Биологично растениевъдство“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по тази подмярка, трябва да имат сключен договор с контролиращо лице за биологично производство, за преминаване към и/или продължаване на управлението в съответствие с правилата за биологично производство.</w:t>
            </w:r>
          </w:p>
          <w:p>
            <w:pPr>
              <w:numPr>
                <w:ilvl w:val="0"/>
                <w:numId w:val="3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биологично пчеларство и биологично животновъдство в преход се вписват в системата за идентификация на животните по чл. 30, ал. 2, т. 3 от ЗПЗП.</w:t>
            </w:r>
          </w:p>
          <w:p>
            <w:pPr>
              <w:numPr>
                <w:ilvl w:val="0"/>
                <w:numId w:val="3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0,5 ха, за да кандидатстват за подпомагане за биологично растениевъдство в преход. Изключения се допускат за  култивирани гъби; оранжерийни култури; посевен и посадъчен материал – 0,1 ха.</w:t>
            </w:r>
          </w:p>
          <w:p>
            <w:pPr>
              <w:numPr>
                <w:ilvl w:val="0"/>
                <w:numId w:val="3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20 пчелни семейства, за да кандидатстват за подпомагане за биологично пчеларство в преход.</w:t>
            </w:r>
          </w:p>
          <w:p>
            <w:pPr>
              <w:numPr>
                <w:ilvl w:val="0"/>
                <w:numId w:val="3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0,5 ха и минимум 1 животинска единица, за да кандидатстват за подпомагане за биологично животновъдство.</w:t>
            </w:r>
          </w:p>
          <w:p>
            <w:pPr>
              <w:numPr>
                <w:ilvl w:val="0"/>
                <w:numId w:val="3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получават финансово подпомагане за период не по-дълъг от минималния период за преход съгласно чл. 36, чл. 37, чл. 38 от Регламент 834/2007, а след 01.01.2022 г. съгласно т.1.7.1 от част I на Приложение II част от  Регламент(ЕС) 2018/848.</w:t>
            </w:r>
          </w:p>
          <w:p>
            <w:pPr>
              <w:numPr>
                <w:ilvl w:val="0"/>
                <w:numId w:val="3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IV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7 на програмата. И за площите върху които се прилагат методите на биологично земеделие или прехода към него, съответните базови  изисквания, посочени в Приложение 5.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които продължават след текущия програмен период и съдържат клауза за преразглеждане, могат да се приспособят към правната рамка на следващия програмен период.В случай че бенефициерите не приемат да приспособят ангажимента си към новата правна рамка, те могат да се откажат от изпълнението на ангажимента, без да възстановяват средства.</w:t>
            </w:r>
          </w:p>
          <w:p>
            <w:pPr>
              <w:numPr>
                <w:ilvl w:val="0"/>
                <w:numId w:val="38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Площи на земеделски стопанин, включени в слой „Биологични площи“, не могат да бъдат подпомагани за дейности за преход към биологично производство, както и сертифицираните животни и пчелини с пчелни семейства.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Нивата за подпомагане са следните:</w:t>
            </w:r>
          </w:p>
          <w:p>
            <w:pPr>
              <w:numPr>
                <w:ilvl w:val="0"/>
                <w:numId w:val="38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полски култури, включително фуражни - 284 Евро/ха; За заявените за подпомагане площи след 01.01.2018 г. – 282 евро/ха. За заявените за подпомагане площи след 01.01.2022 г. – 360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кандидати, които удължават ангажимента си или поемат нов такъв през 2021 г. и след нея:</w:t>
            </w:r>
          </w:p>
          <w:p>
            <w:pPr>
              <w:numPr>
                <w:ilvl w:val="0"/>
                <w:numId w:val="38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частта до 50 ха – 100% от размера на подпомагането за хектар;</w:t>
            </w:r>
          </w:p>
          <w:p>
            <w:pPr>
              <w:numPr>
                <w:ilvl w:val="0"/>
                <w:numId w:val="3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частта над 50 ха до 65 ха – 50% от размера на подпомагането за хектар</w:t>
            </w:r>
          </w:p>
          <w:p>
            <w:pPr>
              <w:numPr>
                <w:ilvl w:val="0"/>
                <w:numId w:val="38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частта над 65 ха – 10%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площите с фуражни култури, заявени от кандидати по направление „Биологично животновъдство“, с които заедно с постоянно затревените площи се изпълнява съотношение от 0,3 ЖЕ = 1 ха, се получава пълният размер на подпомагане.</w:t>
            </w:r>
          </w:p>
          <w:p>
            <w:pPr>
              <w:numPr>
                <w:ilvl w:val="0"/>
                <w:numId w:val="39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постоянно затревени площи – 128 Евро/ха. За заявените за подпомагане площи след 01.01.2022 г. – 125 евро/ха;;</w:t>
            </w:r>
          </w:p>
          <w:p>
            <w:pPr>
              <w:numPr>
                <w:ilvl w:val="0"/>
                <w:numId w:val="39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трайни насаждения, овощни култури и лозя – 736 Евро/ха. За заявените за подпомагане площи след 01.01.2022 г. – 1208 евро/ха;</w:t>
            </w:r>
          </w:p>
          <w:p>
            <w:pPr>
              <w:numPr>
                <w:ilvl w:val="0"/>
                <w:numId w:val="39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ароматни и медицински растения – 515 Евро/ха. За заявените за подпомагане площи след 01.01.2022 г. –683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кандидати, които удължават ангажимента си или поемат нов такъв през 2021 г. и след нея:</w:t>
            </w:r>
          </w:p>
          <w:p>
            <w:pPr>
              <w:numPr>
                <w:ilvl w:val="0"/>
                <w:numId w:val="39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частта до 50 ха – 100% от размера на подпомагането за хектар;</w:t>
            </w:r>
          </w:p>
          <w:p>
            <w:pPr>
              <w:numPr>
                <w:ilvl w:val="0"/>
                <w:numId w:val="3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частта над 50 ха до 65 ха – 50% от размера на подпомагането за хектар</w:t>
            </w:r>
          </w:p>
          <w:p>
            <w:pPr>
              <w:numPr>
                <w:ilvl w:val="0"/>
                <w:numId w:val="39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частта над 65 ха – 10%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39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зеленчукови култури – 575 Евро/ха; За заявените за подпомагане площи след 01.01.2022 г. –759 евро/ха ;</w:t>
            </w:r>
          </w:p>
          <w:p>
            <w:pPr>
              <w:numPr>
                <w:ilvl w:val="0"/>
                <w:numId w:val="39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пчелно семейство – в евро – 35 Евро/пчелно семейство;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Плащане на ха фуражна площ или постоянно затревена площ за животни от основното стадо (без приплодите), за 1 ЖЕ/ха – в евро/ха:</w:t>
            </w:r>
          </w:p>
          <w:p>
            <w:pPr>
              <w:numPr>
                <w:ilvl w:val="0"/>
                <w:numId w:val="39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едри преживни животни (млечни крави и биволици), отглеждани за мляко – 230 евро/ха. За заявените за подпомагане след 01.01.2022 г. – 296 евро/ха;</w:t>
            </w:r>
          </w:p>
          <w:p>
            <w:pPr>
              <w:numPr>
                <w:ilvl w:val="0"/>
                <w:numId w:val="39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едри преживни животни (месодайни крави и биволици), отглеждани за месо  -  160 евро/ха  За заявените за подпомагане след 01.01.2022 г. – 207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дребни преживни животни (овце-майки и  кози- майки), отглеждани за  производство (мляко и/или месо)  122 евро/ха. За заявените за подпомагане след 01.01.2022 г. – 241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стопанини при подаване на първо заявление за подпомагане да заяват земеделски площи, животни и пчелни семейства, които не отговарят на критериите за допустимост за одобрение и получаване на плащане.</w:t>
            </w:r>
          </w:p>
          <w:p>
            <w:pPr>
              <w:numPr>
                <w:ilvl w:val="0"/>
                <w:numId w:val="3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поради грешка в заявяването на обработваните площи и техния статут от гледна точка на сертифицирани площи и площи в преход. Подпомагането за преход и биологично земеделие в различно и допускането на подобна грешка води до санкции.</w:t>
            </w:r>
          </w:p>
          <w:p>
            <w:pPr>
              <w:numPr>
                <w:ilvl w:val="0"/>
                <w:numId w:val="3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ако не спазва правилата на биологичното производство на цялата площ на блока на земеделското стопанство, с които кандидатстват за подпомагане или не отглежда всички животни или пчелни семейства в стопанството си по метода на биологичното производство.</w:t>
            </w:r>
          </w:p>
          <w:p>
            <w:pPr>
              <w:numPr>
                <w:ilvl w:val="0"/>
                <w:numId w:val="3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опита от прилагането на мярка 214 „Агроекологични плащания” от ПРСР 2007-2013 г., съществува риск земеделският стопанин да не изпълни поетия ангажимент по Мярка 11, ако правилата на биологичното производство не се прилагат върху едни и същи площи за едни и същи блокове на земеделското стопанство в петгодишен период.</w:t>
            </w:r>
          </w:p>
          <w:p>
            <w:pPr>
              <w:numPr>
                <w:ilvl w:val="0"/>
                <w:numId w:val="3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numPr>
                <w:ilvl w:val="0"/>
                <w:numId w:val="3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numPr>
                <w:ilvl w:val="0"/>
                <w:numId w:val="39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Осъществяването на недостатъчен контрол върху организациите (контролиращите лица), които предоставят информация за извършени проверки от тях.</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numPr>
                <w:ilvl w:val="0"/>
                <w:numId w:val="3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и съвети към бенефициентите относно прилагането на правилата на биологичното производство. Въвеждане на функционалност в ИСАК за предупреждение на бенефициентите дали цялата площ на блока на земеделското стопанство, с който кандидатстват за подпомагане е заявена по Мярка 11.</w:t>
            </w:r>
          </w:p>
          <w:p>
            <w:pPr>
              <w:numPr>
                <w:ilvl w:val="0"/>
                <w:numId w:val="3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numPr>
                <w:ilvl w:val="0"/>
                <w:numId w:val="3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 на адекватен контрол от отговорните институции върху външните организации относно предоставянето на информация за спазване на изискванията от кандидатите (например: външни институции, които въвеждат данни в електронната система). </w:t>
            </w:r>
          </w:p>
          <w:p>
            <w:pPr>
              <w:numPr>
                <w:ilvl w:val="0"/>
                <w:numId w:val="3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numPr>
                <w:ilvl w:val="0"/>
                <w:numId w:val="3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 експертите от РА ще проверяват дали препоръките, предписани от  Контролиращите лица, се спазват. От своя страна Контролиращите лица следва да извършват последващи проверки относно спазването на дадените препоръки, за да отговорят на изискването за компетентност по отношение на всички установени нередности и нарушения, както и на прилаганите коригиращи мерки и срокове чрез съответни процедури.</w:t>
            </w:r>
          </w:p>
          <w:p>
            <w:pPr>
              <w:numPr>
                <w:ilvl w:val="0"/>
                <w:numId w:val="3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допуснати грешки от Контролиращите лица при предоставянето на данните относно извършените проверки, е предоставена възможност за откоригиране на тези несъответствия чрез издрадени процедури.</w:t>
            </w:r>
          </w:p>
          <w:p>
            <w:pPr>
              <w:numPr>
                <w:ilvl w:val="0"/>
                <w:numId w:val="3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numPr>
                <w:ilvl w:val="0"/>
                <w:numId w:val="39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9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w:t>
            </w:r>
          </w:p>
          <w:p>
            <w:pPr>
              <w:numPr>
                <w:ilvl w:val="0"/>
                <w:numId w:val="397"/>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Преминаване към биологично растениевъдство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a.       </w:t>
            </w:r>
            <w:r>
              <w:rPr>
                <w:rFonts w:ascii="Times New Roman" w:eastAsia="Times New Roman" w:hAnsi="Times New Roman" w:cs="Times New Roman"/>
                <w:szCs w:val="24"/>
                <w:u w:val="single"/>
              </w:rPr>
              <w:t>Обработваеми земи</w:t>
            </w:r>
          </w:p>
          <w:p>
            <w:pPr>
              <w:numPr>
                <w:ilvl w:val="0"/>
                <w:numId w:val="39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39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6. Забранява се изгарянето на стърнищата.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b.      </w:t>
            </w:r>
            <w:r>
              <w:rPr>
                <w:rFonts w:ascii="Times New Roman" w:eastAsia="Times New Roman" w:hAnsi="Times New Roman" w:cs="Times New Roman"/>
                <w:szCs w:val="24"/>
                <w:u w:val="single"/>
              </w:rPr>
              <w:t xml:space="preserve"> Трайни насаждения </w:t>
            </w:r>
          </w:p>
          <w:p>
            <w:pPr>
              <w:numPr>
                <w:ilvl w:val="0"/>
                <w:numId w:val="39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3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39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c.       </w:t>
            </w:r>
            <w:r>
              <w:rPr>
                <w:rFonts w:ascii="Times New Roman" w:eastAsia="Times New Roman" w:hAnsi="Times New Roman" w:cs="Times New Roman"/>
                <w:szCs w:val="24"/>
                <w:u w:val="single"/>
              </w:rPr>
              <w:t>Постоянно затревени площи</w:t>
            </w:r>
          </w:p>
          <w:p>
            <w:pPr>
              <w:numPr>
                <w:ilvl w:val="0"/>
                <w:numId w:val="40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0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0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numPr>
                <w:ilvl w:val="0"/>
                <w:numId w:val="402"/>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Преминаване към б</w:t>
            </w:r>
            <w:r>
              <w:rPr>
                <w:rFonts w:ascii="Times New Roman" w:eastAsia="Times New Roman" w:hAnsi="Times New Roman" w:cs="Times New Roman"/>
                <w:b/>
                <w:bCs/>
                <w:szCs w:val="24"/>
              </w:rPr>
              <w:t>иологично пчеларство</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          Постоянни и временни пчелини не се устройват на разстояние, по-малко от 10 км в райони с регистрирани племенни пчелини за производство на елитни пчелни майки и резерватни пчелини ; разстояние, по-малко от 5 км в райони с регистрирани репродуктивни пчелини за производство на племенни пчелни майки (Член  15, т. 2 и 3).</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           Временни пчелини се настаняват на места, отстоящи на повече от 300 м от съседни пчелини и на повече от 100 м от републиканската пътна мрежа. (Член  16 от Закона за пчеларството).</w:t>
            </w:r>
          </w:p>
          <w:p>
            <w:pPr>
              <w:numPr>
                <w:ilvl w:val="0"/>
                <w:numId w:val="403"/>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Преминаване към б</w:t>
            </w:r>
            <w:r>
              <w:rPr>
                <w:rFonts w:ascii="Times New Roman" w:eastAsia="Times New Roman" w:hAnsi="Times New Roman" w:cs="Times New Roman"/>
                <w:b/>
                <w:bCs/>
                <w:szCs w:val="24"/>
              </w:rPr>
              <w:t>иологично животновъдство</w:t>
            </w:r>
          </w:p>
          <w:p>
            <w:pPr>
              <w:numPr>
                <w:ilvl w:val="0"/>
                <w:numId w:val="40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0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описани в Приложение 5 към мярка 11;</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8.2.9.4.3.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Подмярка 11.2. Плащания за поддържане на практики и методи за биологично земеделие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405"/>
              </w:numPr>
              <w:rPr>
                <w:b w:val="0"/>
              </w:rPr>
            </w:pPr>
            <w:r>
              <w:rPr>
                <w:b w:val="0"/>
              </w:rPr>
              <w:t xml:space="preserve">11.2 — плащания за поддържане на практики и методи за биологично земеделие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подмярка ще се подпомагат на територията на цялата страна, земеделски стопани, които притежават документ, издаден от Контролиращо лице, доказващ, че парцелите имса преминали периода на преход към биологично производство (биологично растениевъдство, биологично животновъдство и биологично пчеларство).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Биологичното земеделие насърчава въвеждането и използване на по-екологично чисти земеделски производствени методи. Биологичното земеделие играе важна роля по отношение на дейностите, свързани с изменението на климата и опазването на почвеното плодородия и биоразнообразието По тази подмярка ще се подпомагат на територията на цялата страна: биологични стопанства, съгласно дефинициите на Регламент (ЕО) № 834/2007, а след 01.01.2022 на Регламент(ЕС) 2018/848, прилагащи методите на   биологично растениевъдство и плечарство. Биологичните животновъдни стопанства, ще се получават плащане за хектар фуражна или постоянно затревена площ за всяка животинска единица отглеждана по биологичен начин.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поемат ангажимент да прилагат методите на биологично производство за период от пет последователни години. След изтичане на петгодишния период на ангажимента, кандидатите могат да удължават ангажимента си ежегодно до изтичане на програмния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2021 г. могат да се поемат нови ангажименти с продължителност до 2 г. за кандидати изпълняващи ангажименти по ПРСР 2014-2020 или продължаващите ангажиментите да бъдат ежегодно удължавани до края на 2022. Ангажиментите за нови кандидати може да са с продължителност от 1 до 3 г в съответствие с приетото законодателство за периода 2021-2022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2022 г. могат да се поемат нови ангажименти с продължителност 1 г. в съответствие с приетото законодателство за периода 2021-2022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 ЖЕ или пчелно семейство.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кампания 2020 г. и бенефициентите, които удължават поетия си многогодишен ангажимент или поемат нов такъв ще получат компенсаторно плащане за постоянно затревени площи по направление „биологично растениевъдство“ при спазване на съотношението минимум 1ЖЕ биологични животни = 2 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2021 г. за постоянно затревените площи по направление „Биологично растениевъдство“, бенефициентите могат да получат компенсаторно плащане за хектарите съответстващи на броя на биологичните им животни в съотношение 0,3 ЖЕ = 1 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получават допълнително компенсаторно плащане за биологично животновъдство при спазване на съотношението 1 ЖЕ = 1 ха.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(ЕО) № 834/2007 на Съвета от 28 юни 2007 година относно биологичното производство и етикетирането на биологични продукти и за отмяна на Регламент (ЕИО) № 2092/91;</w:t>
            </w:r>
          </w:p>
          <w:p>
            <w:pPr>
              <w:numPr>
                <w:ilvl w:val="0"/>
                <w:numId w:val="4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2018/848 на Европейския парламент и на Съвета биологичното производство и етикетирането на биологични продукти и за отмяна на Регламент (ЕО) № 834/2007 на Съвета</w:t>
            </w:r>
          </w:p>
          <w:p>
            <w:pPr>
              <w:numPr>
                <w:ilvl w:val="0"/>
                <w:numId w:val="4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на Комисията (ЕО) № 889/2008 от 5 септември 2008 г. за определяне на подборни правила за прилагането на Регламент (ЕО) № 834/2007 на Съвета относно биологичното производство и етикетирането на биологични продукти по отношение на биологичното производство, етикетирането и контрола;</w:t>
            </w:r>
          </w:p>
          <w:p>
            <w:pPr>
              <w:numPr>
                <w:ilvl w:val="0"/>
                <w:numId w:val="40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(ЕО) № 882/2004 на Европейския парламент и Съвета относно официалния контрол, провеждан с цел осигуряване на проверка на съответствието със законодателството в областта на фуражите и храните и правилата за опазване здравето на животните и хуманното отношение към животните.</w:t>
            </w:r>
          </w:p>
          <w:p>
            <w:pPr>
              <w:numPr>
                <w:ilvl w:val="0"/>
                <w:numId w:val="40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Наредба №1 от 7 февруари 2013 г. за прилагане на правилата на биологичното производство на растения, животни и аквакултури, растителни, животински продукти, продукти от аквакултури и храни, тяхното етикетиране и контрола върху производството и етикетирането (отм.от 12.11.2018 г.);</w:t>
            </w:r>
          </w:p>
          <w:p>
            <w:pPr>
              <w:numPr>
                <w:ilvl w:val="0"/>
                <w:numId w:val="4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Наредба № 5 от 3 септември 2018 г. за прилагане на правилата на биологично производство, етикетиране и контрол, и за издаване на разрешение за контролна дейност за спазване на правилата на биологичното производство ( в сила от 12.11.2018 г.);</w:t>
            </w:r>
          </w:p>
          <w:p>
            <w:pPr>
              <w:numPr>
                <w:ilvl w:val="0"/>
                <w:numId w:val="40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земеделски стопани (физически и юридически лица и еднолични търговци).</w:t>
            </w:r>
          </w:p>
          <w:p>
            <w:pPr>
              <w:numPr>
                <w:ilvl w:val="0"/>
                <w:numId w:val="40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дефиницията за активен фермер съгласно чл. 9 от Регламент (ЕС) № 1307/2013 г.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numPr>
                <w:ilvl w:val="0"/>
                <w:numId w:val="40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бъдат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тази мярка, трябва да:</w:t>
            </w:r>
          </w:p>
          <w:p>
            <w:pPr>
              <w:numPr>
                <w:ilvl w:val="0"/>
                <w:numId w:val="41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спазват изискванията на Регламент (ЕО) № 834/2007, а от 01.01.2022 г. на Регламент(ЕС) 2018/848 и да имат сключен договор с Контролиращо лице за биологично производство, одобрено от министъра на земеделието, храните и горите, продължаване на управлението в съответствие с правилата за биологично производство съгласно изискванията на Регламент (ЕО) № 834/2007, а от 01.01.2022 на Регламент(ЕС) 2018/848   на целия блок на земеделското стопанство. Всички парцели на блока в земеделското стопанство трябва да бъдат в преход към биологично производство и/или вече да са преминали периода на преход. Всички животни в стопанството е необходимо да са под контрола на контролиращото лице, в случай че кандидатът заяви участие по биологично животновъдство;</w:t>
            </w:r>
          </w:p>
          <w:p>
            <w:pPr>
              <w:numPr>
                <w:ilvl w:val="0"/>
                <w:numId w:val="41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поддържат дневник на стопанството;</w:t>
            </w:r>
          </w:p>
          <w:p>
            <w:pPr>
              <w:numPr>
                <w:ilvl w:val="0"/>
                <w:numId w:val="41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втората година от петгодишния ангажимент кандидатът трябва да премине агроекологично или биологично обучение с минимална продължителност 18 часа или демонстрационна дейност с минимална продължителност от 3 дни, свързана с приоритет 4, по мярка 1 „Трансфер на знания и действия за осведомяване“ от ПРСР 2014-2020 г. За кандидати, с доказано вече агроекологично обучение по предходен ангажимент по ПРСР (2007-2013) или с опит в прилагането на агроекологичното или биологичното земеделие няма да се изисква повторно преминаване на обучение. Опит може да се докажа и със сертификат за произведена биологична продукция съгласно Регламент (ЕС) № 2018/848/Регламент (ЕО) 834/2007;</w:t>
            </w:r>
          </w:p>
          <w:p>
            <w:pPr>
              <w:numPr>
                <w:ilvl w:val="0"/>
                <w:numId w:val="41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получават плащане за биологично животновъдство на ха площ в съответствие с броя на отглежданите животни при спазване на съотношението на отглежданите в стопанството площи с биологични и/или в преход фуражи, ливади и пасища в съотношение от 1 ЖЕ на 1 ха. За бенефициенти удължаващи многогодишния си ангажимент или поемащи нов такъв през кампания 2020 по направление „биологично растениевъдство“ съотношението е минимум 1ЖЕ биологични животни =2 ха постоянно затревени площи. От 2021 г. за постоянно затревените площи по направление „Биологично растениевъдство“, бенефициентите могат да получат компенсаторно плащане за хектарите съответстващи на броя на биологичните им животни в съотношение 0,3 ЖЕ = 1 ха.</w:t>
            </w:r>
          </w:p>
          <w:p>
            <w:pPr>
              <w:numPr>
                <w:ilvl w:val="0"/>
                <w:numId w:val="41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за извършване на дейности по направление „Биологично растениевъдство“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Удължените след 2020 г. ангажименти се изпълняват на одобрената за подкрепа площ за извършване на дейности по направление „Биологично растениевъдство“, която може да варира с процент по-голям от 10 % като ангажимента продължава да се изпълнява с площите, за които земеделските стопани имат регистрирано правно основание за ползване за съответната година.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по тази подмярка трябва:</w:t>
            </w:r>
          </w:p>
          <w:p>
            <w:pPr>
              <w:numPr>
                <w:ilvl w:val="0"/>
                <w:numId w:val="41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имат сключен договор с контролиращо лице за биологично производство;</w:t>
            </w:r>
          </w:p>
          <w:p>
            <w:pPr>
              <w:numPr>
                <w:ilvl w:val="0"/>
                <w:numId w:val="4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площи/животни/пчелни семейства с които се поема нов ангажимент по подмярката трябва да  са вписани в регистъра по чл. 16а, ал. 1, т. 1 от Закона за прилагане на Общата организация на пазарите на земеделски продукти на Европейския съюз;</w:t>
            </w:r>
          </w:p>
          <w:p>
            <w:pPr>
              <w:numPr>
                <w:ilvl w:val="0"/>
                <w:numId w:val="4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биологично пчеларство и биологично животновъдство се вписват в системата за идентификация на животните по чл. 30, ал. 2, т. 3 от ЗПЗП;</w:t>
            </w:r>
          </w:p>
          <w:p>
            <w:pPr>
              <w:numPr>
                <w:ilvl w:val="0"/>
                <w:numId w:val="4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0,5 ха за да кандидатстват за подпомагане за биологично растениевъдство. Изключения се допускат за  култивирани гъби; оранжерийни култури; посевен и посадъчен материал – 0,1 ха;</w:t>
            </w:r>
          </w:p>
          <w:p>
            <w:pPr>
              <w:numPr>
                <w:ilvl w:val="0"/>
                <w:numId w:val="4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20 пчелни семейства за да кандидатстват за подпомагане за биологично пчеларство.</w:t>
            </w:r>
          </w:p>
          <w:p>
            <w:pPr>
              <w:numPr>
                <w:ilvl w:val="0"/>
                <w:numId w:val="4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0,5 ха и минимум 1 животинска единица за да кандидатстват за подпомагане за биологично животновъдство.</w:t>
            </w:r>
          </w:p>
          <w:p>
            <w:pPr>
              <w:numPr>
                <w:ilvl w:val="0"/>
                <w:numId w:val="4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IV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7 на програмата). И за площите върху които се прилагат методите на биологично земеделие или прехода към него, съответните базови  изисквания, посочени в Приложение 5.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4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41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които продължават след текущия програмен период и съдържат клауза за преразглеждане, могат да се приспособят към правната рамка на следващия програмен период.В случай че бенефициерите не приемат да приспособят ангажимента си към новата правна рамка, те могат да се откажат от изпълнението на ангажимента, без да възстановяват средства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Нивата за подпомагане са следните:</w:t>
            </w:r>
          </w:p>
          <w:p>
            <w:pPr>
              <w:numPr>
                <w:ilvl w:val="0"/>
                <w:numId w:val="41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полски култури, включително фуражни -  168 Евро/ха;За заявените за подпомагане площи след 01.01.2018 г. – 166 евро/ха. За заявените за подпомагане площи след 01.01.2022 г. – 286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кандидати, които удължават ангажимента си или поемат нов такъв през 2020 г. и след нея: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до 50 ха – 100%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над 50 ха до 65 ха – 50%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над 65 ха – 10%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площите с фуражни култури, заявени от кандидати по направление „Биологично животновъдство“, с които заедно с постоянно затревените площи се изпълнява съотношение от 0,3 ЖЕ = 1 ха, се получава пълният размер на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41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постоянно затревени площи –112 Евро/ха. За заявените за подпомагане площи след 01.01.2022 г. – 105 евро/ха;</w:t>
            </w:r>
          </w:p>
          <w:p>
            <w:pPr>
              <w:numPr>
                <w:ilvl w:val="0"/>
                <w:numId w:val="414"/>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трайни насаждения, овощни култури и лозя –557 Евро/ха. За заявените за подпомагане площи след 01.01.2022 г. – 977 евро/ха;</w:t>
            </w:r>
          </w:p>
          <w:p>
            <w:pPr>
              <w:numPr>
                <w:ilvl w:val="0"/>
                <w:numId w:val="414"/>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ароматни и медицински растения – 405 Евро/ха. За заявените за подпомагане площи след 01.01.2022 г. – 577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кандидати, които удължават ангажимента си или поемат нов такъв през 2020 г. и след нея: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до 50 ха – 100%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над 50 ха до 65 ха – 50%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над 65 ха – 10% от размера на подпомагането за хектар</w:t>
            </w:r>
          </w:p>
          <w:p>
            <w:pPr>
              <w:numPr>
                <w:ilvl w:val="0"/>
                <w:numId w:val="41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зеленчукови култури – 399 Евро/ха. За заявените за подпомагане площи след 01.01.2022 г. –589 евро/ха;</w:t>
            </w:r>
          </w:p>
          <w:p>
            <w:pPr>
              <w:numPr>
                <w:ilvl w:val="0"/>
                <w:numId w:val="41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пчелно семейство -  25 Евро/пчелно семейство. За заявеното за подпомагане пчелно семейство след 01.01.2022 г. –28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Плащане на ха фуражна или постоянно затревена площ за животни от основното стадо (без приплодите), за 1 ЖЕ/ха – в евро/ха</w:t>
            </w:r>
            <w:r>
              <w:rPr>
                <w:rFonts w:ascii="Times New Roman" w:eastAsia="Times New Roman" w:hAnsi="Times New Roman" w:cs="Times New Roman"/>
                <w:b/>
                <w:bCs/>
                <w:szCs w:val="24"/>
              </w:rPr>
              <w:t>:</w:t>
            </w:r>
          </w:p>
          <w:p>
            <w:pPr>
              <w:numPr>
                <w:ilvl w:val="0"/>
                <w:numId w:val="41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едри преживни животни (млечни крави и биволици), отглеждани за мляко – 77 евро/ха. За заявените за подпомагане след 01.01.2022 г. –261 евро/ха;</w:t>
            </w:r>
          </w:p>
          <w:p>
            <w:pPr>
              <w:numPr>
                <w:ilvl w:val="0"/>
                <w:numId w:val="41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едри преживни животни (месодайни крави и биволици), отглеждани за месо  - 63 евро/ха. За заявените  за подпомагате след 01.01.2022 г. – 183 евро/ха;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дребни преживни животни (овце-майки и  кози-майки), отглеждани за  производство (мляко и/или месо) 90 евро/ха. За заявените за подпомагане след 01.01.2022 г. –202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животни и пчелни семейства, които не отговарят на критериите за допустимост за одобрение и получаване на плащане.</w:t>
            </w:r>
          </w:p>
          <w:p>
            <w:pPr>
              <w:numPr>
                <w:ilvl w:val="0"/>
                <w:numId w:val="4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поради грешка в заявяването на обработваните площи и техния статут от гледна точка на сертифицирани площи и площи в преход. Подпомагането за преход и биологично земеделие в различно и допускането на подобна грешка води до санкции.</w:t>
            </w:r>
          </w:p>
          <w:p>
            <w:pPr>
              <w:numPr>
                <w:ilvl w:val="0"/>
                <w:numId w:val="4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ако не спазва правилата на биологичното производство на цялата площ на блока на земеделското стопанство, с който кандидатстват за подпомагане или не отглежда всички животни или пчелни семейства в стопанството си по метода на биологичното производство.</w:t>
            </w:r>
          </w:p>
          <w:p>
            <w:pPr>
              <w:numPr>
                <w:ilvl w:val="0"/>
                <w:numId w:val="4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опита от прилагането на мярка 214 „Агроекологични плащания” от ПРСР 2007-2013 г., съществува риск земеделският стопанин да не изпълни поетия ангажимент по Мярка 11, ако правилата на биологичното производство не се прилагат върху едни и същи площи за едни и същи блокове на земеделското стопанство в петгодишен период.</w:t>
            </w:r>
          </w:p>
          <w:p>
            <w:pPr>
              <w:numPr>
                <w:ilvl w:val="0"/>
                <w:numId w:val="4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numPr>
                <w:ilvl w:val="0"/>
                <w:numId w:val="41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numPr>
                <w:ilvl w:val="0"/>
                <w:numId w:val="4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и съвети към бенефициентите относно прилагането на правилата на биологичното производство. Въвеждане на функционалност в ИСАК за предупреждение на бенефициентите дали цялата площ на блока на земеделското стопанство, с който кандидатстват за подпомагане е заявена по Мярка 11.</w:t>
            </w:r>
          </w:p>
          <w:p>
            <w:pPr>
              <w:numPr>
                <w:ilvl w:val="0"/>
                <w:numId w:val="4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ще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numPr>
                <w:ilvl w:val="0"/>
                <w:numId w:val="4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 на адекватен контрол от отговорните институции върху външните организации относно предоставянето на информация за спазване на изискванията от кандидатите (например: външни институции, които въвеждат данни в електронната система).</w:t>
            </w:r>
          </w:p>
          <w:p>
            <w:pPr>
              <w:numPr>
                <w:ilvl w:val="0"/>
                <w:numId w:val="4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numPr>
                <w:ilvl w:val="0"/>
                <w:numId w:val="4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 експертите от РА ще проверяват дали препоръките, предписани от  Контролиращите лица, се спазват. От своя страна Контролиращите лица следва да извършват последващи проверки относно спазването на дадените препоръки, за да отговорят на изискването за компетентност по отношение на всички установени нередности и нарушения, както и на прилаганите коригиращи мерки и срокове чрез съответни процедури.</w:t>
            </w:r>
          </w:p>
          <w:p>
            <w:pPr>
              <w:numPr>
                <w:ilvl w:val="0"/>
                <w:numId w:val="4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допуснати грешки от Контролиращите лица при предоставянето на данните относно извършените проверки, е предоставена възможност за откоригиране на тези несъответствия чрез издрадени процедури.</w:t>
            </w:r>
          </w:p>
          <w:p>
            <w:pPr>
              <w:numPr>
                <w:ilvl w:val="0"/>
                <w:numId w:val="4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numPr>
                <w:ilvl w:val="0"/>
                <w:numId w:val="41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1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w:t>
            </w:r>
          </w:p>
          <w:p>
            <w:pPr>
              <w:numPr>
                <w:ilvl w:val="0"/>
                <w:numId w:val="420"/>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Биологично растениевъдство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a.       </w:t>
            </w:r>
            <w:r>
              <w:rPr>
                <w:rFonts w:ascii="Times New Roman" w:eastAsia="Times New Roman" w:hAnsi="Times New Roman" w:cs="Times New Roman"/>
                <w:szCs w:val="24"/>
                <w:u w:val="single"/>
              </w:rPr>
              <w:t>Обработваеми земи</w:t>
            </w:r>
          </w:p>
          <w:p>
            <w:pPr>
              <w:numPr>
                <w:ilvl w:val="0"/>
                <w:numId w:val="42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2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6. Забранява се изгарянето на стърнищата.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b.      </w:t>
            </w:r>
            <w:r>
              <w:rPr>
                <w:rFonts w:ascii="Times New Roman" w:eastAsia="Times New Roman" w:hAnsi="Times New Roman" w:cs="Times New Roman"/>
                <w:szCs w:val="24"/>
                <w:u w:val="single"/>
              </w:rPr>
              <w:t xml:space="preserve"> Трайни насаждения </w:t>
            </w:r>
          </w:p>
          <w:p>
            <w:pPr>
              <w:numPr>
                <w:ilvl w:val="0"/>
                <w:numId w:val="42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2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c.       </w:t>
            </w:r>
            <w:r>
              <w:rPr>
                <w:rFonts w:ascii="Times New Roman" w:eastAsia="Times New Roman" w:hAnsi="Times New Roman" w:cs="Times New Roman"/>
                <w:szCs w:val="24"/>
                <w:u w:val="single"/>
              </w:rPr>
              <w:t>Постоянно затревени площи</w:t>
            </w:r>
          </w:p>
          <w:p>
            <w:pPr>
              <w:numPr>
                <w:ilvl w:val="0"/>
                <w:numId w:val="42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2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2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numPr>
                <w:ilvl w:val="0"/>
                <w:numId w:val="425"/>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Биологично пчеларство</w:t>
            </w:r>
          </w:p>
          <w:p>
            <w:pPr>
              <w:numPr>
                <w:ilvl w:val="0"/>
                <w:numId w:val="42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Постоянни и временни пчелини не се устройват на разстояние, по-малко от 10 км в райони с регистрирани племенни пчелини за производство на елитни пчелни майки и резерватни пчелини ; разстояние, по-малко от 5 км в райони с регистрирани репродуктивни пчелини за производство на племенни пчелни майки (Член  15, т. 2 и 3).</w:t>
            </w:r>
          </w:p>
          <w:p>
            <w:pPr>
              <w:numPr>
                <w:ilvl w:val="0"/>
                <w:numId w:val="42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Временни пчелини се настаняват на места, отстоящи на повече от 300 м от съседни пчелини и на повече от 100 м от републиканската пътна мрежа. (Член  16 от Закона за пчеларството).</w:t>
            </w:r>
          </w:p>
          <w:p>
            <w:pPr>
              <w:numPr>
                <w:ilvl w:val="0"/>
                <w:numId w:val="427"/>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Биологично животновъдство</w:t>
            </w:r>
          </w:p>
          <w:p>
            <w:pPr>
              <w:numPr>
                <w:ilvl w:val="0"/>
                <w:numId w:val="42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2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описани в Приложение 5 към мярка 11</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8.2.9.4.3. Специфична информация за мярката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w:t>
            </w:r>
          </w:p>
          <w:p>
            <w:pPr>
              <w:numPr>
                <w:ilvl w:val="0"/>
                <w:numId w:val="4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поради грешка в заявяването на обработваните площи и техния статут от гледна точка на сертифицирани площи и площи в преход. Подпомагането за преход и биологично земеделие в различно и допускането на подобна грешка води до санкции.</w:t>
            </w:r>
          </w:p>
          <w:p>
            <w:pPr>
              <w:numPr>
                <w:ilvl w:val="0"/>
                <w:numId w:val="4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ако не спазва правилата на биологичното производство на цялата площ на блока на земеделското стопанство, с който кандидатстват за подпомагане.</w:t>
            </w:r>
          </w:p>
          <w:p>
            <w:pPr>
              <w:numPr>
                <w:ilvl w:val="0"/>
                <w:numId w:val="4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опита от прилагането на мярка 214 „Агроекологични плащания” от ПРСР 2007-2013 г., съществува риск земеделският стопанин да не изпълни поетия ангажимент по Мярка 11, ако правилата на биологичното производство не се прилагат върху едни и същи площи за едни и същи блокове на земеделското стопанство в петгодишен период.</w:t>
            </w:r>
          </w:p>
          <w:p>
            <w:pPr>
              <w:numPr>
                <w:ilvl w:val="0"/>
                <w:numId w:val="4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numPr>
                <w:ilvl w:val="0"/>
                <w:numId w:val="42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Осъществяването на недостатъчен контрол върху организациите (контролиращите лица), които предоставят информация за извършени проверки от тях.</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numPr>
                <w:ilvl w:val="0"/>
                <w:numId w:val="4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и съвети към бенефициентите относно прилагането на правилата на биологичното производство. Въвеждане на функционалност в ИСАК за предупреждение на бенефициентите дали цялата площ на блока на земеделското стопанство, с който кандидатстват за подпомагане е заявена по Мярка 11.</w:t>
            </w:r>
          </w:p>
          <w:p>
            <w:pPr>
              <w:numPr>
                <w:ilvl w:val="0"/>
                <w:numId w:val="4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ангажименти.Осъществяване на адекватен контрол от отговорните институции върху външните организации относно предоставянето на информация за спазване на изискванията от кандидатите (например: външни институции, които въвеждат данни в електронната система.</w:t>
            </w:r>
          </w:p>
          <w:p>
            <w:pPr>
              <w:numPr>
                <w:ilvl w:val="0"/>
                <w:numId w:val="4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numPr>
                <w:ilvl w:val="0"/>
                <w:numId w:val="43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3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бъде намалена с до 10 %, но не по-малко от минимално определената площ за подмярката през периода на прилагане на поетото задължение. Одобрената за подкрепа площ на удължените след 2020 г. ангажименти може да варира с процент по-голям от 10 %, като ангажимента продължава да се изпълнява с площите, за които земеделските стопани имат правно основание за ползване за съответната година.  В този случай бенефициентът не връща предоставената помощ и ще получава компенсаторни плащания за намаления размер на площта за оставащия период за изпълнение на задължението;</w:t>
            </w:r>
          </w:p>
          <w:p>
            <w:pPr>
              <w:numPr>
                <w:ilvl w:val="0"/>
                <w:numId w:val="4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изпълняващи пет годишен ангажимент, могат да увеличават одобрените площи по мярка „Биологично земеделие“ с до 20 на сто от първоначалния размер, но с не повече от 10 хектара без да поемат ново задължение, а разширяват ангажиментите си с нови площи за оставащия период.</w:t>
            </w:r>
          </w:p>
          <w:p>
            <w:pPr>
              <w:numPr>
                <w:ilvl w:val="0"/>
                <w:numId w:val="43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изпълняващи ангажименти по мярка 11 „Биологично земеделие“, могат да удължат непосредствено изтичащия им ангажимент, без да поемат нов ангажимент не по-късно от 2022 година.</w:t>
            </w:r>
          </w:p>
          <w:p>
            <w:pPr>
              <w:pStyle w:val="BodyText"/>
              <w:jc w:val="both"/>
              <w:rPr>
                <w:b w:val="0"/>
              </w:rPr>
            </w:pPr>
          </w:p>
        </w:tc>
      </w:tr>
    </w:tbl>
    <w:p>
      <w:pPr>
        <w:spacing w:after="100"/>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Методология за изчисляване на компенсаторните плащания по мярка 11 „Биологично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разработването на методологията са участвали доц. д-р Диляна Митова,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доц. д-р Божидар Иванов, ас. Васил Стойчев (Институт по арарна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биологичното земеделие в Програмата за развитие на  селските райони през настоящия програмен период (2014-2020) ще се извършва по мярка 11 Биологично земеделие, под формата на годишни плащания на хектар ИЗП, ЖЕ или пчелно семейство.При всички направени изчисления са отчетени изискванията за „позеленяването” и свързаните за тях плащания са извадени, там където това е необходимо. Разходите, свързани с воденето на дневник в стопанството и преминаване на обучение, не се отчитат при изчисляване на плащанията.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Размерът на компенсаторното плащане при </w:t>
            </w:r>
            <w:r>
              <w:rPr>
                <w:rFonts w:ascii="Times New Roman" w:eastAsia="Times New Roman" w:hAnsi="Times New Roman" w:cs="Times New Roman"/>
                <w:b/>
                <w:bCs/>
                <w:i/>
                <w:iCs/>
                <w:szCs w:val="24"/>
              </w:rPr>
              <w:t>биологично растениевъдство</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се състои от две части: основна премия и допълнителна премия. Основната премия се определя на базата на разликите в допълнителните разходи и пропуснатите приходи при биологичния начин на отглеждане на културите, сравнени с конвенционалния, от хектар земеделска земя, за 5 групи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Полски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Постоянно затревени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Трайни насаждения – овощни култури и лозя;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Ароматни и медицински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Зеленчукови култури от открити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Основната премия в биологичното производство при орната земя (от фуражни култури) се определя на основата на сеитбооборотен набор от 4 култури, като е спазено изискването за диверсификация на културите и са включени люцерна и угар, а при трайните насаждения, където не се прави ротация, като средна величина от 3 култури с най-голямо икономическо значение за страната и с най-голяма степен на приложение на биологичното производство. Допълнителната премия се базира на по-големите разходи за биологични семена или разсадо-посадъчен материал.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Премията за биологичното растениевъдство се изчислява като разлика   между брутните маржове при съответните култури (насаждения) при конвенционалното и биологичното производство, съответно допълнена с разходите за сертификация и контрол при биологичното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Пропуснатите приходи са резултат 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По-ниските добиви на продукция от земеделските култури на хектар поради намаленото равнище на интензификация, изразяващо се най-вече в намаляване на торовете и препаратите за растителна защита;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От промени в структурата на земеделските култури, с цел да се включи бобова култура, която естествено повишава почвеното плодородие в резултат на способността й да свърза азота от въздуха и да го акумулира в почвата;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От оставянето на ивица, която не се обработва, за да служи за естествена изолация от съседните посеви.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 разходи се формират по няколко направления: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По-големи разходи за семена, посадъчен материал и амортизации при многогодишните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Увеличен разход на труд, поради завишения брой на обработките, в резултат на намаляване разходите за торене и растителнозащитни препарати, на поливките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При биологичното производство се калкулират и ежегодните разходи за контрол и сертифициране на продукцията, племенни свидетелства и племенна работа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Спестените разходи са в резултат на по-ниските разходи за торове и препарати за растителна защита при биологичното земеделие в сравнение с конвенционалните земеделски системи и в резултат на не-предприемане на някои земеделски дейности (пръскане с химически препарати, торене с минерални торове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Допълнителните приходи са в резултат на по-високите цени на биологичната продукция. Цените за сертифицираните биологични продукти се базират на цените на българския пазар. За момента пазарът на биологични продукти в България е ограничен и разликата в цените на биологичните и конвенционалните продукти не е много голяма.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плащането за биологичното пчеларство е изчислен на базата на допълнителните приходи и допълнителните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Допълнителните разходи са 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хранене на пчелното семейство с мед вместо със захар, както е при конвенционалното пчеларство;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контрол и сертифициране;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по-скъпи лекарства и дезинфектанти.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Допълнителният приход е въз основа на по-високата цена на биологичния мед.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Нивата на плащане за биологично земеделие в преход са изчислени на същата база както за поддържане на биологично земеделие, но като се има в предвид, че продуктите в преходния период не могат да бъдат продавани на цените на  биологичните продукти.  Ето защо за цените на продуктите от площите в преход са заложени цените на конвенционалните продукти, умножени по коефициент 1,1.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Добивите по култури в конвенционалното производство се основават на годишни данни на Националния статистически институт (НСИ) за 2011, 2012 и 2013 г. Намаляването на добивите при биологичното производство в сравнение с конвенционалното е определено според съществуващия опит в България и другите страни-членки на ЕС – около 20-25% средно (данни, предоставени от фондация Биоселена, Аграрен университет Пловдив, Асоциация на биологичните производители, Клъстер на биологичните производители и др.). При конвенционалните полски култури конкретно брутните маржини са изчислени на базата на калкулациите по проект CAPA (ИАИ). При тези изчисления се взимат средните стойности за страната съответно за добив и за средногодишни цени, което формира брутните приходи. Производствените разходи съответно са изчислени като сума от разходите за горива, торове, препарати за растителна защита, семена и труд. При тези изчисления разходните норми за горива и нормите за използване на препарати и торове са взети на базата на представително проучване сред браншови организации на производители. Данните за цените на препаратите за растителна защита и на торовете са взети от МЗХГ, НСИ и по наблюдения на фирмите-дистрибутори на съответните продукти. Производствените разходи се извеждат на база на преобладаващите технологии в страната, при средно равнище на интензификация, като са ползвани и консултации със специалисти в областта на биологичното 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Производствените цени са определени от експерти, като са взети пред вид достигнатите равнища за 2011, 2012 и 2013 г. в България и на международните пазари,  по данни, събрани от НСИ, САПИ, СЗСИ, Дирекция „Агростатистика” на МЗХГ. Цените на труда, суровините и материалите са определени на базата на данни от НСИ, САПИ и МЗХГ от последните три години (2011,2012 и 2013 г.). Цените на живия труд са диференцирани на нива ръчен и механизиран труд.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контрол и сертифициране на биологичното производство са диференцирани по групи култури и са въз основа на цените на единадесетте признати сертифициращи органи в България през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Изчислените нива за подпомагане при биологичното растениевъдство са както следва (в евро/ха):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полски култури, включително фуражни - 284 евро/ха в преход; 168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постоянно затревени площи –128 евро/ха в преход, 112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зеленчукови култури –575 евро/ха в преход, 399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трайни насаждения, овощни култури и лозя –736 евро/ха в преход, 557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ароматни и медицински растения – (515 евро/ха в преход, 405 евро/хаслед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за пчелно семейство –35 евро/ха в преход, 25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Във връзка с влязла в сила от 01.01.2018 г. забрана за използване на препарати за растителна защита при прилагане на практики по чл. 43 от Регламент 1307/2013 г. е извършен анализ на необходимостта от преразглеждане на нивата на подпомагане по мярката с оглед на избягване на риск от двойно финансиране. За част от дейностите е предвидено намаление на размера на подпомагане с фиксирана средна сума, което е приложимо за площите от съответната операция, заявени за подпомагане след 01.01.2018г.</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b/>
                <w:bCs/>
                <w:szCs w:val="24"/>
              </w:rPr>
              <w:t>Въвеждане на компенсаторни плащания за отглеждане по биологичен начин на едри и дребни преживни животни по Мярка 1</w:t>
            </w:r>
            <w:r>
              <w:rPr>
                <w:rFonts w:ascii="Times New Roman" w:eastAsia="Times New Roman" w:hAnsi="Times New Roman" w:cs="Times New Roman"/>
                <w:b/>
                <w:bCs/>
                <w:szCs w:val="24"/>
              </w:rPr>
              <w:t>1</w:t>
            </w:r>
            <w:r>
              <w:rPr>
                <w:rFonts w:ascii="Times New Roman" w:eastAsia="Times New Roman" w:hAnsi="Times New Roman" w:cs="Times New Roman"/>
                <w:b/>
                <w:bCs/>
                <w:szCs w:val="24"/>
              </w:rPr>
              <w:t xml:space="preserve"> „Биологично земеделие” на ПРСР 2014-2020</w:t>
            </w:r>
            <w:r>
              <w:rPr>
                <w:rFonts w:ascii="Times New Roman" w:eastAsia="Times New Roman" w:hAnsi="Times New Roman" w:cs="Times New Roman"/>
                <w:b/>
                <w:bCs/>
                <w:szCs w:val="24"/>
              </w:rPr>
              <w:t>, разработена от д-р Стоилко Апостолов, ФБЗ „Биоселена“.</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изчисляването на нивата на компенсаторно плащане за различните видове и категории животни, обект на подпомагане по подмярката е използвана методология, която включва:</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а) остойностяване на по-високите разходи за производство: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контрол и сертификация на животните;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повече работна ръка, породени от задължителните животновъдни практики при биологичното производство които включват:  задължително хранене на малките бозайници с майчино мляко до определена възраст, забрана за профилактично използване на лекарствени средства, забрана за обезроговяване, задължителен процент груби фуражи в дажбата, защита на животните от хищници, повече административна работа и водене на повече документи по контрола и сертификацията на стопанството).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б) остойностяване на загубите/пропуснатите ползи при производството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загуби от по-ниска продуктивност (мляко и месо)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загуби от задължителен минимален период за хранене на малките животни с майчино мляко (не може да се ползват млекозаместители)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загуби от продукция в случай на лечение на животните (карентния период на алопатичните ветеринарни лекарства е два пъти по-дълъг при био производството)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загубите от по-ниска продуктивност (мляко, месо) са  намалени с по-високите цени на биологичните продукти (живи животни, мляко).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предвиждат подпомагане само на животните в основното стадо (млечни крави, месодайни крави – майки, овце – майки; кози – майки).</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Не са включени в изчисленията допълнителните разходи и/или пропуснати ползи за разширяване/ реконструкция на сгради, обори, технологични съоръжения, механизация, машини и инвентар, необходим за биологичното животновъдство.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Получените суми на компенсаторни плащания ще бъдат приравнени към плащане на единица площ в съотношение една Животинска единица (ЖЕ) към един хектар фуражни култури и/или ливади и пасища.</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Компенсаторното плащане ще бъде добавено към компенсаторното плащане за биологично производство съответно на фуражни култури и/или ливади и пасища.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Методология за </w:t>
            </w:r>
            <w:r>
              <w:rPr>
                <w:rFonts w:ascii="Times New Roman" w:eastAsia="Times New Roman" w:hAnsi="Times New Roman" w:cs="Times New Roman"/>
                <w:b/>
                <w:bCs/>
                <w:szCs w:val="24"/>
              </w:rPr>
              <w:t>пре</w:t>
            </w:r>
            <w:r>
              <w:rPr>
                <w:rFonts w:ascii="Times New Roman" w:eastAsia="Times New Roman" w:hAnsi="Times New Roman" w:cs="Times New Roman"/>
                <w:b/>
                <w:bCs/>
                <w:szCs w:val="24"/>
              </w:rPr>
              <w:t>изчисляване на компенсаторните плащания по мярка 11 „Биологично земеделие”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Методологията  е разработена от  проф. Божидар Иванов Институт по аграрна икономика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в биологичното земеделие получават компенсаторно плащане за направените разходи и претърпените загуби при изпълнение на посочените дейности. При преизчисляване на нивата на компенсаторните плащания по Мярка 11 е използван методическият алгоритъм, който е разработен и прилаган през програмния период 2014-2020 г. Направена актуализацията е само на основата на осъвременяване с приетите референтни стойностите и количествените резултати, които са използвани за формирането на изчислението в отделните производствени направления през новия програмен период за биологично производство. Направена е проверка за избягване на двойно финансиране, като са взети предвид базовите изисквания и задължителни условия, които земеделските стопани трябва да покриват, за да получават директни плащания.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Преизчислените нива за подпомагане при биологичното растениевъдство/пчеларство и животновъдство са като следва (в евро/ха)</w:t>
            </w:r>
          </w:p>
          <w:p>
            <w:pPr>
              <w:numPr>
                <w:ilvl w:val="0"/>
                <w:numId w:val="43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полски култури, включително фуражни - 360 евро/ха в преход, 286 евро/ха след прехода:</w:t>
            </w:r>
          </w:p>
          <w:p>
            <w:pPr>
              <w:numPr>
                <w:ilvl w:val="0"/>
                <w:numId w:val="43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постоянно затревени площи –125 евро/ха в преход, 105 евро/ха след прехода;</w:t>
            </w:r>
          </w:p>
          <w:p>
            <w:pPr>
              <w:numPr>
                <w:ilvl w:val="0"/>
                <w:numId w:val="43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зеленчукови култури –756 евро/ха в преход, 589 евро/ха след прехода;</w:t>
            </w:r>
          </w:p>
          <w:p>
            <w:pPr>
              <w:numPr>
                <w:ilvl w:val="0"/>
                <w:numId w:val="43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трайни насаждения, овощни култури и лозя –1208 евро/ха в преход, 977 евро/ха след прехода;</w:t>
            </w:r>
          </w:p>
          <w:p>
            <w:pPr>
              <w:numPr>
                <w:ilvl w:val="0"/>
                <w:numId w:val="43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ароматни и медицински растения – 683 евро/ха в преход, 577 евро/хаслед прехода;</w:t>
            </w:r>
          </w:p>
          <w:p>
            <w:pPr>
              <w:numPr>
                <w:ilvl w:val="0"/>
                <w:numId w:val="43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пчелно семейство –35 евро/ха в преход, 28 евро/ха след прехода</w:t>
            </w:r>
          </w:p>
          <w:p>
            <w:pPr>
              <w:numPr>
                <w:ilvl w:val="0"/>
                <w:numId w:val="43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едри преживни животни (млечни крави и биволици), отглеждани за мляко - 296 евро/ха в преход,  261 евро/ха след прехода;</w:t>
            </w:r>
          </w:p>
          <w:p>
            <w:pPr>
              <w:numPr>
                <w:ilvl w:val="0"/>
                <w:numId w:val="43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едри преживни животни (месодайни крави и биволици), отглеждани за месо  -  207 евро/ха в преход,  183 евро/ха след прехода;</w:t>
            </w:r>
          </w:p>
          <w:p>
            <w:pPr>
              <w:numPr>
                <w:ilvl w:val="0"/>
                <w:numId w:val="43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дребни преживни животни (овце-майки и  кози- майки), отглеждани за  производство (мляко и/или месо) - 241 евро/ха в преход, 202 евро/ха след прехода;</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Когато земеделските стопани са кандидатствали по направление „Биологично животновъдство“ от мярка 11 „Биологично земеделие“ и по мярка 14 „Хуманно отношение към животните“ подпомагането, което ще получат по цитираното направление, ще бъде намалено с размера на финансовото подпомагане по мярка 14. Това намаление се отнася само за групите животни, които са допустими за заявяване и подпомагане по двете мерки.</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Финансиране на стари задължения поети по ПРСР (2007-2013)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Поетите ангажименти по дейности от ПРСР (2007-2013) ще бъдат финансирани от настоящата програма до изтичането им, а от 2016 г. ще бъдат изплатени от бюджета на ПРСР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2020 г. няма да се подпомагат площи/ЖЕ/пчелни семейства, които са в период на преход.</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Демаркация и допълняемост с други мерки от ПРСР с плащания на единица площ</w:t>
            </w:r>
          </w:p>
          <w:p>
            <w:pPr>
              <w:numPr>
                <w:ilvl w:val="0"/>
                <w:numId w:val="43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тази мярка не могат да кандидатстват за подпомагане с едни и същи парцели и/или животни и по мярка 10 „Агроекология и климат“ с изключение на парцелите по направление „Контрол на почвената ерозия“ и/или животните по направление „Опазване на застрашени от изчезване местни породи, важни за селското стопанство“.</w:t>
            </w:r>
          </w:p>
          <w:p>
            <w:pPr>
              <w:numPr>
                <w:ilvl w:val="0"/>
                <w:numId w:val="4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тази мярка могат да кандидатстват за направление биологично животновъдство със заявени парцели по направление „Биологично растениевъдство“ за постоянно затревени площи и фуражни култури  по мярка  214 „Агроекологични плащания“ от ПРСР 2007-2013 г.</w:t>
            </w:r>
          </w:p>
          <w:p>
            <w:pPr>
              <w:numPr>
                <w:ilvl w:val="0"/>
                <w:numId w:val="4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тази мярка могат да кандидатстват за направление биологично животновъдство със заявени животни по направление „Опазване на застрашените от изчезване местни породи“ по мярка  214 „Агроекологични плащания“ от ПРСР 2007-2013 г.</w:t>
            </w:r>
          </w:p>
          <w:p>
            <w:pPr>
              <w:numPr>
                <w:ilvl w:val="0"/>
                <w:numId w:val="43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тази мярка могат да кандидатстват за направления биологично растениевъдство и биологично животновъдство със заявени парцели по направление „Контрол на почвената ерозия“ по мярка  214 „Агроекологични плащания“ от ПРСР 2007-2013 г.</w:t>
            </w:r>
          </w:p>
          <w:p>
            <w:pPr>
              <w:numPr>
                <w:ilvl w:val="0"/>
                <w:numId w:val="43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не могат да заявяват едновременно за подпомагане една и съща площ по мярка 11 "Биологично земеделие“ постоянно затревени площи и мярка 12 "Плащания по Натура 2000 и плащания по Рамковата директива за водите" от ПРСР 2014 - 2020 г., с изключение на зони в Натура 2000, за които няма забрана за използване на пестициди и минерални торове в пасища и ливади и/или забрана за употреба на минерални торове в ливади, пасища, мери, изоставени орни земи и горски територии, както и на продукти за растителна защита и биоциди в тези територии, освен разрешените за биологично производство и при каламитет, епифитотия, епизоотия или епидемия.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двете мерки не могат да се заявяват едновременно площи, които подадат в обхвата на защитени зони, за които има влязла в сила забрана за използване на продукти за растителна защита в горското и селското и/или забрана употреба на минерални торове, както и на продукти за растителна защита и биоциди.</w:t>
            </w:r>
          </w:p>
          <w:p>
            <w:pPr>
              <w:numPr>
                <w:ilvl w:val="0"/>
                <w:numId w:val="43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 „Биологично животновъдство“ могат да кандидатстват и по мярка 14 „Хуманно отношение към животните“.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Данни използвани от ДФЗ-РА при прилагане на мярката - Електронен регистър по чл. 45 от Наредба 5 от 2018 г.  и слой „Биологични площи“</w:t>
            </w:r>
          </w:p>
          <w:p>
            <w:pPr>
              <w:numPr>
                <w:ilvl w:val="0"/>
                <w:numId w:val="43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Компетентното звено по чл. 2 от Наредба № 5 от 2018 г. за прилагане на правилата на биологично производство, етикетиране и контрол, и за издаване на разрешение за контролна дейност за спазване на правилата на биологичното производство, въз основа на данните в регистъра по чл. 45, предоставя на ДФЗ-РА информация за включените в система на контрол площи, животни и пчелни семейства към края на предходната година.</w:t>
            </w:r>
          </w:p>
          <w:p>
            <w:pPr>
              <w:numPr>
                <w:ilvl w:val="0"/>
                <w:numId w:val="43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ДФЗ-РА може да извършва проверки и въз основа на този регистър.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Компетентното звено по чл. 2 от Наредба № 5 от 2018 г. предоставя на ДФЗ-РА цифрови географски данни за площите преминали периода на преход и за които е издаден сертификат от Контролиращото лице (слой „Биологични площи“). Площите, включени в слоя, сертифицираните животни и пчелини с пчелни семейства могат да бъдат подпомагани само за дейности от подмярка 11.2. „Плащания за поддържане на практики и методи за биологично земеделие“</w:t>
            </w:r>
          </w:p>
          <w:p>
            <w:pPr>
              <w:pStyle w:val="BodyText"/>
              <w:jc w:val="both"/>
              <w:rPr>
                <w:b w:val="0"/>
              </w:rPr>
            </w:pPr>
          </w:p>
        </w:tc>
      </w:tr>
    </w:tbl>
    <w:p>
      <w:pPr>
        <w:pStyle w:val="Heading3"/>
        <w:jc w:val="left"/>
        <w:rPr>
          <w:b w:val="0"/>
        </w:rPr>
      </w:pPr>
      <w:r>
        <w:rPr>
          <w:b w:val="0"/>
        </w:rPr>
        <w:br w:type="page"/>
      </w:r>
      <w:bookmarkStart w:id="128" w:name="_Toc256000128"/>
      <w:r>
        <w:rPr>
          <w:b w:val="0"/>
        </w:rPr>
        <w:t>M12 — Плащания по „Натура 2000“ и Рамковата директива за водите (член 30)</w:t>
      </w:r>
      <w:bookmarkEnd w:id="128"/>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30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България е страна с изключително богато разнообразие и е на трето место в ЕС по процент от националната територия, която е в Натура 2000 (34,4%).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решения на Министерски съвет  към 30.11.2014 са приети 119  защитени зони съгласно Директивата  за опазване на дивите птици, покриващи 22,7% от територията на България (2 523 661 ха) и 234 броя защитени зони съгласно Директивата за опазване на природните местообитания и дивата флора и фауна, покриващи 30% от територията на България (3 326 963 ха). Общо 340 защитените зони от Натура 2000, покриващи 34,4 % от територията на страната. За 13 от зоните, границите по двете директиви съвпадат.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Със заповед на Министъра на ОСВ до 30.11.2014 са обявени 119 защитени зони по Директивата за опазване на дивите птици. До края на 2015 Министерството на околната среда планира да публикува заповедите за обявяване на останалите 234 защитени зони по Директивата за местообитанията. През 2020 г. са публикувани 1 заповед за обявяване на защитени зони по Директивата за опазване на дивите птици и 36 заповеди от общо 234 за обявяване на защитени зони по Директивата за опазване на природните местообитания и дивата флора и фауна.През 2021 г. са публикувани и обнародвани 149 заповеди за обявяване на защитени зони по Директивата за опазване на природните местообитания и на дивата флора и фауна.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допринесе основно за постигането целите на следните приоритети, както и до намаляване на парниковите газове, произтичащи от земеделска дейност: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Приоритет 4 :“Възстановяване, защита и подобряване на екосистемите свързани със земеделие и горско стопанрство“ с фокус върху следните области: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a.      Възстановяване, защита и подобряване на биоразнообразието, включително в Натура 2000 зоните и в райони с природни или други ограничения, земите с ВПС , кактои опазване на  характеристиките на ландшафта (област 4a);</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b.      Подобряване управлението на водите предотвратяване и намаляване на замърсяването им от земеделски източници с пестициди и торове (4b);</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c.      Защита на почвата от ерозия и подобряване почвеното плодородие (4c).</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Приоритет 5 „Насърчаване на ефективното използване на ресурсите и подпомагане на прехода към нисковъглеродна и устойчива на климата икономика в земеделието, ХВП и горското стопанство "с акцент върху следните области: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а) насърчаване на опазването и съхранение на въглерод в селското и горското стопанство (област 5e).</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цели на мярката са следните: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Опазване на биологичното разнообразие и защита, поддържане и възстановяване на благоприятния консервационен статус на местата и видовете от Натура 2000, на база задължителните ограничения, наложени от плановете им за управление и заповедите за обявяването им, издадени съгласно Директива 2009/147/ЕИО на Съвета от 30 ноември 2009 година относно опазването на дивите птици и Директива 92/43/ ЕИО на Съвета от 21 май 1992 година за опазване на естествените местообитания и на дивата флора и фауна;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Приносът на мярката за опазването на биологичното разнообразие в България чрез опазването на видовете и местообитанията в естествената им среда (in situ) е от съществено значение. Устойчивите екосистеми в добро състояние притежават голям потенциал за смекчаване на последиците от изменението на климата и приспособяването към тях. Положително ще бъде въздействието при компенсаторни плащания за земеделски земи, влажни  зони, гори и т.н, които са ценни местообитания на видове. Освен това ще доведе и за намаляване на емисиите на опасни вещества във водите; за подобряване опазването на водите в качествено и количествено отношение; за осигуряване устойчивото използване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 12.2. Компенсаторни плащания за гори в Натура 2000 ще започне да се прилага на по-късен етап от 2016 година, след приключване на подготовката на специализирания слой за Натура 2000 гори, по който кандидатите</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ще могат да заявяват своите площи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 12.3. Компенсаторни плащания за селскостопански райони, включени в плановете за управление на речните басейни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ще започне да се прилага при влизане в сила на новите ПУРБ, след юли 2016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Програмата от мерки на Плановте за управление на речните басейни (ПУРБ) няма посочени адекватни мерки за подобряване състоянието на земеделските земи попадащи в речен басейн с план за управление и постигане на екологичните цели на Рамковата директива за водите (РДВ), така както е предвидено в член 30, пар. 4, а,б, г от Регламент (ЕС) № 1305 / 2013. Предстои актуализиране на ПУРБ за периода 2010-2015г, като до края на 2015г ще се разработят ПУРБ за периода 2016-2020г, които трябва да влязат в сила през втората половина на 2016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12.1. Компенсаторни плащания за земеделски площи в Натура 2000</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439"/>
              </w:numPr>
              <w:rPr>
                <w:b w:val="0"/>
              </w:rPr>
            </w:pPr>
            <w:r>
              <w:rPr>
                <w:b w:val="0"/>
              </w:rPr>
              <w:t>12.1 — компенсационни плащания по „Натура 2000“ за земеделски площи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тази подмярка включва всички земеделски земи, попадащи в обхвата на защитените зони по Натура 2000 за които са издадени заповеди за обявяването им, с разписани конкретни режими/ограничения/забрани за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Общата площ на зоните от Натура 2000 е 4,05 млн. ха, от които 56,5% са горски екосистеми, 32,3% - земеделските, и 11,2% други площи.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Със заповед на Министъра до 30.11.2014 на ОСВ са обявени 119 защитени зони по Директивата за опазване на дивите птици. До края на 2015 Министерството на околната среда планира да публикува заповедите за обявяване на останалите 234 защитени зони по Директивата за местообитанията. През 2020 г. са публикувани 1 заповед за обявяване на защитени зони по Директивата за опазване на дивите птици и 36 заповеди от общо 234 за обявяване на защитени зони по Директивата за опазване на природните местообитания и дивата флора и фауна.През 2021 г. са публикувани и обнародвани 149 заповеди за обявяване на защитени зони по Директивата за опазване на природните местообитания и на дивата флора и фауна.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Основният проблем на земите в Натура 2000 е, че повечето от земеделските стопани се стремят земите им да станат избираеми за подпомагане по СЕПП, което води до премахване на храсти, дървета, а в някой случаи и цялостно разораване на ценни местообитания.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земеделска площ за компенсиране на наложени режими/ ограничения/  за земеделски дейности включени в заповедта за обявяване на съответна зона от Натура 2000. Подпомагането по тази подмярка се ограничава до максималните ставки за подпомагане, посочени в приложение I към Регламент (ЕО)1305/2013.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биологичното разнообразие (ЗБР), приет от Народното събрание през август 2002г. с последни изменения от 26.07.2013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Споразумение за партньорство на Република България, очертаващо помоща от европейските структурни и инвестиционни фондаве за периода 2014-2020, Раздел I.</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приоритетна рамка за действие (НПРД) за Натура 2000  на България , за многогодишния финансов период на ЕС 2014-2020: Финасирането на НПРД от ПРСР 2014-2020 ще става по приоритети: 1,2,3,4, и 5 и съответните подприоритети от НПРД, засягащи прилагането на 34 мерки. Мерките целят не само опазване състоянието на видове и местообитания, но ще имат ефект и върху климатичните изменения, улавянето на въглерода, устойчивия туризъм и заетостта.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 управляващи земеделски земи, попадащи в обхвата на защитените територии по Натура 2000;</w:t>
            </w:r>
          </w:p>
          <w:p>
            <w:pPr>
              <w:numPr>
                <w:ilvl w:val="0"/>
                <w:numId w:val="44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трябва да бъдат регистрирани в ИСАК.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41"/>
              </w:numPr>
              <w:spacing w:before="0" w:after="24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Разходите за дейности се изчисляват въз основа на пропуснати доходи и на допълнителните разходи, свързани с режимите и забраните за земеделски дейности, разписани в заповедите за обявяване/плановете за управление на защитените зони по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42"/>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Земеделските земи трябва да попадат в обхвата на Натура 2000, за които има одобрена заповед за обявяване и/или план за управление на защитена зона от Натура 2000;</w:t>
            </w:r>
          </w:p>
          <w:p>
            <w:pPr>
              <w:numPr>
                <w:ilvl w:val="0"/>
                <w:numId w:val="442"/>
              </w:numPr>
              <w:spacing w:before="0" w:after="24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Минимална площ за участие в мярката – 0,3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Калкулираните плащания за режимите и забраните за земеделски дейности, разписани в одобрените заповеди за обявяване/планове за управление на защитените зони се изчисляват индивидуално за всяка зона.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Нивата за подпомагане са представени в Приложение №13, Приложение №13А и Приложение 13Б. Във връзка с въведените промени след 01.01.2018 г., свързани със задължението от изчислените нива на подпомагане да бъде приспадната сума необходима за изключване на двойно финансиране на практики в чл.43 от Регламент 1307/2013, която представлява фиксирана средна сума е изчислено средно намаление на компенсаторното плащане за всички зони в страната в частта обработваеми (орна) земи в размер  на 2 евро/ха. Направените изчисления включват изваждането от премията на признатите до влизането на промените по I стълб разходи за растителна защита. В останалите групи – постоянно-затревени площи и трайни насаждения не се налагат корекции и промени в настоящите ставки не са правени.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Административния и технически капацитет на прилагащото звено към ДФЗ – РА е недостатъчен, във връзка с увеличението на стопаните и площите в бъдеще.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Предстои издаването на заповеди съгласно чл. 12, ал. 6  от ЗБР за 234 защитени зони съгласно Директивата за местообитанията, с обща площ 3 326 963 ха/включваща и акватория/ (обхващащи 30 % от територията на страната). Към 2014 кандидати по мярка от ПРСР 2007-2013 са над 10 000 земеделски стопани (с площ над 349 000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4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качеството на допустимия слой с площи с наложени конкретни забрани и ограничения за подпомагане към момента на кандидатстване за субсидии, изнасяне на информацията за допустимия слой с площи с наложени конкретни забрани и ограничения, одобрен за плащане в интернет и информиране на кандидатите с евентуални проблеми.</w:t>
            </w:r>
          </w:p>
          <w:p>
            <w:pPr>
              <w:numPr>
                <w:ilvl w:val="0"/>
                <w:numId w:val="44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По-добра информираност на кандидатите относно необходимите документи за доказване на право на ползване при кандидатстване за директни плащания.</w:t>
            </w:r>
          </w:p>
          <w:p>
            <w:pPr>
              <w:numPr>
                <w:ilvl w:val="0"/>
                <w:numId w:val="44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По-добра и навременна информираност на потенциалните бенефициенти за условията по кръстосано съответствие, които следва да спазват. Списък на условията които следва да спазва всеки бенефициент в зависимост от подаденото от него заявление за подпомагане.</w:t>
            </w:r>
          </w:p>
          <w:p>
            <w:pPr>
              <w:numPr>
                <w:ilvl w:val="0"/>
                <w:numId w:val="44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Предупреждение за площи, които не попадат в обхвата на мярката. Предупреждение за наличие на площи, които попадат в обхвата на мярката, но не са заявени за подпомагане. Предупреждение при подаване на заявление за подпомагане за пропусната заявена мярка 12. Предупреждение за грешен избор на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административния и техническия капацитет на РА за извършване на проверки и контрол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опит от предходния планов период за извършване на проверки за допустимост. РА извършва административни проверки чрез ИСАК – заявена площ и поддържане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 з</w:t>
            </w:r>
            <w:r>
              <w:rPr>
                <w:rFonts w:ascii="Times New Roman" w:eastAsia="Times New Roman" w:hAnsi="Times New Roman" w:cs="Times New Roman"/>
                <w:b/>
                <w:bCs/>
                <w:szCs w:val="24"/>
              </w:rPr>
              <w:t xml:space="preserve">а косенето на ливадите </w:t>
            </w:r>
            <w:r>
              <w:rPr>
                <w:rFonts w:ascii="Times New Roman" w:eastAsia="Times New Roman" w:hAnsi="Times New Roman" w:cs="Times New Roman"/>
                <w:szCs w:val="24"/>
              </w:rPr>
              <w:t>ще се извършва измерване на площите и проверка за извършените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график за проверка на място и забраните в забранителните режими на зоните от Натура ще бъде следена забраната за косене на ливадите – преди 15 юни, до 01 юли и преди 15 юли . Ще бъде проверявана наличната в стопанството техника, както и начина на косене на ливадите в установените периоди.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Поради връзката и с други секторни политики (Околна среда) е необходимо при разработването на мерките да се създадат междуведомствени работни групи (МЗХГ и МОСВ) с оглед обвързването на екологичното законодателство с прилагането на мерките по ПРСР 2014-2020 и постигането на техните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мярка 12 цели да компенсира допълнителните разходи и пропуснати ползи на земеделския стопанин. Това подпомагане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както и за смекчаването на последствията от изменението на климата. и др. Кандидатстване за подпомагане по мярка 12 е част от общото заявление за подпомагане по директни плащания, което улеснява кандидатстването по мярката (не е необходимо подаване на отделно заявление).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Мярката е контролируема и проверима.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базовите елементи; за плащания по „Натура 2000“ това следва да включва доброто земеделско и екологично състояние, предвидено в член 94 и приложение II към Регламент (ЕС) № 1306/2013 и съответните критерии и минимални дейности, посочени в член 4, параграф 1, буква в), подточки ii) и iii) от Регламент (ЕС) № 1307/2013; за плащания по РДВ това включва задължителните стандарти, установени в дял VI, глава I от Регламент (ЕС) № 1306/2013 и съответните критерии и минимални дейности, установени съгласно член 4, параграф 1, буква в), подточки ii) и iii) от Регламент (ЕС) № 1307/2013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 описани в приложение (Приложение № 12  към мярка 12).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Базови изисквания</w:t>
            </w:r>
          </w:p>
          <w:p>
            <w:pPr>
              <w:numPr>
                <w:ilvl w:val="0"/>
                <w:numId w:val="444"/>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Обработваеми земи</w:t>
            </w:r>
          </w:p>
          <w:p>
            <w:pPr>
              <w:numPr>
                <w:ilvl w:val="0"/>
                <w:numId w:val="44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4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w:t>
            </w:r>
          </w:p>
          <w:p>
            <w:pPr>
              <w:numPr>
                <w:ilvl w:val="0"/>
                <w:numId w:val="44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поддържането на земеделската площ в състояние, което я прави подходяща за обработване по смисъла на чл. 4, параграф 1, б. „в“, подт. ii) от Регламент (ЕС) № 1307/2013, трябва да бъде приложена поне една от следните минимални дейности: изораване;  дисковане.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2.Трайни насаждения</w:t>
            </w:r>
          </w:p>
          <w:p>
            <w:pPr>
              <w:numPr>
                <w:ilvl w:val="0"/>
                <w:numId w:val="44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3.Постоянно затревени площи</w:t>
            </w:r>
          </w:p>
          <w:p>
            <w:pPr>
              <w:numPr>
                <w:ilvl w:val="0"/>
                <w:numId w:val="44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4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7. Задължително е да се запазват и поддържат живи плетове и дървета, които не се отрязват по време на размножителния период и периода на отглеждане при птиците (от 1 март до 31 юли);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4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ограниченията/неблагоприятните условия, въз основа на които могат да бъдат отпуснати плащания, и посочване на задължителните практики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Забрани от заповедите за обявяване на защитените зони по Натура 2000 съгласно Директивата за птиците 2009/147/ЕО</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и Директива 92/43/ЕИО за опазване на природните местообитания и на дивата флора и фауна.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Забранява се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1.Премахване на характеристиките на ландшафта (синори, единични и група дървета) при ползването на земеделски земи като такива;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Използването на неселективни средства за борба с вредителите по горите (в селското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Косенето на ливади до 01 юли;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Разораването и залесяването на ливади, пасища и мери, както и превръщането им в обработваеми земи и трайни насаждения;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 Използването на пестициди и минерални торове в пасища и ливади;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6. Косенето на ливадите от периферията към центъра с бързодвижеща се техника и преди 15 юли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7. Косенето на ливадите от периферията към центъра, преди 15 юни;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8. Промяна на предназначението и/или начина на трайно ползване на ливади, пасища, поляни, мери, мочурища, водоеми, водни течения, крайбрежни клифове (скали) в селскостопанския и горския фонд, с изключение на случаите, при които промяната е свързана със: изпълнението на дейностите по предоставените с РМС концесии за добив на суров нефт от находище "Тюленово" и концесия за добив на природен газ от находище "Българево", изграждането на пречиствателни станции за питейни и отпадъчни води, на съоръжения за укрепване на свлачища; пътища и други елементи (обекти) на техническата инфраструктура; реализиране на планове, програми, проекти и инвестиционни предложения, за които към датата на обнародване на заповедта в "ДВ" има завършена процедура по глава 6 ЗООС и/или чл. 31 ЗБР;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9. 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изпълнението на дейностите попредоставената с РМС концесия за добив на природен газ от находище "Дуранкулак" и т.н.;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10.Промяна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изграждането на пречиствателнистанции за питейни и отпадъчни води, на съоръжения за третиране на отпадъците, на съоръжения за укрепване на свлачища; пътища и други елементи (обекти) на техническата инфраструктура;реализация на други планове, програми, проекти и инвестиционни предложения, за които към датата на одобряване на заповедта в "ДВ" има завършена процедура по реда на глава шест от ЗООС и/или по чл. 31 ЗБР;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11. Разораването на пасищата и превръщането им в обработваеми земи;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12. Премахване на характеристики на ландшафта (синори, жизнени единични и групи дървета, традиционни ивици заети с храстово-дървесна растителност сред обработваеми земи, защитни горски пояси, каменни огради и живи плетове), при ползването на земеделските земи като такива;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13. Употреба на минерални торове, както и на продукти за растителна защита и биоциди;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14. Използване на продукти за растителна защита в горското и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15. Употреба на минерални торове в ливади, пасища, мери, изоставени орни земи и горски територии, както и на продукти за растителна защита и биоциди в тези територии, освен разрешените за биологично производство и при каламитет, епифитотия, епизоотия или епидемия.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16. Употреба на изкуствени торове и химически средства за растителна защита.</w:t>
            </w:r>
          </w:p>
          <w:p>
            <w:pPr>
              <w:pStyle w:val="BodyText"/>
              <w:jc w:val="both"/>
              <w:rPr>
                <w:b w:val="0"/>
              </w:rPr>
            </w:pPr>
          </w:p>
        </w:tc>
      </w:tr>
    </w:tbl>
    <w:p>
      <w:pPr>
        <w:rPr>
          <w:b w:val="0"/>
        </w:rPr>
      </w:pPr>
      <w:r>
        <w:rPr>
          <w:b w:val="0"/>
        </w:rPr>
        <w:t xml:space="preserve">за плащания по РДВ: определение за съществени промени във вида земеползване и описание на връзките с програмите от мерки на плана за управление на речните басейни, посочен в член 13 от Директива 2000/60/ЕО на Европейския парламент и на Съвета (РДВ);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За „Натура 2000“: зоните, определени в изпълнение на Директива 92/43/ЕИО на Съвета и Директива 2009/147/ЕО на Европейския парламент и на Съвета, както и задълженията за земеделските стопани, произтичащи от съответните разпоредби на националното законодателство или местното управление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Описани са в приложение към мярка 12. Приложение 14 – списък на 119 зони за птиците </w:t>
            </w:r>
          </w:p>
          <w:p>
            <w:pPr>
              <w:pStyle w:val="BodyText"/>
              <w:jc w:val="both"/>
              <w:rPr>
                <w:b w:val="0"/>
              </w:rPr>
            </w:pPr>
          </w:p>
        </w:tc>
      </w:tr>
    </w:tbl>
    <w:p>
      <w:pPr>
        <w:rPr>
          <w:b w:val="0"/>
        </w:rPr>
      </w:pPr>
      <w:r>
        <w:rPr>
          <w:b w:val="0"/>
        </w:rPr>
        <w:t>Описание на методологията и на агрономическите прогнози, включително описание на базовите изисквания, посочени в член 30, параграф 3 от Регламент (ЕС) № 1305/2013 за директиви 92/43/ЕИО и 2009/147/ЕО, както и в член 30, параграф 4 от същия регламент за Директивата за водите (РДВ), използвани като отправна точка за изчисленията, които доказват допълнителните разходи и пропуснатите ползи, произтичащи от неблагоприятните условия във съответните райони, свързани с изпълнението на директиви 92/43/ЕИО, 2009/147/ЕО и на РДВ; когато е уместно, тази методология е съобразена с плащанията за земеделски практики, благоприятни за климата и околната среда, предоставени в съответствие с Регламент (ЕС) № 1307/2013, така че да се изключва двойното финансиране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 разработването на методологията са участвали проф. д-р Тотка Трифонова (ИПАЗР "Никола Пушкаров"), доц. д-р Диляна Митова, доц. д-р Божидар Иванов (ИАИ);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Подмярка 12.1. включва всички земеделски земи, попадащи в обхвата на защитените зони по Натура 2000 за които са издадени заповеди за обявяването им, с разписани конкретни режими/ограничения/забрани за земеделски дейности. Подпомагането се предоставя под формата на годишни плащания на хектар земеделска земя за компенсиране на наложени режими/ограничения/ забрани за земеделски дейности включени в заповедта за обявяване на съответна зона от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Регламент (ЕС) № 1305/ 2013 и разписания фиш на мярка 12.1, критериите за допустимост са както следва: минимален размер - 0,3 хектара земеделска земя с размер на парцела минимум 0,1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получават компенсаторно плащане за направените разходи и претърпените загуби при изпълнение на посочените дейности (забрани 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Максималният размер на плащане за хектар земеделска земя за година е 200 евро/ха, съгласно Приложение II на Регламент( EC) № 1305/2013.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Ще се компенсират </w:t>
            </w:r>
            <w:r>
              <w:rPr>
                <w:rFonts w:ascii="Times New Roman" w:eastAsia="Times New Roman" w:hAnsi="Times New Roman" w:cs="Times New Roman"/>
                <w:b/>
                <w:bCs/>
                <w:szCs w:val="24"/>
              </w:rPr>
              <w:t>11 на брой забрани</w:t>
            </w:r>
            <w:r>
              <w:rPr>
                <w:rFonts w:ascii="Times New Roman" w:eastAsia="Times New Roman" w:hAnsi="Times New Roman" w:cs="Times New Roman"/>
                <w:szCs w:val="24"/>
              </w:rPr>
              <w:t> за селскостопанска дейност. Забраните под номера</w:t>
            </w:r>
            <w:r>
              <w:rPr>
                <w:rFonts w:ascii="Times New Roman" w:eastAsia="Times New Roman" w:hAnsi="Times New Roman" w:cs="Times New Roman"/>
                <w:b/>
                <w:bCs/>
                <w:szCs w:val="24"/>
              </w:rPr>
              <w:t xml:space="preserve"> 4, 11, 8, 9, 10  </w:t>
            </w:r>
            <w:r>
              <w:rPr>
                <w:rFonts w:ascii="Times New Roman" w:eastAsia="Times New Roman" w:hAnsi="Times New Roman" w:cs="Times New Roman"/>
                <w:szCs w:val="24"/>
              </w:rPr>
              <w:t xml:space="preserve">няма да се компенсират по мярка 12, тъй като в Регламент 1307 за директните плащания, с </w:t>
            </w:r>
            <w:r>
              <w:rPr>
                <w:rFonts w:ascii="Times New Roman" w:eastAsia="Times New Roman" w:hAnsi="Times New Roman" w:cs="Times New Roman"/>
                <w:b/>
                <w:bCs/>
                <w:szCs w:val="24"/>
              </w:rPr>
              <w:t>цел да се избегне двойното финансиране (с I</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стълб)</w:t>
            </w:r>
            <w:r>
              <w:rPr>
                <w:rFonts w:ascii="Times New Roman" w:eastAsia="Times New Roman" w:hAnsi="Times New Roman" w:cs="Times New Roman"/>
                <w:szCs w:val="24"/>
              </w:rPr>
              <w:t xml:space="preserve"> изрично е записано, че се избягва разораването на пасища и постоянно затревени площи в екологично чувствителни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компенсаторното плащане се изчислява чрез алгоритъм, който се базира на определяне на пропуснатите ползи и допълнителните разходи, за земеделските стопани и/или другите разрешени от закона стопанисващи земеделските площи в съответните райони, вследствие на спазване на разписаните забрани и ограничения. Взети са предвид и спестените разходи и загубите вследствие не-извършването на определени дейности поради разписаните забрани 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влязла в сила от 01.01.2018 г. забрана за използване на препарати за растителна защита при прилагане на практики по чл. 43 от Регламент 1307/2013 г. е извършен анализ на необходимостта от преразглеждане на нивата на подпомагане по мярката с оглед на избягване на риск от двойно финансиране. За част от дейностите е предвидено намаление на размера на подпомагане с фиксирана средна сума, което е приложимо към всички обработваеми площи, заявени за подпомагане след 01.01.2018 г. и отразява намалените разходи/пропуснати ползи спрямо първоначалните изчисления на размера на подпомагане, отчитайки частта на обработваемите площи, за които е в сила забраната за използване на ПРЗ.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А)</w:t>
            </w:r>
            <w:r>
              <w:rPr>
                <w:rFonts w:ascii="Times New Roman" w:eastAsia="Times New Roman" w:hAnsi="Times New Roman" w:cs="Times New Roman"/>
                <w:szCs w:val="24"/>
              </w:rPr>
              <w:t> </w:t>
            </w:r>
            <w:r>
              <w:rPr>
                <w:rFonts w:ascii="Times New Roman" w:eastAsia="Times New Roman" w:hAnsi="Times New Roman" w:cs="Times New Roman"/>
                <w:b/>
                <w:bCs/>
                <w:i/>
                <w:iCs/>
                <w:szCs w:val="24"/>
              </w:rPr>
              <w:t>Пропуснатите приходи</w:t>
            </w:r>
            <w:r>
              <w:rPr>
                <w:rFonts w:ascii="Times New Roman" w:eastAsia="Times New Roman" w:hAnsi="Times New Roman" w:cs="Times New Roman"/>
                <w:szCs w:val="24"/>
              </w:rPr>
              <w:t xml:space="preserve"> са резултат на: 1) По-ниските добиви на продукция от земеделските култури на хектар поради спазването на забраните и ограниченията (забрана за косене; за премахване на характеристиките на ландшафта; за използването на неселективни средства за борба с вредителите по горите (в селското стопанство); за използването на пестициди и минерални торове в пасищата и ливадите , както и пропуснати приходи от използването на минерални торове и препарати за растителна защита при обработваеми земи и трайни насаждения; 2) Пропуснати приходи от спазване на забраната за промяна на предназначението и/или начина на трайно ползване на ливади, пасища, поляни, мери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Допълните разходи</w:t>
            </w:r>
            <w:r>
              <w:rPr>
                <w:rFonts w:ascii="Times New Roman" w:eastAsia="Times New Roman" w:hAnsi="Times New Roman" w:cs="Times New Roman"/>
                <w:szCs w:val="24"/>
              </w:rPr>
              <w:t xml:space="preserve"> се формират като: 1) Увеличен разход на труд, поради завишения брой на операциите, в резултат на намаляване разходите за торене и растителнозащитни препарати и спазване на забраните; 2) По-големи разходи за труд при пасищата са свързани с използване на неселективни средства за борба с вредителите по горите (в селското стопанство); за техническа поддръжка на машините и др. 3) Допълнителни разходи за горива и амортизация вследствие: забраната за косене от периферията към центъра; забраната за премахване на характеристиките на ландшафта (синори, единични и група дървета) при ползването на земеделски земи като такива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Спестените разходи</w:t>
            </w:r>
            <w:r>
              <w:rPr>
                <w:rFonts w:ascii="Times New Roman" w:eastAsia="Times New Roman" w:hAnsi="Times New Roman" w:cs="Times New Roman"/>
                <w:szCs w:val="24"/>
              </w:rPr>
              <w:t xml:space="preserve"> са в резултат на отпадане разходите за торове и препарати за растителна защита и в резултат на не-предприемане на някои земеделски дейности (прилагане на пестициди, торене с минерални торове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Необходимите икономически данни – добиви, цени на вложени фактори на производството и други, който са използвани при определяне на компенсаторните плащания са от НСИ, публикации  „Агростатистика” към МЗХГ, Дирекция „Растениевъдство” на МЗХГ, материали от САПИ, данни от СЗСИ за 2011 г, научни изследвания и са обработени от ИАИ, София. Референтния период на направените изчисления обхваща три години от 2011-2013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Размерът на компенсаторното плащане се определя чрез разликата в брутните маржове </w:t>
            </w:r>
            <w:r>
              <w:rPr>
                <w:rFonts w:ascii="Times New Roman" w:eastAsia="Times New Roman" w:hAnsi="Times New Roman" w:cs="Times New Roman"/>
                <w:szCs w:val="24"/>
              </w:rPr>
              <w:t xml:space="preserve">(получените приходи, от които са извадени съответните разходи за производството) </w:t>
            </w:r>
            <w:r>
              <w:rPr>
                <w:rFonts w:ascii="Times New Roman" w:eastAsia="Times New Roman" w:hAnsi="Times New Roman" w:cs="Times New Roman"/>
                <w:i/>
                <w:iCs/>
                <w:szCs w:val="24"/>
              </w:rPr>
              <w:t>на хектар ИЗП при съответните видове дейности (производство) при вариант без забраните и ограниченията и при вариант със забраните и ограниченията.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Компенсаторните плащания за подмярка 12.1 се групират по три вида земеползване: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пасища, ливади и мери (постоянно затревени площи)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обработваеми земи (орни земи)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трайни насаждения (овощни градини)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Разработени нива на компенсаторни плащания по всички забрани диференцирани за 4 вида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планински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други райони, засегнати от значителни природни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други райони, засегнати от специфични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райони незасегнати от природни и почвени ограничения, считани в методиката, като незасегнати от природни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Приложение №10 е показана цялата методология, а в Приложение №13, 13А и 13Б таблица с компенсаторни плащания по зони и видове ограничения и зоните за местообитанията.</w:t>
            </w:r>
          </w:p>
          <w:p>
            <w:pPr>
              <w:pStyle w:val="BodyText"/>
              <w:jc w:val="both"/>
              <w:rPr>
                <w:b w:val="0"/>
              </w:rPr>
            </w:pPr>
          </w:p>
        </w:tc>
      </w:tr>
    </w:tbl>
    <w:p>
      <w:pPr>
        <w:rPr>
          <w:b w:val="0"/>
        </w:rPr>
      </w:pPr>
      <w:r>
        <w:rPr>
          <w:b w:val="0"/>
        </w:rPr>
        <w:t>В случай, че други определени защитени природни зони с екологични ограничения са избрани за подпомагане в рамките на тази мярка — спецификация на обектите и принос към прилагането на член 10 на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Посочване на връзката между осъществяването на мярката и рамката за приоритетни действия (член 8, параграф 4 от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приоритетна рамка за действие (НПРД) за Натура 2000  на България , за многогодишния финансов период на ЕС 2014-2020: Финасирането на НПРД от ПРСР 2014-2020 ще става по приоритети: 1,2,3,4, и 5 и съответните подприоритети от НПРД, засягащи прилагането на 34 мерки. Мерките целят не само опазване състоянието на видове и местообитания, но ще имат ефект и върху климатичните изменения, улавянето на въглерода, устойчивия туризъм и заетостта.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Административния и технически капацитет на прилагащото звено към ДФЗ – РА е недостатъчен, във връзка с увеличението на стопаните и площите в бъдеще.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Предстои издаването на заповеди съгласно чл. 12, ал. 6  от ЗБР за 234 защитени зони съгласно Директивата за местообитанията, с обща площ 3 326 963 ха/включваща и акватория/ (обхващащи 30 % от територията на страната). Към 2014 кандидати по мярка от ПРСР 2007-2013 са над 10 000 земеделски стопани (с площ над 349 000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48"/>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качеството на допустимия слой с площи с наложени конкретни забрани и ограничения за подпомагане към момента на кандидатстване за субсидии, изнасяне на информацията за допустимия слой с площи с наложени конкретни забрани и ограничения, одобрен за плащане в интернет и информиране на кандидатите с евентуални проблеми.</w:t>
            </w:r>
          </w:p>
          <w:p>
            <w:pPr>
              <w:numPr>
                <w:ilvl w:val="0"/>
                <w:numId w:val="448"/>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По-добра информираност на кандидатите относно необходимите документи за доказване на право на ползване при кандидатстване за директни плащания.</w:t>
            </w:r>
          </w:p>
          <w:p>
            <w:pPr>
              <w:numPr>
                <w:ilvl w:val="0"/>
                <w:numId w:val="448"/>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По-добра и навременна информираност на потенциалните бенефициенти за условията по кръстосано съответствие, които следва да спазват. Списък на условията които следва да спазва всеки бенефициент в зависимост от подаденото от него заявление за подпомагане.</w:t>
            </w:r>
          </w:p>
          <w:p>
            <w:pPr>
              <w:numPr>
                <w:ilvl w:val="0"/>
                <w:numId w:val="448"/>
              </w:numPr>
              <w:spacing w:before="0" w:after="24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Предупреждение за площи, които не попадат в обхвата на мярката. Предупреждение за наличие на площи, които попадат в обхвата на мярката, но не са заявени за подпомагане. Предупреждение при подаване на заявление за подпомагане за пропусната заявена мярка 12. Предупреждение за грешен избор на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административния и техническия капацитет на РА за извършване на проверки и контрол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опит от предходния планов период за извършване на проверки за допустимост. РА извършва административни проверки чрез ИСАК – заявена площ и поддържане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 з</w:t>
            </w:r>
            <w:r>
              <w:rPr>
                <w:rFonts w:ascii="Times New Roman" w:eastAsia="Times New Roman" w:hAnsi="Times New Roman" w:cs="Times New Roman"/>
                <w:b/>
                <w:bCs/>
                <w:szCs w:val="24"/>
              </w:rPr>
              <w:t xml:space="preserve">а косенето на ливадите </w:t>
            </w:r>
            <w:r>
              <w:rPr>
                <w:rFonts w:ascii="Times New Roman" w:eastAsia="Times New Roman" w:hAnsi="Times New Roman" w:cs="Times New Roman"/>
                <w:szCs w:val="24"/>
              </w:rPr>
              <w:t>ще се извършва измерване на площите и проверка за извършените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график за проверка на място и забраните в забранителните режими на зоните от Натура ще бъде следена забраната за косене на ливадите – преди 15 юни, до 01 юли и преди 15 юли . Ще бъде проверявана наличната в стопанството техника, както и начина на косене на ливадите в установените периоди.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Поради връзката и с други секторни политики (Околна среда) е необходимо при разработването на мерките да се създадат междуведомствени работни групи (МЗХ и МОСВ) с оглед обвързването на екологичното законодателство с прилагането на мерките по ПРСР 2014-2020 и постигането на техните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мярка 12 цели да компенсира допълнителните разходи и пропуснати ползи на земеделския стопанин. Това подпомагане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 Кандидатстване за подпомагане по мярка 12 е част от общото заявление за подпомагане по директни плащания, което улеснява кандидатстването по мярката (не е необходимо подаване на отделно заявление).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е контролируема и проверима.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базовите елементи; за плащания по „Натура 2000“ това следва да включва доброто земеделско и екологично състояние, предвидено в член 94 и приложение II към Регламент (ЕС) № 1306/2013 и съответните критерии и минимални дейности, посочени в член 4, параграф 1, буква в), подточки ii) и iii) от Регламент (ЕС) № 1307/2013; за плащания по РДВ това включва задължителните стандарти, установени в дял VI, глава I от Регламент (ЕС) № 1306/2013 и съответните критерии и минимални дейности, установени съгласно член 4, параграф 1, буква в), подточки ii) и iii) от Регламент (ЕС) № 1307/2013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 описани в приложение (Приложение №12 към мярка 12).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 xml:space="preserve">Базови изисквания </w:t>
            </w:r>
          </w:p>
          <w:p>
            <w:pPr>
              <w:numPr>
                <w:ilvl w:val="0"/>
                <w:numId w:val="449"/>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Обработваеми земи</w:t>
            </w:r>
          </w:p>
          <w:p>
            <w:pPr>
              <w:numPr>
                <w:ilvl w:val="0"/>
                <w:numId w:val="45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5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w:t>
            </w:r>
          </w:p>
          <w:p>
            <w:pPr>
              <w:numPr>
                <w:ilvl w:val="0"/>
                <w:numId w:val="45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поддържането на земеделската площ в състояние, което я прави подходяща за обработване по смисъла на чл. 4, параграф 1, б. „в“, подт. ii) от Регламент (ЕС) № 1307/2013, трябва да бъде приложена поне една от следните минимални дейности: изораване;  дисковане.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2.Трайни насаждения </w:t>
            </w:r>
          </w:p>
          <w:p>
            <w:pPr>
              <w:numPr>
                <w:ilvl w:val="0"/>
                <w:numId w:val="45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3.Постоянно затревени площи</w:t>
            </w:r>
          </w:p>
          <w:p>
            <w:pPr>
              <w:numPr>
                <w:ilvl w:val="0"/>
                <w:numId w:val="45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5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7. Задължително е да се запазват и поддържат живи плетове и дървета, които не се отрязват по време на размножителния период и периода на отглеждане при птиците (от 1 март до 31 юли);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5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spacing w:after="100"/>
        <w:rPr>
          <w:b w:val="0"/>
        </w:rPr>
      </w:pPr>
      <w:r>
        <w:rPr>
          <w:b w:val="0"/>
        </w:rPr>
        <w:t>Определяне на ограниченията/неблагоприятните условия, въз основа на които могат да бъдат отпуснати плащания, и посочване на задължителните практики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Забранява се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1.Премахване на характеристиките на ландшафта (синори, единични и група дървета) при ползването на земеделски земи като такива;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Използването на неселективни средства за борба с вредителите по горите (в селското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Косенето на ливади до 01 юли;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Разораването и залесяването на ливади, пасища и мери, както и превръщането им в обработваеми земи и трайни насаждения;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 Използването на пестициди и минерални торове в пасища и ливади;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6. Косенето на ливадите от периферията към центъра с бързодвижеща се техника и преди 15 юли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7. Косенето на ливадите от периферията към центъра, преди 15 юни;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8. Промяна на предназначението и/или начина на трайно ползване на ливади, пасища, поляни, мери, мочурища, водоеми, водни течения, крайбрежни клифове (скали) в селскостопанския и горския фонд, с изключение на случаите, при които промяната е свързана със: изпълнението на дейностите по предоставените с РМС концесии за добив на суров нефт от находище "Тюленово" и концесия за добив на природен газ от находище "Българево", изграждането на пречиствателни станции за питейни и отпадъчни води, на съоръжения за укрепване на свлачища; пътища и други елементи (обекти) на техническата инфраструктура; реализиране на планове, програми, проекти и инвестиционни предложения, за които към датата на обнародване на заповедта в "ДВ" има завършена процедура по глава 6 ЗООС и/или чл. 31 ЗБР;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9. 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изпълнението на дейностите попредоставената с РМС концесия за добив на природен газ от находище "Дуранкулак" и т.н.;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10.Промяна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изграждането на пречиствателнистанции за питейни и отпадъчни води, на съоръжения за третиране на отпадъците, на съоръжения за укрепване на свлачища; пътища и други елементи (обекти) на техническата инфраструктура;реализация на други планове, програми, проекти и инвестиционни предложения, за които към датата на одобряване на заповедта в "ДВ" има завършена процедура по реда на глава шест от ЗООС и/или по чл. 31 ЗБР;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11. Разораването на пасищата и превръщането им в обработваеми земи.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12. Премахване на характеристики на ландшафта (синори, жизнени единични и групи дървета, традиционни ивици заети с храстово-дървесна растителност сред обработваеми земи, защитни горски пояси, каменни огради и живи плетове), при ползването на земеделските земи като такива;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13. Употреба на минерални торове, както и на продукти за растителна защита и биоциди;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14. Използване на продукти за растителна защита в горското и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15. Употреба на минерални торове в ливади, пасища, мери, изоставени орни земи и горски територии, както и на продукти за растителна защита и биоциди в тези територии, освен разрешените за биологично производство и при каламитет, епифитотия, епизоотия или епидемия.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16. Употреба на изкуствени торове и химически средства за растителна защита.</w:t>
            </w:r>
          </w:p>
          <w:p>
            <w:pPr>
              <w:pStyle w:val="BodyText"/>
              <w:spacing w:after="100"/>
              <w:jc w:val="both"/>
              <w:rPr>
                <w:b w:val="0"/>
              </w:rPr>
            </w:pPr>
          </w:p>
        </w:tc>
      </w:tr>
    </w:tbl>
    <w:p>
      <w:pPr>
        <w:spacing w:after="100"/>
        <w:rPr>
          <w:b w:val="0"/>
        </w:rPr>
      </w:pPr>
      <w:r>
        <w:rPr>
          <w:b w:val="0"/>
        </w:rPr>
        <w:t xml:space="preserve">за плащания по РДВ: определение за съществени промени във вида земеползване и описание на връзките с програмите от мерки на плана за управление на речните басейни, посочен в член 13 от Директива 2000/60/ЕО на Европейския парламент и на Съвета (РДВ);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За „Натура 2000“: зоните, определени в изпълнение на Директива 92/43/ЕИО на Съвета и Директива 2009/147/ЕО на Европейския парламент и на Съвета, както и задълженията за земеделските стопани, произтичащи от съответните разпоредби на националното законодателство или местното управление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Описани са в приложение към мярка 12. Приложение 14 – списък на 119 зони за птиците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Описание на методологията и на агрономическите прогнози, включително описание на базовите изисквания, посочени в член 30, параграф 3 от Регламент (ЕС) № 1305/2013 за директиви 92/43/ЕИО и 2009/147/ЕО, както и в член 30, параграф 4 от същия регламент за Директивата за водите (РДВ), използвани като отправна точка за изчисленията, които доказват допълнителните разходи и пропуснатите ползи, произтичащи от неблагоприятните условия във съответните райони, свързани с изпълнението на директиви 92/43/ЕИО, 2009/147/ЕО и на РДВ; когато е уместно, тази методология е съобразена с плащанията за земеделски практики, благоприятни за климата и околната среда, предоставени в съответствие с Регламент (ЕС) № 1307/2013, така че да се изключва двойното финансиране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 разработването на методологията са участвали проф. д-р Тотка Трифонова (Институт по почвознание,агротехонлогии и защита на растенията "Никола Пушкаров"), доц. д-р Диляна Митова, доц. д-р Божидар Иванов (Институт по аграрна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Подмярка 12.1. включва всички земеделски земи, попадащи в обхвата на защитените зони по Натура 2000 за които са издадени заповеди за обявяването им, с разписани конкретни режими/ограничения/забрани за земеделски дейности. Подпомагането се предоставя под формата на годишни плащания на хектар земеделска земя за компенсиране на наложени режими/ограничения/ забрани за земеделски дейности включени в заповедта за обявяване на съответна зона от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Регламент (ЕС) № 1305/ 2013 и разписания фиш на мярка 12.1, критериите за допустимост са както следва: минимален размер - 0,3 хектара земеделска земя с размер на парцела минимум 0,1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получават компенсаторно плащане за направените разходи и претърпените загуби при изпълнение на посочените дейности (забрани 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Максималният размер на плащане за хектар земеделска земя за година е 200 евро/ха, съгласно Приложение II на Регламент( EC) № 1305/2013.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Ще се компенсират </w:t>
            </w:r>
            <w:r>
              <w:rPr>
                <w:rFonts w:ascii="Times New Roman" w:eastAsia="Times New Roman" w:hAnsi="Times New Roman" w:cs="Times New Roman"/>
                <w:b/>
                <w:bCs/>
                <w:szCs w:val="24"/>
              </w:rPr>
              <w:t>11 на брой забрани</w:t>
            </w:r>
            <w:r>
              <w:rPr>
                <w:rFonts w:ascii="Times New Roman" w:eastAsia="Times New Roman" w:hAnsi="Times New Roman" w:cs="Times New Roman"/>
                <w:szCs w:val="24"/>
              </w:rPr>
              <w:t> за селскостопанска дейност. Забраните под номера</w:t>
            </w:r>
            <w:r>
              <w:rPr>
                <w:rFonts w:ascii="Times New Roman" w:eastAsia="Times New Roman" w:hAnsi="Times New Roman" w:cs="Times New Roman"/>
                <w:b/>
                <w:bCs/>
                <w:szCs w:val="24"/>
              </w:rPr>
              <w:t xml:space="preserve"> 4, 11, 8, 9, 10  </w:t>
            </w:r>
            <w:r>
              <w:rPr>
                <w:rFonts w:ascii="Times New Roman" w:eastAsia="Times New Roman" w:hAnsi="Times New Roman" w:cs="Times New Roman"/>
                <w:szCs w:val="24"/>
              </w:rPr>
              <w:t xml:space="preserve">няма да се компенсират по мярка 12, тъй като в Регламент 1307 за директните плащания, с </w:t>
            </w:r>
            <w:r>
              <w:rPr>
                <w:rFonts w:ascii="Times New Roman" w:eastAsia="Times New Roman" w:hAnsi="Times New Roman" w:cs="Times New Roman"/>
                <w:b/>
                <w:bCs/>
                <w:szCs w:val="24"/>
              </w:rPr>
              <w:t>цел да се избегне двойното финансиране (с I</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стълб)</w:t>
            </w:r>
            <w:r>
              <w:rPr>
                <w:rFonts w:ascii="Times New Roman" w:eastAsia="Times New Roman" w:hAnsi="Times New Roman" w:cs="Times New Roman"/>
                <w:szCs w:val="24"/>
              </w:rPr>
              <w:t xml:space="preserve"> изрично е записано, че се избягва разораването на пасища и постоянно затревени площи в екологично чувствителни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компенсаторното плащане се изчислява чрез алгоритъм, който се базира на определяне на пропуснатите ползи и допълнителните разходи, за земеделските стопани и/или другите разрешени от закона стопанисващи земеделските площи в съответните райони, вследствие на спазване на разписаните забрани и ограничения. Взети са в предвид и спестените разходи и загубите вследствие не-извършването на определени дейности поради разписаните забрани 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Пропуснатите приходи</w:t>
            </w:r>
            <w:r>
              <w:rPr>
                <w:rFonts w:ascii="Times New Roman" w:eastAsia="Times New Roman" w:hAnsi="Times New Roman" w:cs="Times New Roman"/>
                <w:szCs w:val="24"/>
              </w:rPr>
              <w:t xml:space="preserve"> са резултат на: 1) По-ниските добиви на продукция от земеделските култури на хектар поради спазването на забраните и ограниченията (забрана за косене; за премахване на характеристиките на ландшафта; за използването на неселективни средства за борба с вредителите по горите (в селското стопанство); за използването на пестициди и минерални торове в пасищата и ливадите, както и пропуснати приходи от използването на минерални торове и препарати за растителна защита при обработваеми земи и трайни насаждения; 2) Пропуснати приходи от спазване на забраната за промяна на предназначението и/или начина на трайно ползване на ливади, пасища, поляни, мери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Б)</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Допълните разходи</w:t>
            </w:r>
            <w:r>
              <w:rPr>
                <w:rFonts w:ascii="Times New Roman" w:eastAsia="Times New Roman" w:hAnsi="Times New Roman" w:cs="Times New Roman"/>
                <w:szCs w:val="24"/>
              </w:rPr>
              <w:t xml:space="preserve"> се формират като: 1) Увеличен разход на труд, поради завишения брой на операциите, в резултат на намаляване разходите за торене и растителнозащитни препарати и спазване на забраните; 2) По-големи разходи за труд при пасищата са свързани с използване на неселективни средства за борба с вредителите по горите (в селското стопанство); за техническа поддръжка на машините и др. 3) Допълнителни разходи за горива и амортизация вследствие: забраната за косене от периферията към центъра; забраната за премахване на характеристиките на ландшафта (синори, единични и група дървета) при ползването на земеделски земи като такива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В)</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Спестените разходи</w:t>
            </w:r>
            <w:r>
              <w:rPr>
                <w:rFonts w:ascii="Times New Roman" w:eastAsia="Times New Roman" w:hAnsi="Times New Roman" w:cs="Times New Roman"/>
                <w:szCs w:val="24"/>
              </w:rPr>
              <w:t xml:space="preserve"> са в резултат на отпадане разходите за торове и препарати за растителна защита и в резултат на не-предприемане на някои земеделски дейности (прилагане на пестициди, торене с минерални торове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Необходимите икономически данни – добиви, цени на вложени фактори на производството и други, който са използвани при определяне на компенсаторните плащания са от НСИ, публикации  „Агростатистика” към МЗХ, Дирекция „Растениевъдство” на МЗХ, материали от САПИ, данни от СЗСИ за 2011 г, научни изследвания и са обработени от ИАИ, София. Референтния период на направените изчисления обхваща три години от 2011-2013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Размерът на компенсаторното плащане се определя чрез разликата в брутните маржове </w:t>
            </w:r>
            <w:r>
              <w:rPr>
                <w:rFonts w:ascii="Times New Roman" w:eastAsia="Times New Roman" w:hAnsi="Times New Roman" w:cs="Times New Roman"/>
                <w:szCs w:val="24"/>
              </w:rPr>
              <w:t xml:space="preserve">(получените приходи, от които са извадени съответните разходи за производството) </w:t>
            </w:r>
            <w:r>
              <w:rPr>
                <w:rFonts w:ascii="Times New Roman" w:eastAsia="Times New Roman" w:hAnsi="Times New Roman" w:cs="Times New Roman"/>
                <w:i/>
                <w:iCs/>
                <w:szCs w:val="24"/>
              </w:rPr>
              <w:t>на хектар ИЗП при съответните видове дейности (производство) при вариант без забраните и ограниченията и при вариант със забраните и ограниченията.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Компенсаторните плащания за подмярка 12.1 се групират по три вида земеползване: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пасища, ливади и мери (постоянно затревени площи)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обработваеми земи (орни земи)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трайни насаждения (овощни градини)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Разработени нива на компенсаторни плащания по всички забрани диференцирани за 4 вида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планински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други райони, засегнати от значителни природни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други райони, засегнати от специфични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-райони незасегнати от природни и почвени ограничения, считани в методиката, като незасегнати от природни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Приложение №10 е показана цялата методология, а в Приложение №13, 13А и 13Б таблица с компенсаторни плащания по зони и видове ограничения и зоните за местообитанията.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В случай, че други определени защитени природни зони с екологични ограничения са избрани за подпомагане в рамките на тази мярка — спецификация на обектите и принос към прилагането на член 10 на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Посочване на връзката между осъществяването на мярката и рамката за приоритетни действия (член 8, параграф 4 от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приоритетна рамка за действие (НПРД) за Натура 2000  на България , за многогодишния финансов период на ЕС 2014-2020: Финасирането на НПРД от ПРСР 2014-2020 ще става по приоритети: 1,2,3,4, и 5 и съответните подприоритети от НПРД, засягащи прилагането на 34 мерки. Мерките целят не само опазване състоянието на видове и местообитания, но ще имат ефект и върху климатичните изменения, улавянето на въглерода, устойчивия туризъм и заетостта.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Демаркация и допълняемост с други мерки от ПРСР с плащания на единица площ.</w:t>
            </w:r>
          </w:p>
          <w:p>
            <w:pPr>
              <w:numPr>
                <w:ilvl w:val="0"/>
                <w:numId w:val="45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не могат да заявяват парцели по направление „Възстановяване и поддържане на постоянно затревени площи“ от мярка 10 „Агроекология и климат“  в обхвата на защитени зони в Натура 2000, за които са издадени заповеди за обявяването им по реда на ЗБР.</w:t>
            </w:r>
          </w:p>
          <w:p>
            <w:pPr>
              <w:numPr>
                <w:ilvl w:val="0"/>
                <w:numId w:val="45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не могат да заявяват едновременно за подпомагане една и съща площ  по мярка 12 "Плащания по Натура 2000 и плащания по Рамковата директива за водите" и мярка 11 "Биологично земеделие“ постоянно затревени площи от ПРСР 2014 - 2020 г., с изключение на зони в Натура 2000, за които няма забрана за използване на пестициди и минерални торове в пасища и ливади и/или забрана за употреба на минерални торове в ливади, пасища, мери, изоставени орни земи и горски територии, както и на продукти за растителна защита и биоциди в тези територии, освен разрешените за биологично производство и при каламитет, епифитотия, епизоотия или епидемия.</w:t>
            </w:r>
          </w:p>
          <w:p>
            <w:pPr>
              <w:numPr>
                <w:ilvl w:val="0"/>
                <w:numId w:val="45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двете мерки не могат да се заявяват едновременно площи, които подадат в обхвата на защитени зони, за които има влязла в сила забрана използване на продукти за растителна защита в горското и селското и/или забрана за употреба на минерални торове, както и на продукти за растителна защита и биоциди.           </w:t>
            </w:r>
          </w:p>
          <w:p>
            <w:pPr>
              <w:numPr>
                <w:ilvl w:val="0"/>
                <w:numId w:val="45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заявяват площи, попадащи едновременно в обхвата на защитени зони по Директивата за птиците 2009/147/ЕО и Директива 92/43/ЕИО за опазване на природните местообитания и на дивата флора и фауна спазват всички забрани/режими/ограничения в заповедите и плановете за управление на съответните зони, но могат да получат компенсаторно плащане само за забраните и ограниченията за селскостопанска дейност в една зона.</w:t>
            </w:r>
          </w:p>
          <w:p>
            <w:pPr>
              <w:pStyle w:val="BodyText"/>
              <w:jc w:val="both"/>
              <w:rPr>
                <w:b w:val="0"/>
              </w:rPr>
            </w:pPr>
          </w:p>
        </w:tc>
      </w:tr>
    </w:tbl>
    <w:p>
      <w:pPr>
        <w:pStyle w:val="Heading3"/>
        <w:jc w:val="left"/>
        <w:rPr>
          <w:b w:val="0"/>
        </w:rPr>
      </w:pPr>
      <w:r>
        <w:rPr>
          <w:b w:val="0"/>
        </w:rPr>
        <w:br w:type="page"/>
      </w:r>
      <w:bookmarkStart w:id="129" w:name="_Toc256000129"/>
      <w:r>
        <w:rPr>
          <w:b w:val="0"/>
        </w:rPr>
        <w:t>М13 — Плащания за райони, изправени пред природни или други специфични ограничения (член 31)</w:t>
      </w:r>
      <w:bookmarkEnd w:id="129"/>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 „Плащания за райони с природни или други специфични ограничения” се прилага в съответствие с членове 31 и 32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за спазване на кръстосаното съответствие са в съответствие с чл. 93 на Регламент (ЕС) №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необлагодетелстваните райони в България е определен с Наредба за определяне на критериите за необлагодетелстваните райони и териториалния им обхват, приета с ПМС № 30 от 15.02.2008 г., обн. ДВ, бр. 20 от 26.02.2008 г., в сила от 26. 02. 2008 г.</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2008 г. България определя два вида необлагодетелствани райони: планински райони и райони с природни ограничения, различни от планинските, които към момента обхващат общо 26,36% от </w:t>
            </w:r>
            <w:r>
              <w:rPr>
                <w:rFonts w:ascii="Times New Roman" w:eastAsia="Times New Roman" w:hAnsi="Times New Roman" w:cs="Times New Roman"/>
                <w:b/>
                <w:bCs/>
                <w:szCs w:val="24"/>
              </w:rPr>
              <w:t xml:space="preserve">земеделските земи </w:t>
            </w:r>
            <w:r>
              <w:rPr>
                <w:rFonts w:ascii="Times New Roman" w:eastAsia="Times New Roman" w:hAnsi="Times New Roman" w:cs="Times New Roman"/>
                <w:szCs w:val="24"/>
              </w:rPr>
              <w:t>в страната. Подпомагането на земеделските стопани в необлагодетелстваните райони със съществуващия обхват ще допринесе не само за предотвратяване на изоставянето на земеделските земи в тях, но и за опазване на биоразнообразието, тъй като тези райони обхващат повечето от естествените и полуестествените затревени площи – без дунавските и морските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2014-2020 г. България ще осигурява подкрепа за следните необлагодетелствани райони: планински райони, други необлагодетелствани райони със съществени природни ограничения и специфични райони. Мярката се състои от 3 подмерки:</w:t>
            </w:r>
          </w:p>
          <w:p>
            <w:pPr>
              <w:numPr>
                <w:ilvl w:val="0"/>
                <w:numId w:val="45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13.1 Компенсационни плащания в планински райони;</w:t>
            </w:r>
          </w:p>
          <w:p>
            <w:pPr>
              <w:numPr>
                <w:ilvl w:val="0"/>
                <w:numId w:val="45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13.2 Компенсационни плащания за други райони, засегнати от значителни природни ограничения;</w:t>
            </w:r>
          </w:p>
          <w:p>
            <w:pPr>
              <w:numPr>
                <w:ilvl w:val="0"/>
                <w:numId w:val="45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13.3 Компенсационни плащания за други райони, засегнати от специфични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Република България няма да се прилага схемата за плащания по първия стълб за необлагодетелстваните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Плащанията по мярката допринасят за постигане на целите на </w:t>
            </w:r>
            <w:r>
              <w:rPr>
                <w:rFonts w:ascii="Times New Roman" w:eastAsia="Times New Roman" w:hAnsi="Times New Roman" w:cs="Times New Roman"/>
                <w:b/>
                <w:bCs/>
                <w:szCs w:val="24"/>
              </w:rPr>
              <w:t>приоритет 4</w:t>
            </w:r>
            <w:r>
              <w:rPr>
                <w:rFonts w:ascii="Times New Roman" w:eastAsia="Times New Roman" w:hAnsi="Times New Roman" w:cs="Times New Roman"/>
                <w:szCs w:val="24"/>
              </w:rPr>
              <w:t xml:space="preserve"> „Възстановяване, опазване и укрепване на екосистемите, зависещи от селското и горското стопанство”, </w:t>
            </w:r>
            <w:r>
              <w:rPr>
                <w:rFonts w:ascii="Times New Roman" w:eastAsia="Times New Roman" w:hAnsi="Times New Roman" w:cs="Times New Roman"/>
                <w:b/>
                <w:bCs/>
                <w:szCs w:val="24"/>
              </w:rPr>
              <w:t>приоритетна област 4А</w:t>
            </w:r>
            <w:r>
              <w:rPr>
                <w:rFonts w:ascii="Times New Roman" w:eastAsia="Times New Roman" w:hAnsi="Times New Roman" w:cs="Times New Roman"/>
                <w:szCs w:val="24"/>
              </w:rPr>
              <w:t xml:space="preserve"> „Възстановяване и опазване на биологичното разнообразие, включително в области от Натура 2000, земеделие с висока природна стойност, както и опазване състоянието на европейския ландшафт”.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определяне на новите необлагодетелствани райони ще се прилагат подмерки 13.1. и 13.2. с обхват на необлагодетелстваните райони, определен съгласно изискванията на чл. 36 (a) (i) и чл. 36 (а) (ii) на Регламент (ЕО) № 1698/2005.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2017 г., България ще предефинира районите с природни ограничения, различни от планинските, като се основава на осемте биофизични критерии, съгласно Приложение III на Регламент (ЕС) № 1305/2013. До края на същата година ще се дефинират и районите със специфични ограничения, съгласно чл. 32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предефиниране на необлагодетелстваните райони ще се прилагат и трите под-мерки 13.1., 13.2. и 13.3., както и преходната схема за райони природни ограничения различни от планинските, които са отпаднали при предефинирането на новия обхват.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13.1 Компенсационни плащания в планински район.</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455"/>
              </w:numPr>
              <w:rPr>
                <w:b w:val="0"/>
              </w:rPr>
            </w:pPr>
            <w:r>
              <w:rPr>
                <w:b w:val="0"/>
              </w:rPr>
              <w:t>13.1 — компенсационни плащания за земеделски стопани в планински райони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дейности, свързани със земеделското ползване в планинските     необлагодетелствани райони и спазването на условията за поддържане на земята в добро агроекологично състояние в тези райони е необходима за предотвратяването на изоставянето на земеделските земи в тези райони, за повишаване привлекателността на ландшафта и за предотвратяване процеса на обезлюдяване на планинските райони.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земеделски стопани, които извършват земеделска дейност на територията на планински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планинските райони в България 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Брой на землищата и площ на планинските райони: Figure</w:t>
            </w:r>
            <w:r>
              <w:rPr>
                <w:rFonts w:ascii="Times New Roman" w:eastAsia="Times New Roman" w:hAnsi="Times New Roman" w:cs="Times New Roman"/>
                <w:b/>
                <w:bCs/>
                <w:szCs w:val="24"/>
              </w:rPr>
              <w:t xml:space="preserve"> 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p>
            <w:pPr>
              <w:pStyle w:val="BodyText3"/>
              <w:jc w:val="left"/>
              <w:rPr>
                <w:b w:val="0"/>
              </w:rPr>
            </w:pPr>
            <w:r>
              <w:rPr>
                <w:b w:val="0"/>
              </w:rPr>
              <w:drawing>
                <wp:inline>
                  <wp:extent cx="6629400" cy="1092450"/>
                  <wp:docPr id="10001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
                          <pic:cNvPicPr>
                            <a:picLocks noChangeAspect="1"/>
                          </pic:cNvPicPr>
                        </pic:nvPicPr>
                        <pic:blipFill>
                          <a:blip xmlns:r="http://schemas.openxmlformats.org/officeDocument/2006/relationships" r:embed="rId16"/>
                          <a:stretch>
                            <a:fillRect/>
                          </a:stretch>
                        </pic:blipFill>
                        <pic:spPr>
                          <a:xfrm>
                            <a:off x="0" y="0"/>
                            <a:ext cx="6629400" cy="1092450"/>
                          </a:xfrm>
                          <a:prstGeom prst="rect">
                            <a:avLst/>
                          </a:prstGeom>
                        </pic:spPr>
                      </pic:pic>
                    </a:graphicData>
                  </a:graphic>
                </wp:inline>
              </w:drawing>
            </w:r>
          </w:p>
          <w:p>
            <w:pPr>
              <w:pStyle w:val="Footer"/>
              <w:jc w:val="center"/>
              <w:rPr>
                <w:b w:val="0"/>
              </w:rPr>
            </w:pPr>
            <w:r>
              <w:rPr>
                <w:b w:val="0"/>
              </w:rPr>
              <w:t>Figure 3</w:t>
            </w:r>
          </w:p>
          <w:p>
            <w:pPr>
              <w:pStyle w:val="Footer"/>
              <w:jc w:val="center"/>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 физически лица, еднолични търговци и юридически лица трябва да са земеделски стопани по смисъла на Закона за подпомагане на земеделските производители (ЗПЗП).</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Плащането отразява сумата от загубата на приходи и направените допълнителни разходи заради природните ограничения в планинските райони.</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обработват минимум 0,5 ха в планинските райони и да спазват условията за кръстосано съответствие, съгласно чл. 93 и Приложение II на Регламент (ЕС) № 1306/2013.  </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 за необлагодетелстваните райони. </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Диференцираните нива на плащания в планинските райони са в зависимост от размера на стопанството са следните.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Евро / хектар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 50,0 ха - 130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50,0 ха – 100,0 ха - 70евро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100,0 ха - 30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Подмярката е контролируема и проверима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на подпомагане и размерът им са подробно описани в Приложение 9 към Мярка 13. Изчислените плащания са направени от Института по Аграрна икономика към ССА. Източниците на изходната информация за изчисляване на подпомагането са Националният статистически институт, Система за агропазарна информация, Дирекция „Растениевъдство” към МЗХГ и Дирекция „Агростатистика” към МЗХГ.</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 база получените резултати от Преброяването на земеделските стопанства в България през 2010 г. около 84% от използваната земеделска земя (ИЗП) в страната се стопанисва от стопанства в размер над 50 ха. Но общият брой на стопанствата с размер над 50 ха е около 2% от общия брой на всички стопанства в страната. Отчитайки тези факти, е преценено, че намалението на плащанията по под-мярката следва да се прилага за стопанства над 50 ха с цел осигуряване на по-справедлив подход за компенсиране на направените разходи и пропуснатите ползи при извършването на земеделска дейност в необлагодетелствани райони и избягване получаването на непропорционално високи суми от малък на брой големи бенефициенти. При прилагането на намалението на три степени се отчита най-добре нивото на икономиите от мащаба, които извличат по-големите стопанства и по-високата необходимост от компенсиране на направените разходи на по-малките земеделски стопанства. Този вариант на намаление на плащанията осигурява справедливо насочване на средствата между отделните групи бенефициенти. Също така, данните на ДФЗ за прилагане на мярката за планинските райони показват, че за 2013 г. и 2014 г., стопанствата до 50 ха получили подпомагане са 95% от всички стопанства, подпомогнати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Намаляващите плащания и техният размер за всички НОР ще бъдат обект на допълнителен анализ и при необходимост - на корекция, при извършването на предефиниране на другите НОР след 2017 г., за което ще бъде представена допълнителна обосновка.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на планинските необлагодетелствани райони е  землище (LAU 2)</w:t>
            </w:r>
          </w:p>
          <w:p>
            <w:pPr>
              <w:pStyle w:val="BodyText"/>
              <w:jc w:val="both"/>
              <w:rPr>
                <w:b w:val="0"/>
              </w:rPr>
            </w:pPr>
          </w:p>
        </w:tc>
      </w:tr>
    </w:tbl>
    <w:p>
      <w:pPr>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точка 8.2.12.7.</w:t>
            </w:r>
          </w:p>
          <w:p>
            <w:pPr>
              <w:pStyle w:val="BodyText"/>
              <w:jc w:val="both"/>
              <w:rPr>
                <w:b w:val="0"/>
              </w:rPr>
            </w:pPr>
          </w:p>
        </w:tc>
      </w:tr>
    </w:tbl>
    <w:p>
      <w:pPr>
        <w:pStyle w:val="Heading5"/>
        <w:jc w:val="left"/>
        <w:rPr>
          <w:b w:val="0"/>
        </w:rPr>
      </w:pPr>
      <w:r>
        <w:rPr>
          <w:b w:val="0"/>
        </w:rPr>
        <w:br w:type="page"/>
      </w:r>
      <w:r>
        <w:rPr>
          <w:b w:val="0"/>
        </w:rPr>
        <w:t>13.2 Компенсационни плащания за други райони, засегнати от значителни  природни ограничения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456"/>
              </w:numPr>
              <w:rPr>
                <w:b w:val="0"/>
              </w:rPr>
            </w:pPr>
            <w:r>
              <w:rPr>
                <w:b w:val="0"/>
              </w:rPr>
              <w:t>13.2 — компенсационни плащания за други райони, засегнати от значителни природни ограничения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Един от факторите, които оказват пряко влияние на земеделската дейност в България е почвеното плодородие. Продуктивността на земята се измерва в категории от 1 до 10, като 1-ва е с най-висока продуктивност. Районите с ниска продуктивност имат ограничен потенциал за отглеждане на различни култури, в тях се налагат допълнителни производствени разходи и като цяло имат по-ниски икономически показатели в земеделието. С оглед предотвратяване на изоставянето на този тип земи, плащанията целят да компенсират земеделските стопани за природните ограничения в сравнение със земеделските стопани в благоприятните за земеделие райони.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земеделски стопани, които извършват земеделска дейност на територията на райони с природни ограничения, различни от планинските.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районите с природни ограничения, различни от планинските (други НОР) в България е представен в таблицата.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Брой на землищата и площ на другите необлагодетелствани райони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със съществени природни ограничения (ТАБЛИЦА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p>
            <w:pPr>
              <w:pStyle w:val="BodyText3"/>
              <w:jc w:val="left"/>
              <w:rPr>
                <w:b w:val="0"/>
              </w:rPr>
            </w:pPr>
            <w:r>
              <w:rPr>
                <w:b w:val="0"/>
              </w:rPr>
              <w:drawing>
                <wp:inline>
                  <wp:extent cx="6629400" cy="1232508"/>
                  <wp:docPr id="10001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
                          <pic:cNvPicPr>
                            <a:picLocks noChangeAspect="1"/>
                          </pic:cNvPicPr>
                        </pic:nvPicPr>
                        <pic:blipFill>
                          <a:blip xmlns:r="http://schemas.openxmlformats.org/officeDocument/2006/relationships" r:embed="rId17"/>
                          <a:stretch>
                            <a:fillRect/>
                          </a:stretch>
                        </pic:blipFill>
                        <pic:spPr>
                          <a:xfrm>
                            <a:off x="0" y="0"/>
                            <a:ext cx="6629400" cy="1232508"/>
                          </a:xfrm>
                          <a:prstGeom prst="rect">
                            <a:avLst/>
                          </a:prstGeom>
                        </pic:spPr>
                      </pic:pic>
                    </a:graphicData>
                  </a:graphic>
                </wp:inline>
              </w:drawing>
            </w:r>
          </w:p>
          <w:p>
            <w:pPr>
              <w:pStyle w:val="Footer"/>
              <w:jc w:val="center"/>
              <w:rPr>
                <w:b w:val="0"/>
              </w:rPr>
            </w:pPr>
            <w:r>
              <w:rPr>
                <w:b w:val="0"/>
              </w:rPr>
              <w:t>Figure 1 Measure 13,2</w:t>
            </w:r>
          </w:p>
          <w:p>
            <w:pPr>
              <w:pStyle w:val="Footer"/>
              <w:jc w:val="center"/>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 физически лица, еднолични търговци и юридически лица трябва да са земеделски стопани по смисъла на Закона за подпомагане на земеделските производители (ЗПЗП).</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Плащането отразява сумата от загубата на приходи и направените допълнителни разходи заради природните ограничения в райони различни от планинските.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обработват минимум 0,5 ха в район със съществени природни ограничения, различни от планинските и да спазват условията за кръстосано съответствие, съгласно чл. 93 и Приложение II на Регламент (ЕС) № 1306/2013.</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 за необлагодетелстваните райони</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Диференцираните нива на плащания на земеделски стопани в райони с природни ограничения, различни от планинските райони, в зависимост от размера на стопанството са следните: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Евро / хектар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 50,0 ха - </w:t>
            </w:r>
            <w:r>
              <w:rPr>
                <w:rFonts w:ascii="Times New Roman" w:eastAsia="Times New Roman" w:hAnsi="Times New Roman" w:cs="Times New Roman"/>
                <w:szCs w:val="24"/>
              </w:rPr>
              <w:t>70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50,0 ха – 100,0 ха - 30евро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100,0 ха - 15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Подмярката е контролируема и проверима .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на подпомагане и размерът им са подробно описани в Приложение 9 към Мярка 13. Изчислените плащания са направени от Института по Аграрна икономика към ССА. Източниците на изходната информация за изчисляване на подпомагането са Националният статистически институт, Система за агропазарна информация, Дирекция „Растениевъдство” към МЗХГ и Дирекция „Агростатистика” към МЗХГ.</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 база получените резултати от Преброяването на земеделските стопанства в България през 2010 г. около 84% от използваната земеделска земя (ИЗП) в страната се стопанисва от стопанства в размер над 50 ха. Но общият брой на стопанствата с размер над 50 ха е около 2% от общия брой на всички стопанства в страната. Отчитайки тези факти, е преценено, че намалението на плащанията по под-мярката следва да се прилага за стопанства над 50 ха с цел осигуряване на по-справедлив подход за компенсиране на направените разходи и пропуснатите ползи при извършването на земеделска дейност в необлагодетелствани райони и избягване получаването на непропорционално високи суми от малък на брой големи бенефициенти. При прилагането на намалението на три степени се отчита най-добре нивото на икономиите от мащаба, които извличат по-големите стопанства и по-високата необходимост от компенсиране на направените разходи на по-малките земеделски стопанства. Този вариант на намаление на плащанията осигурява справедливо насочване на средствата между отделните групи бенефициенти. Също така, данните на ДФЗ за прилагане на мярката за райони, различни от планинските показват, че за 2013 г. и 2014 г., стопанствата до 50 ха получили подпомагане са 92% от всички стопанства, подпомогнати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Намаляващите плащания и техният размер за всички НОР ще бъдат обект на допълнителен анализ и при необходимост - на корекция, при извършването на предефиниране на другите НОР след 2017 г., за което ще бъде представена допълнителна обосновка.</w:t>
            </w:r>
          </w:p>
          <w:p>
            <w:pPr>
              <w:pStyle w:val="BodyText"/>
              <w:jc w:val="both"/>
              <w:rPr>
                <w:b w:val="0"/>
              </w:rPr>
            </w:pPr>
          </w:p>
        </w:tc>
      </w:tr>
    </w:tbl>
    <w:p>
      <w:pPr>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в районите с природни ограничения, различни от планинските необлагодетелствани райони е  землище (LAU 2).</w:t>
            </w:r>
          </w:p>
          <w:p>
            <w:pPr>
              <w:pStyle w:val="BodyText"/>
              <w:jc w:val="both"/>
              <w:rPr>
                <w:b w:val="0"/>
              </w:rPr>
            </w:pPr>
          </w:p>
        </w:tc>
      </w:tr>
    </w:tbl>
    <w:p>
      <w:pPr>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точка 8.2.12.7.</w:t>
            </w:r>
          </w:p>
          <w:p>
            <w:pPr>
              <w:pStyle w:val="BodyText"/>
              <w:jc w:val="both"/>
              <w:rPr>
                <w:b w:val="0"/>
              </w:rPr>
            </w:pPr>
          </w:p>
        </w:tc>
      </w:tr>
    </w:tbl>
    <w:p>
      <w:pPr>
        <w:pStyle w:val="Heading5"/>
        <w:jc w:val="left"/>
        <w:rPr>
          <w:b w:val="0"/>
        </w:rPr>
      </w:pPr>
      <w:r>
        <w:rPr>
          <w:b w:val="0"/>
        </w:rPr>
        <w:br w:type="page"/>
      </w:r>
      <w:r>
        <w:rPr>
          <w:b w:val="0"/>
        </w:rPr>
        <w:t>13.3. Компенсационни плащания за други райони, засегнати от специфични ограничения</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Районите със специфични ограничения обхващат земеделски площи, в рамките на които естествените условия за производство са сходни и общата площ на които не надвишава 10 % от територията на съответната държава членка.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другите райони със специфични ограничения е възприет подход съгласно чл. 32, параграф 4 на Регламент 1305/2013,при който най-малко 60 % от земеделската площ отговаря на поне два от критериите, посочени в приложение III, всеки в рамките на не повече от 20 % от определената прагова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другите райони със специфични ограничения, държавите членки предприемат процедурата на прецизираневъз основа на обективни критерии с цел изключване на райони, в които са отчетени съществени природни ограничения,но те са преодолени чрез инвестиции, чрез стопанска дейност, или чрез доказателства за нормална производителност на земята, или в които производствените методи или селскостопанските системи са компенсирали загубата на доходи или добавените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целта на прецизирането е използван критерия нормална производителност на земята,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резултат, землища, в които категорията на земята е ≥ 6, са отчетени като такива, в които ограниченията не са преодолени.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земеделски стопани, които извършват земеделска дейност на територията на други райони със специфични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другите райони със специфични ограничения в България е представен в таблицата.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Брой на землищата и площ на други</w:t>
            </w:r>
            <w:r>
              <w:rPr>
                <w:rFonts w:ascii="Times New Roman" w:eastAsia="Times New Roman" w:hAnsi="Times New Roman" w:cs="Times New Roman"/>
                <w:b/>
                <w:bCs/>
                <w:szCs w:val="24"/>
              </w:rPr>
              <w:t>те</w:t>
            </w:r>
            <w:r>
              <w:rPr>
                <w:rFonts w:ascii="Times New Roman" w:eastAsia="Times New Roman" w:hAnsi="Times New Roman" w:cs="Times New Roman"/>
                <w:b/>
                <w:bCs/>
                <w:szCs w:val="24"/>
              </w:rPr>
              <w:t xml:space="preserve"> райони</w:t>
            </w:r>
            <w:r>
              <w:rPr>
                <w:rFonts w:ascii="Times New Roman" w:eastAsia="Times New Roman" w:hAnsi="Times New Roman" w:cs="Times New Roman"/>
                <w:b/>
                <w:bCs/>
                <w:szCs w:val="24"/>
              </w:rPr>
              <w:t xml:space="preserve"> със </w:t>
            </w:r>
            <w:r>
              <w:rPr>
                <w:rFonts w:ascii="Times New Roman" w:eastAsia="Times New Roman" w:hAnsi="Times New Roman" w:cs="Times New Roman"/>
                <w:b/>
                <w:bCs/>
                <w:szCs w:val="24"/>
              </w:rPr>
              <w:t>специфични ограничения (ТАБЛИЦА 1)</w:t>
            </w:r>
          </w:p>
          <w:p>
            <w:pPr>
              <w:pStyle w:val="BodyText"/>
              <w:jc w:val="both"/>
              <w:rPr>
                <w:b w:val="0"/>
              </w:rPr>
            </w:pPr>
          </w:p>
          <w:p>
            <w:pPr>
              <w:pStyle w:val="BodyText3"/>
              <w:jc w:val="left"/>
              <w:rPr>
                <w:b w:val="0"/>
              </w:rPr>
            </w:pPr>
            <w:r>
              <w:rPr>
                <w:b w:val="0"/>
              </w:rPr>
              <w:drawing>
                <wp:inline>
                  <wp:extent cx="6629400" cy="1466850"/>
                  <wp:docPr id="10001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
                          <pic:cNvPicPr>
                            <a:picLocks noChangeAspect="1"/>
                          </pic:cNvPicPr>
                        </pic:nvPicPr>
                        <pic:blipFill>
                          <a:blip xmlns:r="http://schemas.openxmlformats.org/officeDocument/2006/relationships" r:embed="rId18"/>
                          <a:stretch>
                            <a:fillRect/>
                          </a:stretch>
                        </pic:blipFill>
                        <pic:spPr>
                          <a:xfrm>
                            <a:off x="0" y="0"/>
                            <a:ext cx="6629400" cy="1466850"/>
                          </a:xfrm>
                          <a:prstGeom prst="rect">
                            <a:avLst/>
                          </a:prstGeom>
                        </pic:spPr>
                      </pic:pic>
                    </a:graphicData>
                  </a:graphic>
                </wp:inline>
              </w:drawing>
            </w:r>
          </w:p>
          <w:p>
            <w:pPr>
              <w:pStyle w:val="Footer"/>
              <w:jc w:val="center"/>
              <w:rPr>
                <w:b w:val="0"/>
              </w:rPr>
            </w:pPr>
            <w:r>
              <w:rPr>
                <w:b w:val="0"/>
              </w:rPr>
              <w:t>Таблица1</w:t>
            </w:r>
          </w:p>
          <w:p>
            <w:pPr>
              <w:pStyle w:val="Footer"/>
              <w:jc w:val="center"/>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 физически лица, еднолични търговци и юридически лица трябва да са земеделски стопани по смисъла на Закона за подпомагане на земеделските производители (ЗПЗП).</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Плащането отразява сумата от загубата на приходи и направените допълнителни разходи заради ограничения в райони със специфични ограничения.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обработват минимум 0,5 ха в други райони със специфични ограничения и да спазват условията за кръстосано съответствие, съгласно чл. 93 и Приложение II на Регламент (ЕС) № 1306/2013.</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 за необлагодетелстваните райони</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Диференцираните нива на плащания на земеделски стопани в райони със специфични ограничения, в зависимост от размера на стопанството са следните: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Евро /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 50,0 ха – 59,15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50,0 ха – 100,0 ха –27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100,0 ха - 13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Подмярката е контролируема и проверима.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на подпомагане и размерът им са подробно описани в Приложение 9 към Мярка 13. Изчислените плащания са направени от доц. д-р Божидар Иванов, Институт по аграрна икономика. Източниците на изходната информация за изчисляване на подпомагането са предоставени данни от Дирекция „Развитие на селските райони” към МЗХГсъс съдействието на дирекция „Идентификация на земеделски парцели“ към МЗХГ.</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 база получените резултати от Преброяването на земеделските стопанства в България през 2010 г. около 84% от използваната земеделска земя (ИЗП) в страната се стопанисва от стопанства в размер над 50 ха. Но общият брой на стопанствата с размер над 50 ха е около 2% от общия брой на всички стопанства в страната. Отчитайки тези факти, е преценено, че намалението на плащанията по под-мярката следва да се прилага за стопанства над 50 ха с цел осигуряване на по-справедлив подход за компенсиране на направените разходи и пропуснатите ползи при извършването на земеделска дейност в необлагодетелствани райони и избягване получаването на непропорционално високи суми от малък на брой големи бенефициенти. При прилагането на намалението на три степени се отчита най-добре нивото на икономиите от мащаба, които извличат по-големите стопанства и по-високата необходимост от компенсиране на направените разходи на по-малките земеделски стопанства. Този вариант на намаление на плащанията осигурява справедливо насочване на средствата между отделните групи бенефициенти. Също така, данните на ДФЗ за прилагане на мярката за райони, различни от планинските показват, че за 2013 г. и 2014 г., стопанствата до 50 ха получили подпомагане са 92% от всички стопанства, подпомогнати по мярката.</w:t>
            </w:r>
          </w:p>
          <w:p>
            <w:pPr>
              <w:pStyle w:val="BodyText"/>
              <w:jc w:val="both"/>
              <w:rPr>
                <w:b w:val="0"/>
              </w:rPr>
            </w:pPr>
          </w:p>
        </w:tc>
      </w:tr>
    </w:tbl>
    <w:p>
      <w:pPr>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в други райони със специфични ограничения, е землище (LAU 2).</w:t>
            </w:r>
          </w:p>
          <w:p>
            <w:pPr>
              <w:pStyle w:val="BodyText"/>
              <w:jc w:val="both"/>
              <w:rPr>
                <w:b w:val="0"/>
              </w:rPr>
            </w:pPr>
          </w:p>
        </w:tc>
      </w:tr>
    </w:tbl>
    <w:p>
      <w:pPr>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чл. 32, параграф 4 България е възприела подход за определяне надруги райони със специфични ограниченияна база изискванията най-малко 60 % от земеделската площ да отговаря на поне два от критериите, посочени в приложение III, всеки в рамките на не повече от 20 % от определената прагова стойност. Извършено е и допълнително прецизиране, с цел изключване на райони, в които са отчетени съществени природни ограничения, но те са преодолени чрез инвестиции, чрез стопанска дейност, или чрез доказателства за нормална производителност на земята, или чрез производствени методи или селскостопански системи.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други райони със специфични ограничения е извършено от научни организации в България, които притежават необходимите компетенции, като по отношение на климатичните ограничения, за които в България е приложим критерия „сухота“, анализът и резултатите са предоставени от Националния институт по метеорология и хидрология (НИМХ). Данни за районите с почвени ограничения са анализирани и предоставени от ИПАЗР „Никола Пушкаров". След извършения анализ са предложени следните под-групи почвени ограничения, които са използвани при определяне обхвата на районите в почвени ограничения:</w:t>
            </w:r>
          </w:p>
          <w:p>
            <w:pPr>
              <w:numPr>
                <w:ilvl w:val="0"/>
                <w:numId w:val="45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Неблагоприятна текстура и каменливост на почвите</w:t>
            </w:r>
          </w:p>
          <w:p>
            <w:pPr>
              <w:numPr>
                <w:ilvl w:val="0"/>
                <w:numId w:val="45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Повърхностна дълбочина на вкореняване</w:t>
            </w:r>
          </w:p>
          <w:p>
            <w:pPr>
              <w:numPr>
                <w:ilvl w:val="0"/>
                <w:numId w:val="45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Незадоволителни химични свойства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ограниченията на база наклон на склона е използван цифров височинен модел на релефа на МЗХГ на база самолетно заснемане в периода 2012-2015 с големина на участъка 8 м.</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други райони със специфични ограничения в европейското законодателство е определен праг ограниченията да обхващат повече от 60 % от земеделската земя на ниво местна административна единица-землище.При определянетона други райони със специфични ограничения, съгласно изискванията на регламента, са изследвани всички райони, които не сапланински райони или  райони, различни от планинските райони, със съществени природни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използваните стойности до 20% от посочените прагове в приложение III на регламента, са ползвани предложените стойности в насоките от Съвместния изследователски център към Европейската комисия (JRC) (Доклад EUR 26940 BG).</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Вторият етап от дефинирането на другите райони със специфични ограничения, включва допълнително прецизиране на определените на първия етап райони. Предвид наличните данни в страната на ниво землище, отчитайки изискването използваният подход да отчита информация на максимално ниско ниво (в случая землище), е приложен критерия „нормална производителност на земята“. Анализът и резултатите от него са извършени и представени от ИПАЗР „Никола Пушкаров".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Производителността на земите в България се определя чрез тяхната бонитетна оценка. Оценката на производителността на земите се прилага в кадастъра на земеделските земи като мярка за естественото плодородие на всеки кадастрален парцел, която подлежи на своевременен преглед при промени в ползването. Тя се използва за планиране на дейностите за по-добро териториално и селскостопанско управление, рационален избор на култури по райони, инвестиции в насаждения от трайни насаждения, оценка на потенциалния добив от културите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оценка на производителността на земята е разработена в Института по почвознание и е актуализирана с приемане на препоръчаните от Организацията по прехрана и земеделие (FAO) принципи за оценка на земята.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Средно-претеглената категория на земеделските земи от различните райони, възлиза на 8.259за земите в планинските райони и 4.411 за районите, различни от планинските.Средно-претеглената категория на земеделските земи за цялата територия на страната е 4.952.  Тази стойност съответства на бонитетен бал 60.5, 80 % от стойността на който е 48.4. Този бонитетен бал съответства на 6-та категория на земите. Според таблицата за съответствие на категориите на земите по националната класификация и FAO, земите с бонитетен бал от 40 до 50 (земи 6-та категория по националната класификация) спадат към земите със значителни ограничения (клас S3 по класификацията на ФАО).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Тези резултати дават основание да бъде приета стойност на средно-претеглената категория на земеделските земи в дадено землище ≥ 6 за праг на критерия за допълнително уточняване на база „нормална производителност на земята”.  В резултат, землища, в които категорията на земята е ≥ 6, са отчетени като такива, в които ограниченията не са преодолени.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заключение, подходът за допълнителното прецизиране на другите райони със специфични ограничения, обхваща землища, в които категорията на земята е ≥ 6.</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Подмярката е контролируема и проверима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МЕТОДОЛОГИЯ ЗА ОПРЕДЕЛЯНЕ НА КОМПЕНСАТОРНИ ПЛАЩАНИЯ ЗА планински РАЙОНИ и други необлагодетелствани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компенсаторните плащания за земеделски стопани, осъществяващи дейност в планински и други необлагодетелствани райони (лошопочвени) се основава на определяне на пропуснати доходи или осъществявани допълнително разходи в сравнение с районите, които нямат такива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е разработена от:</w:t>
            </w:r>
          </w:p>
          <w:p>
            <w:pPr>
              <w:numPr>
                <w:ilvl w:val="0"/>
                <w:numId w:val="45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Проф. д-р Тотка Митова – Институтът по почвознание, агротехнологии и защита на растенията „Никола Пушкаров”</w:t>
            </w:r>
          </w:p>
          <w:p>
            <w:pPr>
              <w:numPr>
                <w:ilvl w:val="0"/>
                <w:numId w:val="45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Доц. д-р Божидар Иванов – Институт по аграрна икономика </w:t>
            </w:r>
          </w:p>
          <w:p>
            <w:pPr>
              <w:numPr>
                <w:ilvl w:val="0"/>
                <w:numId w:val="45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Ас. Емилия Соколова – Институт по аграрна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използвана в предишния програмен период (2007 – 2013) е послужила като основа, на която са доразвити определени елементи в частта на разходите за производство. Направена е актуализация на структурата на производство, цени на продукцията, приходи и производствени разходи с осреднен референтен период 2011-2013 година. Методологията за определяне на компенсаторните плащания за земеделски стопани, осъществяващи дейност в райони с природни и други ограничения се основава на определяне на пропуснати доходи и осъществени допълнителни разходи в сравнение с районите, които нямат такива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добивите от различните райони са взети под внимание 18-те групи и подгрупи почви в обособените агро-екологични райони в България (АЕР). Въз основа на оценката на почвите (почвения бал) и корекционни коефициенти за климат, ерозия, засоленост, заблатеност, каменистост и напояване (ако има такова) се получава крайната оценка на екологичните условия, измерени в относителни величини от 1 до 100. На тази база са определени 10 категории земеделски земи. Информация за различията в почвените характеристики в различните райони е на ниво землища. Данни за тях са получени от Институт по Почвознание, Агротехнологии и Защита на Растенията „Никола Пушкаров“ – София.  Добивите от основни земеделски култури са изчислени въз основа на бонитетната оценка на земеделската земя и данни за средните добиви на избраните култури за периода 2011-2013.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Необходимите икономически данни, използвани в изчислението на компенсаторните плащания са от Националния статистически институт, официални документи и публикации на отдел „Агростатистика” към МЗХГ, Дирекция „Растениевъдство” на МЗХГ, материали от Системата за агропазарна информация, научни изследвания и са обработени от Институт по аграрна икономика, София.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Алгоритъмът за определяне на компенсаторните плащания включва определяне на добивите на 1-ца площ от определените основни култури, отглеждани в планинските и другите необлагодетелствани райони. Тяхната стойност се изчислява с помощта на бонитетния бал за всяка култура в съответния район, както и в незасегнатите от ограничения райони. Добивите, умножени по среднопретеглена цена за периода 2011-2013, дават възможност да се изчисли брутната продукция на всяка култура на ха. Общата стойността на брутната продукция на 1-ца площ се изчислява с помощта на  теглови коефициенти, съобразно структурата на разглежданите култури в рамките на разглежданите три райони - планински и други необлагодетелствани райони, и райони незасегнати от природни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Брутната продукция по култури минус общите разходи за отглеждането на тези култури дават брутния маржин (или нетния доход от дейността). Разликата между брутния маржин на незасегнатите райони и планинските, и съответно на незасегнатите и другите необлагодетелствани райони, ни дават размера на пропуснатия доход, който служи и като база за определяне на компенсаторното плащане в съответния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оглед равномерното разпределение на подпомагането при определянето на конкретните стойности на компенсаторните плащания и в двата необлагодетелствани района се предлага диференцирано плащане с дегресивна ставка: за размера до 50 ха, от 50 до 100 ха и за площи над 100 ха. Сред причините за прилагането на този подход е желанието за поощряване на по-малките стопанства, които са производствени единици от жизнено значение за запазването, както на производствената, така и на природната среда в необлагодетелстваните райони. По-големите стопанства от своя страна имат по-голяма възможност да се възползват от икономии от мащаба и по-ниски производствени разходи на ха в сравнение със средните, което е определящо при предлагането на по-ниската ставка.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базата на алгоритъма за изчисление на компенсаторните плащания в необлагодетелстваните райони е предложено компенсаторните плащания за планинските райони да са максимум  130 евро/ха, като степента на компенсация е 98,8 %, а компенсаторните плащания за останалите необлагодетелстваните райони да са максимум 70 евро/ха, със степен на компенсация 91,2 %.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изчисляването на компенсаторното плащане по определените необлагодетелствани райони, отговарящи на условието за 60% от земеделската площ да отговаря на поне два от критериите, всеки в рамките на не повече от 20% от определената прагова стойност на критериите, се използват различията по критериите в областта на почвите и на размера на земеделската земя, идентифициранакато засегната по дефинираните критерии и прагови ограничения. В зависимост от това, до колко и в каква степен определените землища за необлагодетелствани райони (НР3) се различават от включените по биофизични показатели землища в необлагодетелстваните райони (НР2), за които има изчислено и прилагано компенсаторно плащане, в същата пропорция и в съответната посока е изчислена и компенсаторната ставка за НР3. За да се установят различията в областта на критериите за състоянието на почвите се използват бонитетните оценки по землища по НР2 и НР3, което е използвано за разкриване остротата и интензитета на влияние на почвените условия и неблагоприятни ограничения върху продуктивността на земеделските земи. Наред с това, размерът и мащабът на идентифицираните земи, за които са открити равнища, попадащи под определените критични прагове по критериите за дефиниране на необлагодетелстваните райони, са отчетени в методиката за изчисление, за да се направи териториално претегляне. По този начин бонитетните оценки и размерът и делът на земеделските земи, идентифицирани с биофизични ограничения, са използвани като променливи за изчисляване на компенсаторното плащане в НР3, използвайки различията по тези променливи към обхванатите землища в НР2.</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Прагът на намаляване на размера на плащането на планинските райони е 50ха и е тясно свързан с характеристиките на земеделието в тези райони. В България делът на стопанствата до 5 ха представлява 91.4% от целия брой стопанства, но те обработват 5.2% от използваната земеделска площ. В такива стопанства се произвеждат основно продукти, в които е вложен повече труд – месо, мляко и зеленчуци. Съгласно изготвен доклад „Анализ на силните и слабите страни, възможностите и заплахите пред малките земеделски стопанства във връзка с предоставяните от НССЗ комплекти съветнически услуги по мярка 143 „Предоставяне на съвети и консултиране в земеделието в България и Румъния” по ПРСР за периода 2007-2013г. и бъдещата дейност на НССЗ по ПРСР 2014-2020г.“[1] малките по размер стопанства продължават да доминират в планинските и другите необлагодетелствани  райони, както и в райони с интензивно зеленчукопроизводство, овощарство и тютюнопроизводство.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Данните на ДФЗ за прилагане на мярката за планинските райони показват, че за 2013г. и 2014г., стопанствата до 50 ха получили подпомагане са 95% от всички стопанства, подпомогнати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Докладът е изготвен по поръчка на НССЗ от научен колектив с представители  от Института по аграрна икономика-гр. София и Аграрния университет-гр. Пловдив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Прагът на намаляване на размера на плащането на необлагодетелстваните райони с природни ограничения, различни от планинските е 50ха и е тясно свързан с характеристиките на земеделието в тези райони. В България делът на стопанствата до 5 ха представлява 91.4% от целия брой стопанства, но те обработват 5.2% от използваната земеделска площ. В такива стопанства се произвеждат основно продукти, в които е вложен повече труд – месо, мляко и зеленчуци. Съгласно изготвен доклад „Анализ на силните и слабите страни, възможностите и заплахите пред малките земеделски стопанства във връзка с предоставяните от НССЗ комплекти съветнически услуги по мярка 143 „Предоставяне на съвети и консултиране в земеделието в България и Румъния” по ПРСР за периода 2007-2013г. и бъдещата дейност на НССЗ по ПРСР 2014-2020г.“[1] малките по размер стопанства продължават да доминират в необлагодетелстваните райони с природни ограничения, различни от планинските, както и в райони с интензивно зеленчукопроизводство, овощарство и тютюнопроизводство.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Данните на ДФЗ за прилагане на мярката за необлагодетелстваните райони с природни ограничения, различни от планинските показват, че за 2013г. и 2014г., стопанствата до 50 ха получили подпомагане са 92% от всички стопанства, подпомогнати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Докладът е изготвен по поръчка на НССЗ от научен колектив с представители  от Института по аграрна икономика-гр. София и Аграрния университет-гр. Пловдив</w:t>
            </w:r>
          </w:p>
          <w:p>
            <w:pPr>
              <w:pStyle w:val="BodyText"/>
              <w:jc w:val="both"/>
              <w:rPr>
                <w:b w:val="0"/>
              </w:rPr>
            </w:pPr>
          </w:p>
        </w:tc>
      </w:tr>
    </w:tbl>
    <w:p>
      <w:pPr>
        <w:spacing w:after="100"/>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на планинските необлагодетелствани райони е  землище (LAU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в районите с природни ограничения, различни от планинските необлагодетелствани райони е  землище (LAU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в други райони, засегнати от специфични ограничения е  землище (LAU 2).</w:t>
            </w:r>
          </w:p>
          <w:p>
            <w:pPr>
              <w:pStyle w:val="BodyText"/>
              <w:spacing w:after="100"/>
              <w:jc w:val="both"/>
              <w:rPr>
                <w:b w:val="0"/>
              </w:rPr>
            </w:pPr>
          </w:p>
        </w:tc>
      </w:tr>
    </w:tbl>
    <w:p>
      <w:pPr>
        <w:spacing w:after="100"/>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точка 8.2.12.7.</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Критерии за определяне и географски обхват на планинските необлагодетелствани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планинските райони в България са на ниво LAU 2, като е използвана територията на землище, а не на населено място, защото не всички населени места имат земеделска земя. Критериите за избираемост се основават на ниво LAU 2 за цялото землище, като са взети предвид осреднените за землището стойности на различните определящи критерии. Средните височина и наклон на землището са определени като средно претеглени величини.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Планинските райони са землища които са: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със средна надморска височина минимум 700 м;</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със среден наклон на терена минимум 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със средна надморска височина между минимум 500 м в комбинация със среден наклон на терена минимум 15%;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хомогенизират се землища и група землища, съседни на планинските, на които минимум 90% от землищната граница граничи с планински землища. Групата от землища, които се хомогенизират са с обща площ по-малка от средната площ на землище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със землищата, попадащи в обхвата на планинските и другите необлагодетелствани райони със съществени природни ограничения райони, е представен в Приложение 11 към Мярка 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Критерии за определяне и географски обхват на другите необлагодетелствани райони с природни ограничения, различни от планинските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районите с природни ограничения, различни от планинските, в България е направено на ниво LAU 2, като е използвана територията на землище, а не на населено място, защото не всички населени места имат земеделска земя. Тези райони са определени въз основа на ниската продуктивност на земеделската земя. Продуктивността на земята се измерва в категории, обусловени от бонитетна оценка. В бонитетната оценка са взети предвид природните условия, които ограничават почвеното плодородие. Природните условия определят вегетационния период на даден район. Бонитетната оценка на земята е сравнителна оценка, основана на характеристиката  на земята, която указва дали земята е подходяща за отглеждането на дадена култура или група култури, като се използва дадено ниво на земеделски техники и като се прави оценка на актуалното и потенциалното плодородие, изразено в сравнителни стойности – бонитетни оценки от 0 до 100. Бонитетните числа са групирани в 10 категории на земеделската земя, като първа е най-висока, а десета е най-ниска.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Всяко землище (LAU 2) е оценено спрямо среднопретеглената категория на земята му от 1 (висока) до 10 (ниска). Като „други” необлагодетелствани райони се определят землища със среднопретеглена категория на земеделската земя от 6-та до 10-та категория.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със землищата, попадащи в обхвата на планинските и другите необлагодетелствани райони със съществени природни ограничения райони, е представен в Приложение 11 към Мярка 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Критерии за определяне и географски обхват на други райони със специфични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другите райони със специфични ограничения е извършено на база изискванията най-малко 60 % от земеделската площ да отговаря на поне два от критериите, посочени в приложение III от Регламент 1305/2013, всеки в рамките на не повече от 20 % от определената прагова стойност и допълнително прецизиране, с цел изключване на райони, в които са отчетени специфични ограничения, но те са преодолени чрез инвестиции, чрез стопанска дейност, или чрез доказателства за нормална производителност на земята, или чрез производствени методи или селскостопански системи. Стойността на средно-претеглената категория на земеделските земи в дадено землище ≥ 6 е приета за праг на критерия за допълнително уточняване на база „нормална производителност на земята”.  В резултат, землища, в които категорията на земята е ≥ 6, са отчетени като такива, в които специфичните ограничения не са преодолени.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със землищата, попадащи в обхвата на районите със специфични ограничения, е представен в Приложение 11 към ПРСР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Други важни забележки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Финансиране на стари задължения, поети по ПРСР (2007-2013)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новите правни задължения, поети през 2014 г., не се прилага задължението на земеделския стопанин да продължи да обработва земята в необлагодетелстваните райони в продължение на 5 последователни години, както бе вменено на бенефициентите през периода 2007-2013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Поетите ангажименти по дейности от ПРСР (2007-2013) ще бъдат финансирани от старата програма до 2014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2015 г. плащанията по мярката ще бъдат изплатени от бюджета на ПРСР (2014-2020). Бенефициентите, които са поели пет годишен ангажимент по мерките за необлагодетелстваните райони от ПРСР (2007-2013) трябва да изпълнят този ангажимент и след 2013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Определяне на районите, различни от планинските райони, със съществени природни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районите с природни ограничения, различни от планинските съгласно чл. 32 от Регламент 1305/2013 е извършено от научни организации в България, които притежават необходимите компетенции, като по отношение на климатичните ограничения, за които в България е приложим критерия „сухота“, анализът и резултатите са предоставени от Националния институт по метеорология и хидрология (НИМХ). Данни за районите с почвени ограничения са анализирани и предоставени от ИПАЗР „Никола Пушкаров". След извършения анализ са предложени следните под-групи почвени ограничения, които са използвани при определяне обхвата на районите в почвени ограничения:</w:t>
            </w:r>
          </w:p>
          <w:p>
            <w:pPr>
              <w:numPr>
                <w:ilvl w:val="0"/>
                <w:numId w:val="45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Неблагоприятна текстура и каменливост на почвите;</w:t>
            </w:r>
          </w:p>
          <w:p>
            <w:pPr>
              <w:numPr>
                <w:ilvl w:val="0"/>
                <w:numId w:val="45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Повърхностна дълбочина на вкореняване;</w:t>
            </w:r>
          </w:p>
          <w:p>
            <w:pPr>
              <w:numPr>
                <w:ilvl w:val="0"/>
                <w:numId w:val="45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Незадоволителни химични свойства;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ограниченията на база наклон на склона е използван цифров височинен модел на релефа на МЗХГ на база самолетно заснемане в периода 2012-2015 с големина на участъка 8 м.</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районите с природни ограничения, различни от планинските в европейското законодателство е определен праг ограниченията да обхващат най-малко 60 % от земеделската земя на ниво местна административна единица-землище.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Вторият етап от дефинирането на районите с ограничения, различни от планинските, включва допълнително прецизиране на определените на първия етап райони. Предвид наличните данни в страната на ниво землище, отчитайки изискването използваният подход да отчита информация на максимално ниско ниво (в случая землище), е приложен критерия „нормална производителност на земята“. Анализът и резултатите от него са извършени и представени от ИПАЗР „Никола Пушкаров".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оценка на производителността на земята е разработена в Института по почвознание и е актуализирана с приемане на препоръчаните от Организацията по прехрана и земеделие (FAO) принципи за оценка на земята.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за допълнителното прецизиране на райони с природни ограничения, различни от планинските, обхваща землища, в които категорията на земята е ≥ 6.</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Преходна схема за райони, които губят статута си на райони с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разпоредбите на чл. 31, пар. 5 от Регламент 1305/2013, държавите членки могат да предоставят плащания по подмярка 13.2. „Компенсационни плащания за други райони, засегнати от значителни природни ограничения" в периода от 2014 г. до 2020 г. на бенефициери от области, които са отговаряли на условията за подпомагане през програмния период 2007—2013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извършваната процедура по определяне и прецизиране на районите с природни ограничения, различни от планинските, България  предвиди в националното си законодателство разпоредба, която уреди преходна помощ за кандидатите по подмярка 13.2. Компенсационното плащане на хектар през кампания 2019 г.,  в размер на 30 евро. В съответствие с приложимото европейско законодателство, съгласно което посочените плащания следва да са не повече от 80 % от средното плащане, определено в програмата за програмния период 2007—2013 г., преходната помощ за кампания 2019 е изчислена спрямо средната ставка на хектар - 38,33 евро, 80% от която е равна на 30,66 евро. В съответствие с  чл. 31, пар. 5 от Регламент 1305/2013, след завършване на очертаването на границите бенефициерите в районите, които остават допустими, получават пълния размер на плащанията по тази мярка.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Предвид приключилото предефиниране на районите с природни ограничения, различни от планинските и в съответствие с приложимото европейско законодателство, съгласно което държавата членка може да продължи плащанията до изтичането на преходния период за бенефициерите, от райони, които вече не отговарят на условията за подпомагане след новото райониране, преходната помощ за кампания 2020 е в размер на 25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разпоредбите на чл. 7, параграф 4 от РЕГЛАМЕНТ (ЕС) 2020/2220 на Европейския парламент и на Съвета, с който е изменен чл. 31, параграф 5 от Регламент 1305/2013, за бенефициерите от райони, които вече не отговарят на условията за подпомагане след новото райониране, преходната помощ за кампания 2021 и 2022 е в размер на 25 евро</w:t>
            </w:r>
          </w:p>
          <w:p>
            <w:pPr>
              <w:pStyle w:val="BodyText"/>
              <w:jc w:val="both"/>
              <w:rPr>
                <w:b w:val="0"/>
              </w:rPr>
            </w:pPr>
          </w:p>
        </w:tc>
      </w:tr>
    </w:tbl>
    <w:p>
      <w:pPr>
        <w:pStyle w:val="Heading3"/>
        <w:jc w:val="left"/>
        <w:rPr>
          <w:b w:val="0"/>
        </w:rPr>
      </w:pPr>
      <w:r>
        <w:rPr>
          <w:b w:val="0"/>
        </w:rPr>
        <w:br w:type="page"/>
      </w:r>
      <w:bookmarkStart w:id="130" w:name="_Toc256000130"/>
      <w:r>
        <w:rPr>
          <w:b w:val="0"/>
        </w:rPr>
        <w:t>M14 — Хуманно отношение към животните (член 33)</w:t>
      </w:r>
      <w:bookmarkEnd w:id="130"/>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33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и чл.10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Налагащата се тенденцията към интеграция между хранителната индустрия и селското стопанство и в частност животновъдството предоставя възможност за нарастване на дяла на продуктите с по-висока степен на добавена стойност, което е предпоставка за положителни икономически и социални последици.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същото време, съвременната ситуация налага необходимостта от възприемане на нов подход по отношение на развитието на българското животновъдство, като устойчив източник на основни качествени храни за българския пазар и едновременно сектор, който не оказва отрицателно въздействие на околната среда и водите и предоставя необходимите хуманни условия на отглежданите животни, респективно, осигурява безопасни условия на труд.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на преработвателите и крайния потребител за качество на готовия продукт често налага извършването на допълнителни разходи от страна на производителя, което от своя страна води до пропуснати ползи при изпълнение на определени дейности, които често надхвърлят задължителните изисквания съгласно утвърдените стандарти.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мярката е насочена към животновъдни ферми, в които се отглеждат преживни животни, в това число говеда, биволи, овце и кози. Към края на 2014 г. регистрираните ферми, в които се отглеждат ЕПЖ наброяват 3151 с приблизително 300 хиляди отглеждани глави животни. Броят на фермите, в които се отглеждат ДПЖ възлиза на 2129 с над 250 хиляди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Тези ферми покриват минималните стандарти за хуманно отношение към животните, като голяма част от тях притежават потенциал за устойчиво развитие и разрастване. Животновъдите са склонни да осигурят по-добри условия за животните, най-близки до естествените им нужди, съзнавайки, че това ще доведе до ограничаване на страха и стресовите ситуации, болката, нараняванията и заболяванията при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предвидените дейности по мярката ще се осигури по-дълъг период на пасищно отглеждане и повече свободно пространство в помещенията за отглежданите животни, което ще окаже благоприятно влияние върху тяхното здраве и благосъстояние, ще подобри жизнеността им и ще спомогне за повишаване на  качеството на произведената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Насърчаването на свободно отглеждане на открито на животните чрез мярката ще окаже благоприятно въздействие и посредством естественото подхранване на почвите и подпомагане на възобновяването на растителната покривка, която ги предпазва от ветрова и почвена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Подпомаганите дейности по мярката ще окажат благоприятен ефект в три основни аспекта: насърчаване на хуманното отношение към животните, безопасността на храните и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Принос към областите на въздействие</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3А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Цели на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качествени и безопасни храни;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условия за отглеждане на животните, водещи до повишаване на хигиената, подобряване на здравето на животните и повишаване на безопасността на труда;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Тип на подпомагането: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предоставя подкрепа на селскостопански производители с животновъдни стопанства за реализиране на един или повече доброволно поети ангажименти за хуманно отношение към животните, които надхвърлят съответните задължителни стандарти съгласно глава І, дял VI от Регламент (ЕС) № 1306/2013 и приложими задължителни изисквания, установени от националното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щеФинансовата помощ по мярката се предоставя под формата на годишни плащаниягодишно плащане за земеделски стопани, които доброволно се задължават да извършват операции по мярката през годината. В съответствие с чл. 33 от Регламент (ЕС) № 1305/2013 помощта е предвидена за покриване  на допълнителни разходи или пропуснат доход, свързани с изпълнението на доброволно изпълнявани едногодишни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Годишните плащания се предоставят при поемане на ангажимент за изпълнение на следните типове операции/дейности: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Осигуряване на свободна подова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тази операция изисква броят (гъстотата) на отглежданите животни да бъде по-малък от максимално допустимия в нормативните документи. Това, от своя страна, води до по-голямо пространство заемано от едно животно, по-голяма двигателна активност, а от там и до подобряване на здравословното състояние и благополучие. Осигуряването на свободна подова площ, не по-малка от 10 % над задължителния стандарт е свързано с по-малък брой на отглежданите животни спрямо капацитета на животновъдния обект, респективно приходите от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Осигуряване на свободно отглеждане на открито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Mинимум 160 дни годишно, от които 40  дни могат да бъдат на двора, но минимум 120 дни за свободно пашуване. Осигуряването на по-дълго отглеждане на открито за ЕПЖ и ДПЖ води до увеличение на разходи за наемане на персонал, както и пропуснати ползи от намален млеконадой. Чрез осигуряване на свободното отглеждане на открито ще се подобри благополучието на отглежданите животните.</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14.1 „Плащания за хуманно отношение към животни в сектор ЕПЖ“</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предоставя финансова помощ за допълнителни разходи и пропуснати доходи, в следствие на доброволно поети ангажименти за хуманно отношение при отглеждане на ЕПЖ /говеда и биволи/, които надхвърлят съществуващите към момента задължителни стандарти по Директива 2008/119/ЕО на Съвета от 18 декември 2008 г., Директива 98/58/ЕО на Съвета от 20 юли 1998 г. относно защитата на животни, отглеждани за селскостопански цели и други задължителни изисквания, наложени чрез националното законодателство - Наредба № 14 от 3 февруари 2006 г. за минималните изисквания за хуманно отношение при отглеждане на телета, Наредба № 16 от 3 февруари 2006 г. за защита и хуманно отношение при отглеждане и използване на селскостопански животни и Наредба №  44 от 20 април 2006 г. за ветеринарномедицинските изисквания към животновъдните обекти.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14.1.1 Осигуряване на свободна подова площ не по-малко от 10 % над задължителния стандарт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до 150 кг. – най-малко 1,7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от 150 кг. до 220 кг. – най-малко 1,9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над 220 кг. – най-малко 2,0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крави над 24 месеца – общо най-малко 6.6 м2 в помещенията или в двора;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биволици над 24 месеца – общо най-малко 7.7 м2 в помещенията или в двора.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14.1.</w:t>
            </w:r>
            <w:r>
              <w:rPr>
                <w:rFonts w:ascii="Times New Roman" w:eastAsia="Times New Roman" w:hAnsi="Times New Roman" w:cs="Times New Roman"/>
                <w:b/>
                <w:bCs/>
                <w:szCs w:val="24"/>
              </w:rPr>
              <w:t xml:space="preserve">2 </w:t>
            </w:r>
            <w:r>
              <w:rPr>
                <w:rFonts w:ascii="Times New Roman" w:eastAsia="Times New Roman" w:hAnsi="Times New Roman" w:cs="Times New Roman"/>
                <w:b/>
                <w:bCs/>
                <w:szCs w:val="24"/>
              </w:rPr>
              <w:t>Осигуряване на свободно отглеждане на открито на ЕПЖ (говеда над 6 месечна възраст и биволи)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Свободно отглеждане минимум 160 дни годишно, от които 40  дни могат да бъдат на двора, но минимум 120 дни  за свободно пашуване.</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Обхвата на подпомагане на подмярката не се припокрива с подпомаганите дейности и разходи в рамките на други мерки или схеми за предоставяне на финансова помощ.</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подмярката се предоставя на земеделски производители с животновъдни стопанства от сектор „ЕПЖ” /говеда и биволи/.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Плащанията по мярката  се предоставят на ЖЕ, само за допълнителни разходи и пропуснати ползи свързани изпълнение на поетите ангажименти и не покриват извършени инвестиционни разходи от кандидатите.</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Изисквания към кандидатите:</w:t>
            </w:r>
          </w:p>
          <w:p>
            <w:pPr>
              <w:numPr>
                <w:ilvl w:val="0"/>
                <w:numId w:val="46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регистрирани по реда на Закона за подпомагане на земеделските производители;</w:t>
            </w:r>
          </w:p>
          <w:p>
            <w:pPr>
              <w:numPr>
                <w:ilvl w:val="0"/>
                <w:numId w:val="4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Стопанисваните от тях животновъдни обекти да са регистрирани по реда на чл. 137 от ЗВД;</w:t>
            </w:r>
          </w:p>
          <w:p>
            <w:pPr>
              <w:numPr>
                <w:ilvl w:val="0"/>
                <w:numId w:val="46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дефиницията за активен фермер съгласно чл. 9 от Регламент (ЕС) № 1307/2013 г. в съответствие с изискването на чл. 33, пар. 1 от Регламент (ЕС) № 1305/2013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отпуска за покриване на допълнителни разходи или пропуснати доходи, свързани с изпълнение на доброволни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покрива само онези задължения, които надвишават задължителните стандарти и други задължителни изисквания, наложени чрез националното законодателство за съответния животновъден обект.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Поетите ангажименти се изпълняват за срок от една година.  Спазването на изискванията по отношение на поетите ангажименти ще подлежат на проверка ежегодно.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от кандидати земеделски производители, свързани със закупуването и използването на лекарства и ваксинации не се допустими за подпомагане по реда на тази мярка.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14.1.1 Осигуряване на свободна подова площ не по-малко от 10 % над задължителния стандарт:</w:t>
            </w:r>
          </w:p>
          <w:p>
            <w:pPr>
              <w:numPr>
                <w:ilvl w:val="0"/>
                <w:numId w:val="461"/>
              </w:numPr>
              <w:spacing w:before="240" w:after="240"/>
              <w:ind w:left="720" w:right="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телета в евро/ЖЕ - 27,46 евро; След 2020 г. евро/ЖЕ - 39,72 евро; За заявените след 01.01.2022 г. –  40,29 евро/животинска единица (ЖЕ).</w:t>
            </w:r>
          </w:p>
          <w:p>
            <w:pPr>
              <w:numPr>
                <w:ilvl w:val="0"/>
                <w:numId w:val="461"/>
              </w:numPr>
              <w:spacing w:before="240" w:after="240"/>
              <w:ind w:left="720" w:right="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крави и биволици над 24 месечна възраст в евро/ЖЕ - 42.71 евро. След 2020 г. евро/ЖЕ - 66,21 евро; За заявените след 01.01.2022 г. –  67,14 евро/животинска единица (ЖЕ).</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14.1.2 Осигуряване на свободно отглеждане на открито на преживни животни в евро/ЖЕ- 24,54 евро. След 2020 г. евро/ЖЕ - 24,70 евро; За заявените след 01.01.2022 г. – 35,99 евро/животинска единица (ЖЕ).</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6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дублиране на дейностите, за които се компенсират земеделските стопани за допълнителни разходи и пропуснати доходи, в следствие на доброволно поети ангажименти за хуманно отношение към животните с правилата за кръстосано съответствие, посочени в приложение II - Правила за кръстосано съответствие съгласно чл. 93 към Регламент (ЕС) 1306/2013 и приложими задължителни изисквания, установени от националното законодателство.</w:t>
            </w:r>
          </w:p>
          <w:p>
            <w:pPr>
              <w:numPr>
                <w:ilvl w:val="0"/>
                <w:numId w:val="46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свързан с определяне на намаленията и изключванията, в случай на установено неизпълнение на дейностите, по отношение на доброволно поетия ангажимент.</w:t>
            </w:r>
          </w:p>
          <w:p>
            <w:pPr>
              <w:numPr>
                <w:ilvl w:val="0"/>
                <w:numId w:val="46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неспазване на доброволно поетите ангажименти, поради недостатъчна информираност за изискванията и спецификациите, които следва да изпълни земеделския стопанин, за да изпълнява дейности, надвишаващи задължителните стандарти и други изисквания, въведени чрез националното законодателство.</w:t>
            </w:r>
          </w:p>
          <w:p>
            <w:pPr>
              <w:numPr>
                <w:ilvl w:val="0"/>
                <w:numId w:val="46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във връзка с липса на недостатъчно ясни и конкретно разписани процедури и методики за извършване на проверките, което потенциално би довело до компрометиране на точността от измерването и проверката като цяло.</w:t>
            </w:r>
          </w:p>
          <w:p>
            <w:pPr>
              <w:numPr>
                <w:ilvl w:val="0"/>
                <w:numId w:val="46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по отношение на съобщаването на проверките във връзка с установяване на реалното изпълнение или неизпълнение на доброволно поетите дейности.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6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подмярката;</w:t>
            </w:r>
          </w:p>
          <w:p>
            <w:pPr>
              <w:numPr>
                <w:ilvl w:val="0"/>
                <w:numId w:val="46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6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подмярката и тяхното периодично актуализиране при необходимост в съответствие с практиката.</w:t>
            </w:r>
          </w:p>
          <w:p>
            <w:pPr>
              <w:numPr>
                <w:ilvl w:val="0"/>
                <w:numId w:val="463"/>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разписани условия за прилагане на подмярката в нормативната уредба.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14.1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националните и съюзните изисквания, съответстващи на задължителните стандарти, установени съгласно дял VI, глава I от Регламент (ЕС) № 1306/2013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Директива 2008/119/ЕО на Съвета от 18 декември 2008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Директива 98/58/ЕО на Съвета от 20 юли 1998 г. относно защитата на животни, отглеждани за селскостопански цели;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Наредба № 14 от 3 февруари 2006 г. за минималните изисквания за хуманно отношение при отглеждане на телета; Наредба № 16 от 3 февруари 2006 г. за защита и хуманно отношение при отглеждане и използване на селскостопански животни;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Наредба № 44 от 20 април 2006 г. за ветеринарномедицинските изисквания към животновъдните обекти.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Минимални стандарти/базови изисквания, база за подпомаганите дейности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14.1.1 Осигуряване на свободна подова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до 150 кг. – най-малко 1,5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от 150 кг. до 220 кг. – най-малко 1,7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над 220 кг. – най-малко 1,8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крави над 24 месеца – общо най-малко 6 м2 в помещенията или в двора;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биволици над 24 месеца – общо най-малко 7 м2 в помещенията или в двора.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14.1.2 Осигуряване на свободно отглеждане на открито - </w:t>
            </w:r>
            <w:r>
              <w:rPr>
                <w:rFonts w:ascii="Times New Roman" w:eastAsia="Times New Roman" w:hAnsi="Times New Roman" w:cs="Times New Roman"/>
                <w:szCs w:val="24"/>
              </w:rPr>
              <w:t>спрямо сезонните особености в страната свободното отглеждане е в рамките на 140 дни, от които 110 дни за свободно пашуване и 30 дни свободно отглеждане в дворчета.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заявяват подпомагане за свободно отглеждане на открито, поддържат гъстота на животинските единици на цялата пасищна площ на стопанството, ползвана от кандидата, на която се извършва пашата, до не повече от 2 ЖЕ/хектар.</w:t>
            </w:r>
          </w:p>
          <w:p>
            <w:pPr>
              <w:pStyle w:val="BodyText"/>
              <w:jc w:val="both"/>
              <w:rPr>
                <w:b w:val="0"/>
              </w:rPr>
            </w:pPr>
          </w:p>
        </w:tc>
      </w:tr>
    </w:tbl>
    <w:p>
      <w:pPr>
        <w:rPr>
          <w:b w:val="0"/>
        </w:rPr>
      </w:pPr>
      <w:r>
        <w:rPr>
          <w:b w:val="0"/>
        </w:rPr>
        <w:t>описание на методологията и агрономическите/зоотехническите прогнози и параметри, включително описание на базовите изисквания, посочени в член 33,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Компенсаторните разчети за групата на ЕПЖ са определени като резултат от нарастване на разходите и пропуснатите ползи. Предвидените дейности включват: осигуряване на свободно подова площ и отглеждане на открито.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дейността осигуряване на свободна подова площ от 10% над минималните изисквания е направено изчисление за пропуснатите ползи и респективно приходи от намалението на животните с 10% и оттам за необходимата компенсация върху останалите животни.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са правени на база единица животно от ЕПЖ, като продукцията от него на годишна основа е умножено по цената. Извършена е корекция със спестените разходи за единица животно, включващи разходите по изхранването и медицинското обслужване на животните. Предвижданията за пропуснатите приходи и прилежащите разходи са базирани на данни от Агростатистика на МЗХГ, Системата за счетоводна и земеделска информация, НСИ по отношение на цените през референтния период 2011-2013 и изчисления по проекта САРА и експертни проучвания сред представителни стопанства. Извършено е преизчисление на компенсаторните разчети с референтен период 2017-2019 г., при което констатираните промени в пазарната и производствена среда в този период са съотнесени към периода 2011-2013 г. Преки и инвестиционни разходи не са предвидени, като са включени само променливите разходи участващи при изчисляването на брутните маржове.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свободно отглеждане на открито на говеда предвижда увеличаване на по-голям брой дни годишно за пасищно отглеждане на животните. Броят на тези дни при отделните подсектори е 20. Изчисляването на пропуснатите ползи предполага калкулирането на намаления млеконадой при животните, които се изчислява на основата на експертни оценки и наблюдения в представителни стопанства и научни разработки по темата. При пасищното отглеждане се установяват и по-високи разходи за труд в сравнение с оборното, като допълнителните разходи се прибавят в премийното уравнение. </w:t>
            </w:r>
          </w:p>
          <w:p>
            <w:pPr>
              <w:pStyle w:val="BodyText"/>
              <w:jc w:val="both"/>
              <w:rPr>
                <w:b w:val="0"/>
              </w:rPr>
            </w:pPr>
          </w:p>
        </w:tc>
      </w:tr>
    </w:tbl>
    <w:p>
      <w:pPr>
        <w:pStyle w:val="Heading5"/>
        <w:jc w:val="left"/>
        <w:rPr>
          <w:b w:val="0"/>
        </w:rPr>
      </w:pPr>
      <w:r>
        <w:rPr>
          <w:b w:val="0"/>
        </w:rPr>
        <w:br w:type="page"/>
      </w:r>
      <w:r>
        <w:rPr>
          <w:b w:val="0"/>
        </w:rPr>
        <w:t>Подмярка 14.2 „Плащания за хуманно отношение към животни в сектор ДПЖ“</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предоставя финансова помощ за допълнителни разходи и пропуснати доходи, в следствие на доброволно поети ангажименти за хуманно отношение към овце и кози, които надхвърлят съществуващите към момента задължителни стандарти по Директива 1998/58/ЕО на Съвета от 20 юли 1998 г. относно защита на животните, отглеждани за селскостопански цели и други задължителни изисквания, наложени чрез националното законодателство – Наредба № 16 от 3 февруари 2006 г. за защита и хуманно отношение при отглеждане и използване на селскостопански животни и Наредба № 44 от 20 април 2006 г. за ветеринарномедицинските изисквания към животновъдните обекти.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14.2.1 Осигуряване на свободно отглеждане на открито на ДПЖ (минимум 160 дни годишно, от които минимум 120 дни за свободно пашуване и 40 дни за свободно отглеждане в дворчета)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Свободно отглеждане минимум 160 дни годишно, от които 40 могат да бъдат на двора, но минимум 120 дни  за свободно пашуване.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14.2.2 Осигуряване на свободна подова площ (не по малко от 10% над задължителния стандарт за ДПЖ)</w:t>
            </w:r>
          </w:p>
          <w:p>
            <w:pPr>
              <w:numPr>
                <w:ilvl w:val="0"/>
                <w:numId w:val="46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разплодници в помещение 2,4 – 2,6 м2/на двор 3,3 -3,9 м2;</w:t>
            </w:r>
          </w:p>
          <w:p>
            <w:pPr>
              <w:numPr>
                <w:ilvl w:val="0"/>
                <w:numId w:val="4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овце и кози майки в помещение 1,1 – 1,5 м2/на двор 1,7 -2,8 м2;</w:t>
            </w:r>
          </w:p>
          <w:p>
            <w:pPr>
              <w:numPr>
                <w:ilvl w:val="0"/>
                <w:numId w:val="4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агнета и ярета в помещение 0,44 м2/на двор 0,7 -0,8 м2;</w:t>
            </w:r>
          </w:p>
          <w:p>
            <w:pPr>
              <w:numPr>
                <w:ilvl w:val="0"/>
                <w:numId w:val="4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агнета и ярета в помещение 0,44 м2/на двор 0,7 -0,8 м2;</w:t>
            </w:r>
          </w:p>
          <w:p>
            <w:pPr>
              <w:numPr>
                <w:ilvl w:val="0"/>
                <w:numId w:val="4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женски шилета и кози за разплод в помещение 0,8 - 1,1 м2/на двор 1,3 -2,2 м2;</w:t>
            </w:r>
          </w:p>
          <w:p>
            <w:pPr>
              <w:numPr>
                <w:ilvl w:val="0"/>
                <w:numId w:val="4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мъжки шилета и козлета за разплод в помещение 1,2 - 1,5 м2/на двор 2,2 -2,8 м2;</w:t>
            </w:r>
          </w:p>
          <w:p>
            <w:pPr>
              <w:numPr>
                <w:ilvl w:val="0"/>
                <w:numId w:val="4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шилета за угоява в помещение 0,7 - 0,8 м2/на двор 1,7 -2,2 м2;</w:t>
            </w:r>
          </w:p>
          <w:p>
            <w:pPr>
              <w:numPr>
                <w:ilvl w:val="0"/>
                <w:numId w:val="46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бракувани овце в помещение 1,0 м2/на двор 1,7 м2.</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Обхвата на подпомагане на подмярката не се припокрива с подпомаганите дейности и разходи в рамките на други мерки или схеми за предоставяне на финансова помощ.</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подмярката се предоставя на земеделски производители с животновъдни стопанства от сектор „ДПЖ” /овце и кози/.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Плащанията по мярката  се предоставят на ЖЕ, само за допълнителни разходи и пропуснати ползи свързани изпълнение на поетите ангажименти и не покриват извършени инвестиционни разходи от кандидатите.</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Изисквания към кандидатите:</w:t>
            </w:r>
          </w:p>
          <w:p>
            <w:pPr>
              <w:numPr>
                <w:ilvl w:val="0"/>
                <w:numId w:val="46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регистрирани по реда на Закона за подпомагане на земеделските производители;</w:t>
            </w:r>
          </w:p>
          <w:p>
            <w:pPr>
              <w:numPr>
                <w:ilvl w:val="0"/>
                <w:numId w:val="46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Стопанисваните от тях животновъдни обекти да са регистрирани по реда на чл. 137 от ЗВД;</w:t>
            </w:r>
          </w:p>
          <w:p>
            <w:pPr>
              <w:numPr>
                <w:ilvl w:val="0"/>
                <w:numId w:val="46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дефиницията за активен фермер съгласно чл. 9 от Регламент (ЕС) № 1307/2013 г. в съответствие с изискването на чл. 33, пар. 1 от Регламент (ЕС) № 1305/2013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отпуска за покриване на допълнителни разходи или пропуснати доходи, свързани с изпълнение на доброволни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покрива само онези задължения, които надвишават задължителните стандарти и други задължителни изисквания, наложени чрез националното законодателство за съответния животновъден обект.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Поетите ангажименти се изпълняват за срок от една година.  Спазването на изискванията по отношение на поетите ангажименти ще подлежат на проверка ежегодно.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от кандидати земеделски производители, свързани със закупуването и използването на лекарства и ваксинации не се допустими за подпомагане по реда на тази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Компенсации по мярката се предоставят само за допълнителни разходи и пропуснати ползи.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14.2.1 Осигуряване на свободно отглеждане на открито на преживни животни в евро/ЖЕ-22,50 евро. След 2020 г. евро/ЖЕ – 28 евро; За заявените след 01.01.2022 г. –  31,22 евро/животинска единица (ЖЕ).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14.2.2 Осигуряване на свободна подова площ не по-малко от 10% над задължителния стандарт в евро/ЖЕ-44,40 евро; След 2020 г. евро/ЖЕ – 47,86 евро; За заявените след 01.01.2022 г. – 75,98 евро/животинска единица (ЖЕ).</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дублиране на дейностите, за които се компенсират земеделските стопани за допълнителни разходи и пропуснати доходи, в следствие на доброволно поети ангажименти за хуманно отношение към животните с правилата за кръстосано съответствие, посочени в приложение II - Правила за кръстосано съответствие съгласно чл. 93 към Регламент (ЕС) 1306/2013 и приложими задължителни изисквания, установени от националното законодателство.</w:t>
            </w:r>
          </w:p>
          <w:p>
            <w:pPr>
              <w:numPr>
                <w:ilvl w:val="0"/>
                <w:numId w:val="4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свързан с определяне на намаленията и изключванията, в случай на установено неизпълнение на дейностите, по отношение на доброволно поетия ангажимент.</w:t>
            </w:r>
          </w:p>
          <w:p>
            <w:pPr>
              <w:numPr>
                <w:ilvl w:val="0"/>
                <w:numId w:val="4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неспазване на доброволно поетите ангажименти, поради недостатъчна информираност за изискванията и спецификациите, които следва да изпълни земеделския стопанин, за да изпълнява дейности, надвишаващи задължителните стандарти и други изисквания, въведени чрез националното законодателство.</w:t>
            </w:r>
          </w:p>
          <w:p>
            <w:pPr>
              <w:numPr>
                <w:ilvl w:val="0"/>
                <w:numId w:val="4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във връзка с липса на недостатъчно ясни и конкретно разписани процедури и методики за извършване на проверките, което потенциално би довело до компрометиране на точността от измерването и проверката като цяло.</w:t>
            </w:r>
          </w:p>
          <w:p>
            <w:pPr>
              <w:numPr>
                <w:ilvl w:val="0"/>
                <w:numId w:val="466"/>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по отношение на съобщаването на проверките във връзка с установяване на реалното изпълнение или неизпълнение на доброволно поетите дейности.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6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мярката;</w:t>
            </w:r>
          </w:p>
          <w:p>
            <w:pPr>
              <w:numPr>
                <w:ilvl w:val="0"/>
                <w:numId w:val="46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6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мярката и тяхното периодично актуализиране при необходимост в съответствие с практиката;</w:t>
            </w:r>
          </w:p>
          <w:p>
            <w:pPr>
              <w:numPr>
                <w:ilvl w:val="0"/>
                <w:numId w:val="467"/>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разписани условия за прилагане на подмярката в нормативната уредба.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14.2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националните и съюзните изисквания, съответстващи на задължителните стандарти, установени съгласно дял VI, глава I от Регламент (ЕС) № 1306/2013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Директива 1998/58/ЕО на Съвета от 20 юли 1998 г. относно защита на животните, отглеждани за селскостопански цели;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Наредба № 16 от 3 февруари 2006 г. за защита и хуманно отношение при отглеждане и използване на селскостопански животни;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Наредба № 44 от 20 април 2006 г. за ветеринарномедицинските изисквания към животновъдните обекти.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Минимални стандарти/основни изисквания, база за подпомаганите дейности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14.2.1 Осигуряване на свободно отглеждане на открито (спрямо сезонните особености в страната свободното отглеждане е в рамките на 140 дни, от които 110 дни за свободно пашуване и 30 дни свободно отглеждане в дворчета).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заявяват подпомагане за свободно отглеждане на открито, поддържат гъстота на животинските единици на цялата пасищна площ на стопанството, ползвана от кандидата, на която се извършва пашата, до не повече от 2 ЖЕ/хектар.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14.2.2 Осигуряване на свободна подова площ:</w:t>
            </w:r>
          </w:p>
          <w:p>
            <w:pPr>
              <w:numPr>
                <w:ilvl w:val="0"/>
                <w:numId w:val="46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разплодници в помещение 2,2 – 2,4 м2/на двор 3,0 -3,5 м2;</w:t>
            </w:r>
          </w:p>
          <w:p>
            <w:pPr>
              <w:numPr>
                <w:ilvl w:val="0"/>
                <w:numId w:val="4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овце и кози майки в помещение 1,0 – 1,4 м2/на двор 1,5 -2,5 м2;</w:t>
            </w:r>
          </w:p>
          <w:p>
            <w:pPr>
              <w:numPr>
                <w:ilvl w:val="0"/>
                <w:numId w:val="4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агнета и ярета в помещение 0,4 м2/на двор 0,6 -0,7;</w:t>
            </w:r>
          </w:p>
          <w:p>
            <w:pPr>
              <w:numPr>
                <w:ilvl w:val="0"/>
                <w:numId w:val="4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женски шилета и кози за разплод в помещение 0,7 - 1,0 м2/на двор 1,2 -2,0 м2;</w:t>
            </w:r>
          </w:p>
          <w:p>
            <w:pPr>
              <w:numPr>
                <w:ilvl w:val="0"/>
                <w:numId w:val="4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мъжки шилета и козлета за разплод в помещение 1,1 - 1,4 м2/на двор 2,0 -2,5 м2;</w:t>
            </w:r>
          </w:p>
          <w:p>
            <w:pPr>
              <w:numPr>
                <w:ilvl w:val="0"/>
                <w:numId w:val="4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шилета за угоява в помещение 0,6 - 0,7 м2/на двор 1,5 -2,0 м2;</w:t>
            </w:r>
          </w:p>
          <w:p>
            <w:pPr>
              <w:numPr>
                <w:ilvl w:val="0"/>
                <w:numId w:val="46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бракувани овце в помещение 0,9 м2/на двор 1,5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описание на методологията и агрономическите/зоотехническите прогнози и параметри, включително описание на базовите изисквания, посочени в член 33,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Компенсаторните разчети за овце и кози са определени като резултат от нарастване на разходите и пропуснатите ползи. Предвидените дейности за този подсектор включват: осигуряване на свободно подова площ и отглеждане на открито. При изчисленията са взети предвид традиционните практики на отглеждане на такива животни в страната, като продуктивността, изкупните цени на продукцията, начина на отглеждане и другите изходни параметри са осреднени за референтния период 2011-2013 година. Извършено е преизчисление на компенсаторните разчети с референтен период 2017-2019 г., при което констатираните промени в пазарната и производствена среда в този период са съотнесени към периода 2011-2013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дейността осигуряване на свободна подова площ от 10% над минималните изисквания е направено изчисление за пропуснатите ползи и респективно приходи от намалението на животните с 10% и оттам за необходимата компенсация върху останалите животни.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свободно отглеждане на открито предвижда увеличаване на по-голям брой дни годишно за пасищно отглеждане на животните. Броят на тези дни при отделните подсектори е 20. Изчисляването на пропуснатите ползи предполага калкулирането на намаления млеконадой при животните, които се изчислява на около 15% на дневна база при пасищното отглеждане в сравнение с оборното и пресмятането на увеличените разходи. В премийното изчисление са отразени и нарасналите разходи за труд при пасишно отглеждане в сравнение с оборното, които същ са инкорпорирани.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6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мярката;</w:t>
            </w:r>
          </w:p>
          <w:p>
            <w:pPr>
              <w:numPr>
                <w:ilvl w:val="0"/>
                <w:numId w:val="46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6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мярката и тяхното периодично актуализиране при необходимост в съответствие с практиката;</w:t>
            </w:r>
          </w:p>
          <w:p>
            <w:pPr>
              <w:numPr>
                <w:ilvl w:val="0"/>
                <w:numId w:val="46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разписани условия за прилагане на мярката в нормативната уредба;</w:t>
            </w:r>
          </w:p>
          <w:p>
            <w:pPr>
              <w:numPr>
                <w:ilvl w:val="0"/>
                <w:numId w:val="46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по отношение на съобщаването на проверките във връзка с установяване на реалното изпълнение или неизпълнение на доброволно поетите дейности.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7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подмярката;</w:t>
            </w:r>
          </w:p>
          <w:p>
            <w:pPr>
              <w:numPr>
                <w:ilvl w:val="0"/>
                <w:numId w:val="47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7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подмярката и тяхното периодично актуализиране при необходимост в съответствие с практиката;</w:t>
            </w:r>
          </w:p>
          <w:p>
            <w:pPr>
              <w:numPr>
                <w:ilvl w:val="0"/>
                <w:numId w:val="47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разписани условия за прилагане на мярката в нормативната уредба.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Осъществяване на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ДФ ”Земеделие” и БАБХ извършват фактическа проверка по изпълнението на поетите ангажименти и наличието на необходимите за това специфични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Осигуряване на свободна подова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ДФ ”Земеделие” извършва служебна проверка в ИСАК за констатиране броя на отглежданите животни, за които се предоставя помощта за съответната година, на база Системата за идентификация на животните и регистрация на животновъдните обекти (ВетИС) на БАБХ. Административната проверка включва проверка на капацитета на животновъдния обект в съответствие с регистрацията по чл. 137 от ЗВД, както и представяне на разходооправдателни документи за закупуване на животни, ветеринарномедицинско свидетелство за придвижване, когато животните са закупени, копие от сертификат за вътреобщностна търговия генериран от системата ТРЕЙСИ за да се проследи броят на отглежданите животни. Проверката се извършва преди поемане на финансов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Проверката за свободна подова площ се извършва и чрез посещение на място за констатиране на фактическото съответствие на представените документи и обстоятелства. Наличието на съответствието с изискванията по дейността за осигуряване на свободна подова площ се отразява в контролен лист, в който се вписва площта на животновъдния обект и броя на помещенията в него, както и броя на отглежданите животни. Контролният лист се разписва от служител на ДФ „Земеделие“, БАБХ и от страна на проверявания.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Осигуряване на свободно отглеждане на открито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ДФ ”Земеделие” изисква от кандидата да представи документ, издаден от официалния ветеринарен лекар на стопанството за придвижване или транспортиране на животните, в случаите когато животните са изкарани на свободно пашуване.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когато животните се извеждат на открито в близост до животновъдния обект, в който нощуват, кандидатът води  дневник, в който се вписват броят на животните по вид и категория с датите на извеждане.Дневникът се заверява от регистрирания ветеринарен лекар в началото и в края на периода на извеждане.</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се прилага за първи път в рамките на ПРСР, но опита от прилагане на държавна помощ за свине и птици ще спомогне за преодоляване на идентифицираните основни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Специален акцент е необходимо да се постави на мерките за повишаване на информираността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анагжиментите за осигуряване на свободна подова площ за животните и свободно отглеждане на открито по реда на мярката са контролируеми и проверими.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националните и съюзните изисквания, съответстващи на задължителните стандарти, установени съгласно дял VI, глава I от Регламент (ЕС) № 1306/2013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 се предоставя в съответствие с целите на мярката и относимото национално и европейско законодателство:</w:t>
            </w:r>
          </w:p>
          <w:p>
            <w:pPr>
              <w:numPr>
                <w:ilvl w:val="0"/>
                <w:numId w:val="47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98/58/ЕО на Съвета от 20 юли 1998 г. относно защита на животните, отглеждани за стопански цели;</w:t>
            </w:r>
          </w:p>
          <w:p>
            <w:pPr>
              <w:numPr>
                <w:ilvl w:val="0"/>
                <w:numId w:val="4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2008/119/ЕО на Съвета от 18 декември 2008 г. за определяне на минимални стандарти за защита на телетата;</w:t>
            </w:r>
          </w:p>
          <w:p>
            <w:pPr>
              <w:numPr>
                <w:ilvl w:val="0"/>
                <w:numId w:val="4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законови разпоредби на ЕС, свързани с хуманно отношение към животните;</w:t>
            </w:r>
          </w:p>
          <w:p>
            <w:pPr>
              <w:numPr>
                <w:ilvl w:val="0"/>
                <w:numId w:val="4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ветеринарномедицинската дейност (ЗВД);</w:t>
            </w:r>
          </w:p>
          <w:p>
            <w:pPr>
              <w:numPr>
                <w:ilvl w:val="0"/>
                <w:numId w:val="4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защита на животните;</w:t>
            </w:r>
          </w:p>
          <w:p>
            <w:pPr>
              <w:numPr>
                <w:ilvl w:val="0"/>
                <w:numId w:val="47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 за фуражите.</w:t>
            </w:r>
          </w:p>
          <w:p>
            <w:pPr>
              <w:pStyle w:val="BodyText"/>
              <w:jc w:val="both"/>
              <w:rPr>
                <w:b w:val="0"/>
              </w:rPr>
            </w:pPr>
          </w:p>
        </w:tc>
      </w:tr>
    </w:tbl>
    <w:p>
      <w:pPr>
        <w:spacing w:after="100"/>
        <w:rPr>
          <w:b w:val="0"/>
        </w:rPr>
      </w:pPr>
      <w:r>
        <w:rPr>
          <w:b w:val="0"/>
        </w:rPr>
        <w:t>описание на методологията и агрономическите/зоотехническите прогнози и параметри, включително описание на базовите изисквания, посочени в член 33,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Методологията е разработена от доц. д-р Божидар Иванов (Институт по аграрна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за изчисляване на премиите за хуманно отношение при говеда и дребен рогат добитък включва разработване на методология, която да изчисли пропуснатите ползи и допълнителните разходи за изпълнение на заложените дейности и изисквания. Референтният период на направените изчисления обхваща 3 годишен времеви хоризонт 2011-2013. Извършено е преизчисление на премиите с референтен период 2017-2019 г., при което констатираните промени в пазарната и производствена среда в този период са съотнесени към периода 2011-2013 г. Използвани са различни източници на информация, като основно това са официални данни на отдел „Агростатистика” на МЗХГ и специално счетоводните и икономически резултати за преживното животновъдство на СЗСИ. Към това трябва да се прибавят и публикувани данни от НСИ, основно отнасящи се до стойността на рентата и земята в България, както и информация за различните цени на животинска продукция. Поради спецификата на изследването и липсата на данни за някои важни показатели участващи в изчисляването на брутните маржини са използвани и експертни оценки на браншовици и специалисти, които са заимствани от различни официални разработки. Справки са правени и с данни и спецификации предложени в научна, техническа и справочна литература, както и от научни разработки и изследвания правени от Институт по аграрна икономика по проект САРА (</w:t>
            </w:r>
            <w:r>
              <w:rPr>
                <w:rFonts w:ascii="Times New Roman" w:eastAsia="Times New Roman" w:hAnsi="Times New Roman" w:cs="Times New Roman"/>
                <w:i/>
                <w:iCs/>
                <w:szCs w:val="24"/>
              </w:rPr>
              <w:t>проект за създаване на Център за икономически изследвания в селското стопанство, като се занимава с разработване на модели за предвиждане средносрочното развитие на важни сектори в българското земеделие).</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за контрол и оценка за изпълнение на дейностите, включени за подпомагане в мярката, която гарантира обективни методи за проверка.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Официалният компетентен орган за осъществяване, управление и контрол на ветеринарната дейност съгласно ЗВД е Българска агенция по безопастност на храните (БАБХ). БАБХ осъществява контрол за спазване на правилата за защита и хуманно отношение към животните. Контролът се осъществява чрез ветеринарномедицински проверки и попълване на контролни листи.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над изпълнението на ангажиментите, включени в мярката ще се осъществява от ДФ "Земеделие", съвместно с БАБХ.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Коефициент на преобразуване на животните в животински единици, в съответствие с член 9, параграф 2 от Регламент за изпълнение (ЕС) № 808/2014 на Комисията от 17 юли 2014 година  за определяне на правила за прилагането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w:t>
            </w:r>
          </w:p>
          <w:p>
            <w:pPr>
              <w:numPr>
                <w:ilvl w:val="0"/>
                <w:numId w:val="47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Бикове, крави и други животни от рода на едрия рогат добитък на възраст над две години и животни от семейство коне на възраст над шест месеца - 1,0 ЖE</w:t>
            </w:r>
          </w:p>
          <w:p>
            <w:pPr>
              <w:numPr>
                <w:ilvl w:val="0"/>
                <w:numId w:val="47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Животни от рода на едрия рогат добитък на възраст от шест месеца до две години - 0,6 ЖЕ</w:t>
            </w:r>
          </w:p>
          <w:p>
            <w:pPr>
              <w:numPr>
                <w:ilvl w:val="0"/>
                <w:numId w:val="47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Животни от рода на едрия рогат добитък на възраст под шест месеца - 0,4 ЖЕ</w:t>
            </w:r>
          </w:p>
          <w:p>
            <w:pPr>
              <w:numPr>
                <w:ilvl w:val="0"/>
                <w:numId w:val="47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Животни от рода на овцете и козите - 0,15 ЖЕ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31" w:name="_Toc256000131"/>
      <w:r>
        <w:rPr>
          <w:b w:val="0"/>
        </w:rPr>
        <w:t>M16 — Сътрудничество (член 35)</w:t>
      </w:r>
      <w:bookmarkEnd w:id="131"/>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35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(EО) №1698/2005 на Съвета; чл. 11 от Делегиран регламент (EC) №807/2014на Комисията от 11 март 2014 г. за допълнение на някои разпоредби на Регламент (ЕС)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мярката се предоставя за насърчаване на различни видове хоризонтално и вертикално сътрудничество в селскостопанския сектор, хранителната верига и горското стопанство. Чрез мярката ще се постигат целите на Европейското партньорство за иновации (ЕПИ) за селскостопанска производителност и устойчивост, посочени в член 55 на Регламент (ЕС) № 1305/2013. Включените за подкрепа дейности са от решаващо значение за повишаване на селскостопанската производителност, биоразнообразието, по-добро управление на земите и функционалността на почвите, интегрираната верига на доставки, качеството и безопасността на храните. Чрез мярката се подкрепят и дейности, свързани разработването на нови продукти, практики и технологии с подпомагане на редовното и устойчиво снабдяване с храна, фуражи и биоматериали. Мярката допринася в най-голяма степен за засилване и укрепване на връзките между земеделското производство и изследователската дейност. В изпълнение на стратегията мярката допринася за постигане на цел 1 и цел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Целта на мярката</w:t>
            </w:r>
            <w:r>
              <w:rPr>
                <w:rFonts w:ascii="Times New Roman" w:eastAsia="Times New Roman" w:hAnsi="Times New Roman" w:cs="Times New Roman"/>
                <w:szCs w:val="24"/>
              </w:rPr>
              <w:t xml:space="preserve"> е да се подкрепи прилагането на интерактивни иновационни модели  за постигане на целите на Европейското партньорство за иновации (ЕПИ) за селскостопанска производителност и устойчивост, да се насърчи сътрудничеството за разработване на нови продукти, практики, процеси и технологии и да се стимулира икономически обосновано развитие на къси вериги на доставки, местните пазари и местните хранителни вериги. Мярката ще се прилага със следните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16.1. Подкрепа за сформиране и функциониране на оперативни групи в рамките на ЕПИ за селскостопанска производителност и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16.2. Подкрепа за пилотни проекти и за развитие на нови продукти, практики, процеси и технологии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16.4. Подкрепа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Подкрепа за дейности на местно равнище за популяризиране, свързани с развитието на късите вериги на доставки и местните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Мярката допринася основно към реализирането на </w:t>
            </w:r>
            <w:r>
              <w:rPr>
                <w:rFonts w:ascii="Times New Roman" w:eastAsia="Times New Roman" w:hAnsi="Times New Roman" w:cs="Times New Roman"/>
                <w:b/>
                <w:bCs/>
                <w:szCs w:val="24"/>
              </w:rPr>
              <w:t>приоритетна област 1Б</w:t>
            </w:r>
            <w:r>
              <w:rPr>
                <w:rFonts w:ascii="Times New Roman" w:eastAsia="Times New Roman" w:hAnsi="Times New Roman" w:cs="Times New Roman"/>
                <w:szCs w:val="24"/>
              </w:rPr>
              <w:t xml:space="preserve">. На основата на определените нужди, мярката допринася чрез съответните подмерки и дейности за следните приоритетни области </w:t>
            </w:r>
            <w:r>
              <w:rPr>
                <w:rFonts w:ascii="Times New Roman" w:eastAsia="Times New Roman" w:hAnsi="Times New Roman" w:cs="Times New Roman"/>
                <w:b/>
                <w:bCs/>
                <w:szCs w:val="24"/>
              </w:rPr>
              <w:t>2А, 3А, 4А, 4Б, 4В, 5А, 5Б, 5В, 5Г, 5Д</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за трите пресечни цели (околна среда, климат и иновации) чрез следните подходи: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пълна степен по хоризонтална цел иновации допринасят дейностите по подмярка 16.1. и в значителна степен допринасят дейностите по подмярка 16.2.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16.1 допринася в значителна степен по хоризонтални цели околна среда и климат чрез критериите за подбор и по-специално по приоритета в областта на биоразнообразие, екосистемни ,услуги функционалност на почвите и Натура 2000 и по приоритета в областта на ефективно и ефикасно управление на водите в селското стопанство и опазване от вредното въздействие на водите в земеделските земи.  Постигнат резултат по подмярка 16.2. е  подкрепа за поне един новосъздаден клъстер по приоритет в областта на поддържане и подобряване на генофонда в растениевъдството и животновъдството за повишаване на потенциала на първичното селскостопанско производство. Чрез споделянето на съоръжения и обмена на знания и експертен опит в новосъздадените клъстери ще се подкрепи производството на качествени и безопасни храни, като се използват нови и научнообосновани методики за изследване и оценка на качеството и безопасността на продукцията. Дейностите по подмярка 16.4 допринасят  по хоризонталните цели допълнително като чрез обединенията на малки стопанства и други икономическите оператори се съдейства за преодоляване на икономическите, екологичните и други отрицателни последици от разпокъсаността.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Постигнат резултат по подмярка 16.4 е минимум 60% от стопанствата, които участват в обединения за местни пазари да бъдат малки стопанства, съгласно определението в тематичната подпрограма.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Подмярка 16.1. Подкрепа за сформиране и функциониране на оперативни групи в рамките на ЕПИ.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473"/>
              </w:numPr>
              <w:rPr>
                <w:b w:val="0"/>
              </w:rPr>
            </w:pPr>
            <w:r>
              <w:rPr>
                <w:b w:val="0"/>
              </w:rPr>
              <w:t xml:space="preserve">16.1 — подкрепа за сформиране и функциониране на оперативни групи в рамките на ЕПИ за селскостопанска производителност и устойчивост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сформиране и функциониране на оперативни групи за постигането на целите на ЕПИ за селскостопанска производителност и устойчивост, посочени в член 56 на Регламент (ЕС) № 1305/2013. Оперативните групи са обединения по Закона за задълженията и договорите, които се създават от земеделски стопани, изследователи, консултанти и предприятия, в сектора на селското стопанство и храните. Оперативните групи се сформират за изпълнение на конкретен иновативен проект за конкретен период на 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дейностите по подмярката се приема следното определение за иновации: </w:t>
            </w:r>
            <w:r>
              <w:rPr>
                <w:rFonts w:ascii="Times New Roman" w:eastAsia="Times New Roman" w:hAnsi="Times New Roman" w:cs="Times New Roman"/>
                <w:i/>
                <w:iCs/>
                <w:szCs w:val="24"/>
              </w:rPr>
              <w:t>Иновацията е разработването и внедряването в практиката на нов или значително подобрен продукт (стока или услуга), нов процес, нов маркетингов метод, или нов организационен метод, организацията на работното място, или външни връзки, която води до повишаване на икономическа, социална и екологична ефективност.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невъзможността иновацията да бъде определена предварително  по подмярката ще се подкрепят дейности на оперативните групи, които са насочени към иновации и чрез подкрепените дейности ще се допринесе до внедряване в практиката.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сформиране на оперативни групи и за функциониране на оперативните групи. При кандидатстване за подкрепа оперативната група представя  описание на целта, план с основни предвиждани дейности и очаквани резултати с приложен характер, както и описание на първоначален състав на членовете на оперативната група. При кандидатстването  се посочва дали оперативната група предвижда разширение на състава, като евентуалното разширение може да е свързано само с увеличение на броя на земеделските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Финансирането на оперативните групи обхваща две фази: фаза на сформиране на оперативната група и фаза на функциониране на оперативната група. През първата фаза се предоставя подкрепа за проучване за приложимостта на иновативния проект в конкретни географски райони и стопанства, анализ на конкретните производствени методи във връзка с въвеждането на иновативното предложение в практиката и създаване на база данни. През първата фаза е допустимо да се подкрепят и дейности за стимулиране на интерес с цел избор на подходящи стопанства за прилагане на иновативното предложение и евентуално разширение на оперативната група. Подкрепата за първата фаза се ограничава до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втората фаза се предоставя подкрепа за същинското функциониране на оперативната група. През втората фаза се подкрепят дейностите за осъществяване на сътрудничеството и преките дейности и инвестиции за изпълнение на иновативния проект. Продължителността на втората фаза се посочва и обосновава в зависимост от иновативното предложение и очакваните резултати. При кандидатстване за подкрепа оперативните групи преценяват дали ще изпълняват проекта с първа и втора фаза или ще изпълняват проекта само по втората фаза.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Подборът на проекти се извършва за всяка фаза отделно по две обяви, съответно за проекти с първа фаза и за проекти само с втора фаза. Процедурите за подбор за описани в </w:t>
            </w:r>
            <w:r>
              <w:rPr>
                <w:rFonts w:ascii="Times New Roman" w:eastAsia="Times New Roman" w:hAnsi="Times New Roman" w:cs="Times New Roman"/>
                <w:b/>
                <w:bCs/>
                <w:szCs w:val="24"/>
              </w:rPr>
              <w:t>част 8.2.14.7.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групи се задължават да разпространяват резултатите от своите проекти по-специално чрез мрежата за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подмярката е във връзка със законодателството на ЕС в областта на опазването на околната среда и биоразнообразието, опазване на почвите, управление на водите, безопасност на храните.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подмярката са оперативни групи в рамките на ЕПИ за селскостопанска производителност и устойчивост, които изпълняват конкретен иновативен проект.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Всяка оперативна група се създава като дружество по Закона за задълженията и договорите. Членовете на оперативната група подписват договор за дружество по чл.357 от Закона за задълженията и договорите. В договора задължително се посочват следните условия: права и задължения на членовете; разпределение на отговорностите; процедура по взимане на решения, включително определяне на водещ член на оперативната група, който ще отговаря за организацията и исканията за плащане; в случаите на инвестиция се посочва кой ще осигурява частното финансиране и кой ще стане собственик на инвестицията, след като проектът бъде завършен в случай,че инвестицията продължава да има стойност.</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мярката се отпуска като обща сума, която покрива разходите за проучвания, за сътрудничеството и разходите за изпълнение на проекти с размер на сумата  по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Проучвания за приложимост на иновативния проект – 5 000 евро на година за оперативна група – допустими само за първа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Стимулиране на интерес и разширяване на оперативната група – 10 000 евро на година за оперативна група – допустими само за първа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Текущи разходи във връзка със сътрудничеството – 35 000 евро на година за оперативна група – допустими само за втора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Преки разходи за изпълнение на иновативния проект, включително разходи за инвестиции – съгласно представен инвестиционен план. – допустими само за втора фаза на изпълнение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разходи за инвестиции, които са свързани с производството, преработката и/или маркетинга на продукти, включени в Анекс 1 на ДФЕС или памук, с изключение на риба и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е ограничена до максимален период от пет години. Конкретната продължителност за всеки проект се обосновава в зависимост от иновативното предложение и очакваните резултати.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групи трябва да отговарят на следните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са сформирани от минимум два субекта, които са лица или организации от следния вид: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диагностичен научноизследователски ветеринарномедицински институт, Център за оценка на риска по хранителната верига, Научни институти или опитни станции, които извършват научни изследвания и научно обслужване в областта на селското стопанство или горското стопанство или биотехнологиите или хранителните технологии и да са организации по Закона за Селскостопанската академия, Закона за Българската академия на науките;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Производители на ветеринарно медицински продукти;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Висши училища, акредитирани по Закона за висшето образование с актуални акредитации по професионални направления  „Растениевъдство“, „Растителна защита“, “Животновъдство“ „Ветеринарна медицина“, „Горско стопанство“, „Хранителни технологии“, „Биотехнологии“, „Науки за земята“.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Неправителствени организации с предмет на дейност в областта на селското стопанство или в областта на горското стопанство или в областта на опазване на околната среда или в областта на водите.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Земеделски стопани;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МСП в областта на преработката на храни;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Консултантска организация с предмет на консултантската дейност в областта на селското стопанство или храните.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Участието на земеделски стопани в оперативната група е задължително.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представят план, който съдържа следното: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иновативния проект, който ще се разработва, изпитва, адаптира или изпълнява. В описанието се посочват цел, основни дейности и очаквани практически резултати;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приноса на очакваните резултати към целите на ЕПИ  за селскостопанска производителност и устойчивост;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Фази за изпълнение на иновативния проект и дейности във всяка фаза.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представят вътрешни процедури за вземане на решения за разработването и изпълнението на иновативни действия, включително разпределяне на отговорностите.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представят описание на формите и методите за разпространение на резултатите от своя проект по-специално чрез мрежата за ЕПИ, както и други информационни канали.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При подбор на проекти </w:t>
            </w:r>
            <w:r>
              <w:rPr>
                <w:rFonts w:ascii="Times New Roman" w:eastAsia="Times New Roman" w:hAnsi="Times New Roman" w:cs="Times New Roman"/>
                <w:szCs w:val="24"/>
                <w:u w:val="single"/>
              </w:rPr>
              <w:t>за първа фаза</w:t>
            </w:r>
            <w:r>
              <w:rPr>
                <w:rFonts w:ascii="Times New Roman" w:eastAsia="Times New Roman" w:hAnsi="Times New Roman" w:cs="Times New Roman"/>
                <w:szCs w:val="24"/>
              </w:rPr>
              <w:t xml:space="preserve"> ще се прилагат критерии, базирани на следните принципи: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1.Оценка на степента на принос на иновативния проект за прилагане и разпространение на нови продукти, процеси и практики в следните области:</w:t>
            </w:r>
          </w:p>
          <w:p>
            <w:pPr>
              <w:numPr>
                <w:ilvl w:val="0"/>
                <w:numId w:val="47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производителносттта в стопанството и ефективно използване на ресурсите;</w:t>
            </w:r>
          </w:p>
          <w:p>
            <w:pPr>
              <w:numPr>
                <w:ilvl w:val="0"/>
                <w:numId w:val="47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Нови продукти и услуги за разширяване на пазарните възможности за първичното селскостопанско производство; </w:t>
            </w:r>
          </w:p>
          <w:p>
            <w:pPr>
              <w:numPr>
                <w:ilvl w:val="0"/>
                <w:numId w:val="47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Биоразнообразие, екосистемни услуги и функционалност на почвите и Натура 2000;</w:t>
            </w:r>
          </w:p>
          <w:p>
            <w:pPr>
              <w:numPr>
                <w:ilvl w:val="0"/>
                <w:numId w:val="47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Производство на качествени и безопасни храни и здравословен начин на живот;</w:t>
            </w:r>
          </w:p>
          <w:p>
            <w:pPr>
              <w:numPr>
                <w:ilvl w:val="0"/>
                <w:numId w:val="47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Ефективно и ефикасно управление на водите в селското стопанство и опазване от вредното въздействие на водите в земеделските земи.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Оценка на капацитета на оперативната група за изпълнението на целите на иновативния проект.Оценката се извършва на базата на  количествените и качествени характеристики на оперативната група, включително научен опит, консултантски опит и практически опит;</w:t>
            </w:r>
          </w:p>
          <w:p>
            <w:pPr>
              <w:spacing w:before="240" w:after="240"/>
              <w:ind w:left="600"/>
              <w:jc w:val="left"/>
              <w:rPr>
                <w:rFonts w:ascii="Times New Roman" w:eastAsia="Times New Roman" w:hAnsi="Times New Roman" w:cs="Times New Roman"/>
                <w:szCs w:val="24"/>
              </w:rPr>
            </w:pPr>
            <w:r>
              <w:rPr>
                <w:rFonts w:ascii="Times New Roman" w:eastAsia="Times New Roman" w:hAnsi="Times New Roman" w:cs="Times New Roman"/>
                <w:szCs w:val="24"/>
              </w:rPr>
              <w:t>Ще се определи минимален брой точки за класиране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оперативни групи, изпълнявали </w:t>
            </w:r>
            <w:r>
              <w:rPr>
                <w:rFonts w:ascii="Times New Roman" w:eastAsia="Times New Roman" w:hAnsi="Times New Roman" w:cs="Times New Roman"/>
                <w:szCs w:val="24"/>
                <w:u w:val="single"/>
              </w:rPr>
              <w:t>проекти с първа фаза</w:t>
            </w:r>
            <w:r>
              <w:rPr>
                <w:rFonts w:ascii="Times New Roman" w:eastAsia="Times New Roman" w:hAnsi="Times New Roman" w:cs="Times New Roman"/>
                <w:szCs w:val="24"/>
              </w:rPr>
              <w:t xml:space="preserve"> за подбора за изпълнение на втората фаза по специална обява за такива групи  ще се прилагат критерии, базирани на следните принципи:</w:t>
            </w:r>
          </w:p>
          <w:p>
            <w:pPr>
              <w:spacing w:before="240" w:after="240"/>
              <w:ind w:left="600"/>
              <w:jc w:val="left"/>
              <w:rPr>
                <w:rFonts w:ascii="Times New Roman" w:eastAsia="Times New Roman" w:hAnsi="Times New Roman" w:cs="Times New Roman"/>
                <w:szCs w:val="24"/>
              </w:rPr>
            </w:pPr>
            <w:r>
              <w:rPr>
                <w:rFonts w:ascii="Times New Roman" w:eastAsia="Times New Roman" w:hAnsi="Times New Roman" w:cs="Times New Roman"/>
                <w:szCs w:val="24"/>
              </w:rPr>
              <w:t>1.Оценка на прилагането на интерактивния подход и на приложимостта на резултатите от иновативния проект за първичното производство на земеделска продукция или преработката;</w:t>
            </w:r>
          </w:p>
          <w:p>
            <w:pPr>
              <w:spacing w:before="240" w:after="240"/>
              <w:ind w:left="600"/>
              <w:jc w:val="left"/>
              <w:rPr>
                <w:rFonts w:ascii="Times New Roman" w:eastAsia="Times New Roman" w:hAnsi="Times New Roman" w:cs="Times New Roman"/>
                <w:szCs w:val="24"/>
              </w:rPr>
            </w:pPr>
            <w:r>
              <w:rPr>
                <w:rFonts w:ascii="Times New Roman" w:eastAsia="Times New Roman" w:hAnsi="Times New Roman" w:cs="Times New Roman"/>
                <w:szCs w:val="24"/>
              </w:rPr>
              <w:t>2. Оценка на очаквания ефект от планираните форми и методи за разпространение на резултатите за достигане до широк кръг земеделски стопани. </w:t>
            </w:r>
          </w:p>
          <w:p>
            <w:pPr>
              <w:spacing w:before="240" w:after="240"/>
              <w:ind w:left="600"/>
              <w:jc w:val="left"/>
              <w:rPr>
                <w:rFonts w:ascii="Times New Roman" w:eastAsia="Times New Roman" w:hAnsi="Times New Roman" w:cs="Times New Roman"/>
                <w:szCs w:val="24"/>
              </w:rPr>
            </w:pPr>
            <w:r>
              <w:rPr>
                <w:rFonts w:ascii="Times New Roman" w:eastAsia="Times New Roman" w:hAnsi="Times New Roman" w:cs="Times New Roman"/>
                <w:szCs w:val="24"/>
              </w:rPr>
              <w:t>Ще се определи минимален брой точки за класиране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подбора на оперативни групи, които кандидатстват по обява за проекти само с втора фаза се прилагат и четирите вида критерии. Ще се определи минимален брой точки за класиране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разходите за проучвания, разходите за стимулиране на интерес и за текущите разходи във връзка със сътрудничеството максималният интензитет на помощта е 100%.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Максималната ставка на помощта е 70% от размера на допустимите инвестиции в случаите, когато видът на инвестициите в рамките на преките разходи в осъществявания проект попадат в обхвата на подмерки 4.1 или 4.2.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Максималната ставка на помощта е 100 % в случаите на неинвестциионни преки разходи и в случаите на инвестиции в рамките на преките разходи в осъществявания проект, които отговарят кумулативно на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Инвестицията се прави само в контекста на конкретния проект за определения срок на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Подкрепата не покрива пълното придобиване на активи, а по-скоро само тяхното използване / амортизация за целия период на конкретния проект (изчислена съгласно нормалната добрата счетоводна практика) и намалена в зависимост от степента на използването му за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инвестицията не е направена в подобряване на недвижимо имущество;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Ако тези условия са изпълнени, степента на подкрепа на 100% ще се прилага по отношение на разходите за ползване / обезценката на активи, както е посочено по-горе – но не за цялата стойност на активите.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една оперативна група за един проект е 2 000 000 евро.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преки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7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преките разходи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47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преки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475"/>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дейностите, при които помощта ще се предоставя под формата на стандартни разходи, ще бъде създаден механизъм за извършване на контрол на съответствие на заявените разходи с допустимите;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чрез въвеждане на кръстосани проверки за установяване наличието на двойно финансиране в рамките на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стойността на разходите за проучвания, разходите за стимулиране на интерес и за текущите разходи във връзка със сътрудничеството за всяка оперативна група ще се базира на стандартни разходи, съгласно чл. 67, параграф 1, буква б) от Регламент (ЕС) № 1303/2013. При определянето на стандартните изчисления за разходите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единните ставки, стандартните таблици на единичните разходи и еднократните суми по подмярка 16.1 се основава на пазарни проучвания на цените, които могат да бъдат проверени. Всички доказателствени материали са представени в приложение към методиката. Подходът на изчисление е пазарен, т.е. използван е метод на сравнителните анализи. При този метод за оценка стойността се определя чрез пряко сравнение на пазарни цени на продукти или услуги със сходни характеристики, към определен момент. Методологията, използвана за обработка и анализ на получената информация, както и извеждане и тестване на индикативни нива на опростени разходи, по определените видове допустими разходи е определена на база на изискванията, дефинирани от ЕК в „Указанията за опростените варианти за разходите“.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разработването на конкретните стойности на ставките са приложени стандартни методи на статистически и финансов анализ, с широко приложение при икономически и други проучвания. Целта е да се използват общоприети и надеждни методи за анализ, за да се достигне до резултати и заключения, които:</w:t>
            </w:r>
          </w:p>
          <w:p>
            <w:pPr>
              <w:numPr>
                <w:ilvl w:val="0"/>
                <w:numId w:val="47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проверими и възпроизведими (при нужда със същите, разширени или нови данни);</w:t>
            </w:r>
          </w:p>
          <w:p>
            <w:pPr>
              <w:numPr>
                <w:ilvl w:val="0"/>
                <w:numId w:val="47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с практиката за разработване на опростени разходи и в други страни-членки за анализ и извеждане на опростени разходи;</w:t>
            </w:r>
          </w:p>
          <w:p>
            <w:pPr>
              <w:numPr>
                <w:ilvl w:val="0"/>
                <w:numId w:val="47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имат добро покритие на наблюдения;</w:t>
            </w:r>
          </w:p>
          <w:p>
            <w:pPr>
              <w:numPr>
                <w:ilvl w:val="0"/>
                <w:numId w:val="47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подкрепени и от пазарните условия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изследването са използвани елементи на дескриптивната статистика. Чрез нея се постига количествено описание на основните характеристики на извадката (и съответно съвкупността). Статистическите средни величини представляват обобщаващи числови характеристики на общото на единиците в съответната съвкупност. Статистическите средни величини, които са ползвани в анализа, са средна аритметична величина: сумата на стойностите разделен на броя на стойностите (обичаен метод за изчисление при негрупирани данни); Формула за средна аритметична: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(Фиг.1)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данните включени в индикативните нива на опростените разходи са на база  нормативни документи и или официална статистика (разходи за електроенергия, цена на вода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Използваната методология включва</w:t>
            </w:r>
            <w:r>
              <w:rPr>
                <w:rFonts w:ascii="Times New Roman" w:eastAsia="Times New Roman" w:hAnsi="Times New Roman" w:cs="Times New Roman"/>
                <w:szCs w:val="24"/>
              </w:rPr>
              <w:t>:                                          </w:t>
            </w:r>
          </w:p>
          <w:p>
            <w:pPr>
              <w:numPr>
                <w:ilvl w:val="0"/>
                <w:numId w:val="47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описанието на метода на изчисление, в това число основните етапи на изчислението;</w:t>
            </w:r>
          </w:p>
          <w:p>
            <w:pPr>
              <w:numPr>
                <w:ilvl w:val="0"/>
                <w:numId w:val="4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източниците на данните, които са използвани за анализа и изчислението, включително оценка на значението на данните по отношение на предвидените операции и оценка на качеството им;</w:t>
            </w:r>
          </w:p>
          <w:p>
            <w:pPr>
              <w:numPr>
                <w:ilvl w:val="0"/>
                <w:numId w:val="4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самото изчисление за определяне на съответната стойност на единната ставка на размерите на сумите за финансиране на дейности за организация и управление на проекти;</w:t>
            </w:r>
          </w:p>
          <w:p>
            <w:pPr>
              <w:numPr>
                <w:ilvl w:val="0"/>
                <w:numId w:val="4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мотивите за избор на данни в съвкупността, на база на които ще бъде определена единната ставка;</w:t>
            </w:r>
          </w:p>
          <w:p>
            <w:pPr>
              <w:numPr>
                <w:ilvl w:val="0"/>
                <w:numId w:val="47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декомпозиране на единичните разходи по видове и изчисляване на опростени разходи според заданието.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Етапи на избор и прилагане на методология: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 Набиране на информация</w:t>
            </w:r>
          </w:p>
          <w:p>
            <w:pPr>
              <w:numPr>
                <w:ilvl w:val="0"/>
                <w:numId w:val="47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 на изследвания обект;</w:t>
            </w:r>
          </w:p>
          <w:p>
            <w:pPr>
              <w:numPr>
                <w:ilvl w:val="0"/>
                <w:numId w:val="47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посочване на критерии за попадане в извадката;</w:t>
            </w:r>
          </w:p>
          <w:p>
            <w:pPr>
              <w:numPr>
                <w:ilvl w:val="0"/>
                <w:numId w:val="47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емпирично изследване.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2. Обработка на информацията                                                        </w:t>
            </w:r>
          </w:p>
          <w:p>
            <w:pPr>
              <w:numPr>
                <w:ilvl w:val="0"/>
                <w:numId w:val="47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информацията в електронна среда;</w:t>
            </w:r>
          </w:p>
          <w:p>
            <w:pPr>
              <w:numPr>
                <w:ilvl w:val="0"/>
                <w:numId w:val="47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източниците и доказателствения материал;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 Статистически анализ</w:t>
            </w:r>
          </w:p>
          <w:p>
            <w:pPr>
              <w:numPr>
                <w:ilvl w:val="0"/>
                <w:numId w:val="48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дискриптивна статистика;</w:t>
            </w:r>
          </w:p>
          <w:p>
            <w:pPr>
              <w:numPr>
                <w:ilvl w:val="0"/>
                <w:numId w:val="4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средни величини;</w:t>
            </w:r>
          </w:p>
          <w:p>
            <w:pPr>
              <w:numPr>
                <w:ilvl w:val="0"/>
                <w:numId w:val="4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исторически и системен подход;</w:t>
            </w:r>
          </w:p>
          <w:p>
            <w:pPr>
              <w:numPr>
                <w:ilvl w:val="0"/>
                <w:numId w:val="4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нормативен подход;</w:t>
            </w:r>
          </w:p>
          <w:p>
            <w:pPr>
              <w:numPr>
                <w:ilvl w:val="0"/>
                <w:numId w:val="48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4. Резултати</w:t>
            </w:r>
          </w:p>
          <w:p>
            <w:pPr>
              <w:numPr>
                <w:ilvl w:val="0"/>
                <w:numId w:val="48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извеждане на единична цена за определения разход;</w:t>
            </w:r>
          </w:p>
          <w:p>
            <w:pPr>
              <w:numPr>
                <w:ilvl w:val="0"/>
                <w:numId w:val="48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извеждане на разходи, заложени в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са извършени от екип на Университета за национално и световно стопанство (УНСС), който е функционално независим орган от Министерство на земеделието и храните и Държавен фонд „Земеделие“, съгласно чл. 62 , пар.2 от регламент 1305/2013.</w:t>
            </w:r>
          </w:p>
          <w:p>
            <w:pPr>
              <w:pStyle w:val="BodyText"/>
              <w:jc w:val="both"/>
              <w:rPr>
                <w:b w:val="0"/>
              </w:rPr>
            </w:pPr>
          </w:p>
          <w:p>
            <w:pPr>
              <w:pStyle w:val="BodyText3"/>
              <w:jc w:val="center"/>
              <w:rPr>
                <w:b w:val="0"/>
              </w:rPr>
            </w:pPr>
            <w:r>
              <w:rPr>
                <w:b w:val="0"/>
              </w:rPr>
              <w:drawing>
                <wp:inline>
                  <wp:extent cx="4724400" cy="1771650"/>
                  <wp:docPr id="10001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
                          <pic:cNvPicPr>
                            <a:picLocks noChangeAspect="1"/>
                          </pic:cNvPicPr>
                        </pic:nvPicPr>
                        <pic:blipFill>
                          <a:blip xmlns:r="http://schemas.openxmlformats.org/officeDocument/2006/relationships" r:embed="rId19"/>
                          <a:stretch>
                            <a:fillRect/>
                          </a:stretch>
                        </pic:blipFill>
                        <pic:spPr>
                          <a:xfrm>
                            <a:off x="0" y="0"/>
                            <a:ext cx="4724400" cy="1771650"/>
                          </a:xfrm>
                          <a:prstGeom prst="rect">
                            <a:avLst/>
                          </a:prstGeom>
                        </pic:spPr>
                      </pic:pic>
                    </a:graphicData>
                  </a:graphic>
                </wp:inline>
              </w:drawing>
            </w:r>
          </w:p>
          <w:p>
            <w:pPr>
              <w:pStyle w:val="Footer"/>
              <w:jc w:val="center"/>
              <w:rPr>
                <w:b w:val="0"/>
              </w:rPr>
            </w:pPr>
            <w:r>
              <w:rPr>
                <w:b w:val="0"/>
              </w:rPr>
              <w:t>Фиг1</w:t>
            </w:r>
          </w:p>
          <w:p>
            <w:pPr>
              <w:pStyle w:val="Footer"/>
              <w:jc w:val="center"/>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характеристиките на пилотните проекти, клъстерите, мрежите, късите вериги на доставки и местните пазари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Неприложимо</w:t>
            </w:r>
          </w:p>
          <w:p>
            <w:pPr>
              <w:pStyle w:val="BodyText"/>
              <w:jc w:val="both"/>
              <w:rPr>
                <w:b w:val="0"/>
              </w:rPr>
            </w:pPr>
          </w:p>
        </w:tc>
      </w:tr>
    </w:tbl>
    <w:p>
      <w:pPr>
        <w:pStyle w:val="Heading5"/>
        <w:jc w:val="left"/>
        <w:rPr>
          <w:b w:val="0"/>
        </w:rPr>
      </w:pPr>
      <w:r>
        <w:rPr>
          <w:b w:val="0"/>
        </w:rPr>
        <w:br w:type="page"/>
      </w:r>
      <w:r>
        <w:rPr>
          <w:b w:val="0"/>
        </w:rPr>
        <w:t>Подмярка 16.4. Подкрепа за хоризонтално и вертикално сътрудничество между участниците във веригата на доставки.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482"/>
              </w:numPr>
              <w:rPr>
                <w:b w:val="0"/>
              </w:rPr>
            </w:pPr>
            <w:r>
              <w:rPr>
                <w:b w:val="0"/>
              </w:rPr>
              <w:t>16.4 — подпомагане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и за дейности на местно равнище за популяризиране, свързани с развитието на късите вериги на доставки и местните пазари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е насочено към къси вериги на доставки и местни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определянето на късите вериги на доставки се прилага т.56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„къса верига на доставки“ означава верига на доставки, в която участват ограничен брой икономически оператори, поели ангажимент да си сътрудничат и посветени на местното икономическо развитие и близките териториални и социални отношения между производители, преработвателни и потребители. За определянето на местни пазари се прилага т.60, буква (а)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„местни пазари“ означава пазари в радиус от 75 км от стопанството на произход на продукта, в който радиус трябва да се осъществяват, както преработката, така и продажбата му на крайния потребител.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е в съответствие с условията на Закона за храните и Наредба №26 от 14.10.2010 г. за специфичните изисквания за директните доставки на малки количества суровини и храни от животински произход.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организации, които изпълняват колективни проекти и се определят за нуждите на подмярката като: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Обединение за къса верига на доставки или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Обединение за местен пазар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създаване и развитие на къси вериги на доставки и за създаване и развитие на местни пазари, съгласно определенията в подмярката. Подпомагането обхваща само къси вериги на доставки, които включват не повече от един посредник между земеделския стопанин и потребителя.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 се помощ и за дейности за популяризиране на къси вериги на доставки и на местни пазари, които отговарят на определенията в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са допустими за подпомагане дейности за популяризиране трябва да изпълняват минимум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уведомяват потенциалните потребители, че дадена къса верига на доставки или даден местен пазар съществуват;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представят ползите от покупките от конкретна къса верига на доставки или конкретен местен пазар;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подпомагането за популяризиране е част от проект за развиването на конкретна къса верига на доставки или на конкретен местен пазар.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Финансирането на обединение за къса верига на доставки или обединение за местен пазар може да обхваща две фази: фаза на сформиране на обединението и фаза на функциониране на обединението. Условията за двете фази отговарят на изискванията посочени за подмярка 16.1 в т. 8.2.14.3.1.2.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подмярката е в съответствие с европейското и националното законодателство в областта на животновъдството, хигиена и безопасност на храните, ветеринарномедицинската дейност, законодателство свързано със специфичните изисквания за директни доставки на малки количества суровини и храни от животински произход, както и Насоки на Европейския съюз за държавната помощ в секторите на селското и горското стопанство и в селските райони за периода  2014-2020 г. (2014/C 204/01).</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са организации, съставени от земеделски стопани, МСП или търговци на дребно, които извършват своите дейности в обхвата на конкретна къса верига на доставки или в обхвата на конкретен местен пазар. Организациите могат да бъдат юридически лица по Търговския закон или обединения по Закона за задълженията и договорите, които осъществяват хоризонтално и вертикално сътрудничество за изграждането и развитието къси вериги на доставки или за изграждането и развитието на  местни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кандидатстване за подкрепа по подмярката организациите се определят като„Обединение за къса верига на доставки” като се добавя и конкретно име или  „Обединение за местен пазар” като се добавя и конкретно име, с цел идентифициране при дейностите за популяризиране.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по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Проучвания за приложимост на проекта за сътрудничество – 5 000 евро на година за обединение за къса верига на доставки или обединение за местен пазар- допустими само за първа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Стимулиране на интерес и разширяване на състава – 10 000 евро на година за обединение за къса верига на доставки или обединение за местен пазар- допустими само за първа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Текущи разходи във връзка със сътрудничеството – 35 000 евро на година за обединение за къса верига на доставки или обединение за местен пазар- допустими само за втора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популяризиране – 20 000 евро на година за  обединение за къса верига на доставки или обединение за местен пазар- допустими само за втора фаза на изпълнение;</w:t>
            </w:r>
          </w:p>
          <w:p>
            <w:pPr>
              <w:numPr>
                <w:ilvl w:val="0"/>
                <w:numId w:val="48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Преки разходи за изпълнение на проект за сътрудничество, включително разходи за инвестиции – съгласно представен инвестиционен план.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са допустими за подпомагане бенефициентите трябва да отговарят на следните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са обединение за къса верига на доставки или обединение за местен пазар, съгласно изискванията, посочени в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Участниците в обединението да отговарят  на поне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Земеделски стопани, включително групи и организации на производители;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МСП;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Търговци на дребно;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Участието на земеделските стопани е задължително.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представят колективен  проект за сътрудничество, в който е посочено следното: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Териториален обхват на действие на късата верига на доставки или на местния пазар;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Брой и вид на участниците в сътрудничеството;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Дейности, които ще се извършват от обединението;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Продукти, включени в предмета на сътрудничеството;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Бизнес план за изпълнение на дейностите;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Инвестиционен план за осъществяване на сътрудничеството;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План за популяризиране.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Договор за създаване на обединението.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избор се базират на следните принципи и характеристики: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териториалния обхват на проекта </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които се изпълняват в планински и полупланински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участниците  в проекта</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в които са включени малки стопанства, съгласно определението в тематичната подпрограма и/ или признати групи или организации на производители. Приоритетът ще бъде с тежест при избора 50%.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видовете  продукти, включени в обхвата на сътрудничеството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които са за секторите производство или преработка на плодове и зеленчуци и/или производство и преработка на продукти от животински произход.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определи минимален брой точки за класиране на проектите.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разходите за проучвания, разходите за стимулиране на интерес и приобщаване към сътрудничеството и за текущите разходи максималният интензитет на помощта е 50%, съгласно част 3.10 от Насоки на Европейския съюз за държавната помощ в секторите на селското и горското стопанство и в селските райони за периода  2014-2020 г. (2014/C 204/01) и ще бъде в съответствие с нотифицирана държавна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преките разходи за изпълнението на проекта максималният интензитет на помощта в случай на преки разходи, които могат да бъдат покрити от друга мярка за развитие на селските райони, същият като максималния по тази мярка и в съответствие с нотифицирана държавна помощ по същата мярка. В други случаи в съответствие с нотифицирана държавна помощ по схемата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 допустимият размер на помощта за периода на прилагане на програмата е  500 000 евро и ще бъде в съответствие с нотифицирана държавна помощ.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преки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неподходящ избор на бенефициенти, които не отговарят на условията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8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преките разходи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48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484"/>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дейностите, при които помощта ще се предоставя под формата на стандартни разходи, ще бъде създаден механизъм за извършване на контрол на съответствие на заявените разходи с допустимите;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чрез въвеждане на кръстосани проверки за установяване наличието на двойно финансиране в рамките на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На база придобития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стойността на разходите за проучвания, разходите за стимулиране на интерес и за текущите разходи във връзка със сътрудничеството за всяка оперативна група ще се базира на стандартни разходи, съгласно чл. 67, параграф 1, буква б) от Регламент (ЕС) № 1303/2013. При определянето на стандартните изчисления за разходите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единните ставки, стандартните таблици на единичните разходи и еднократните суми по подмярка 16.4 се основава на пазарни проучвания на цените, които могат да бъдат проверени. Всички доказателствени материали са представени в приложение към методиката. Подходът на изчисление е пазарен, т.е. използван е метод на сравнителните анализи. При този метод за оценка стойността се определя чрез пряко сравнение на пазарни цени на продукти или услуги със сходни характеристики, към определен момент. Методологията, използвана за обработка и анализ на получената информация, както и извеждане и тестване на индикативни нива на опростени разходи, по определените видове допустими разходи е определена на база на изискванията, дефинирани от ЕК в „Указанията за опростените варианти за разходите“.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разработването на конкретните стойности на ставките са приложени стандартни методи на статистически и финансов анализ, с широко приложение при икономически и други проучвания. Целта е да се използват общоприети и надеждни методи за анализ, за да се достигне до резултати и заключения, които:</w:t>
            </w:r>
          </w:p>
          <w:p>
            <w:pPr>
              <w:numPr>
                <w:ilvl w:val="0"/>
                <w:numId w:val="48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проверими и възпроизведими (при нужда със същите, разширени или нови данни);</w:t>
            </w:r>
          </w:p>
          <w:p>
            <w:pPr>
              <w:numPr>
                <w:ilvl w:val="0"/>
                <w:numId w:val="4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с практиката за разработване на опростени разходи и в други страни-членки за анализ и извеждане на опростени разходи;</w:t>
            </w:r>
          </w:p>
          <w:p>
            <w:pPr>
              <w:numPr>
                <w:ilvl w:val="0"/>
                <w:numId w:val="4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имат добро покритие на наблюдения;</w:t>
            </w:r>
          </w:p>
          <w:p>
            <w:pPr>
              <w:numPr>
                <w:ilvl w:val="0"/>
                <w:numId w:val="48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подкрепени и от пазарните условия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изследването са използвани елементи на дескриптивната статистика. Чрез нея се постига количествено описание на основните характеристики на извадката (и съответно съвкупността). Статистическите средни величини представляват обобщаващи числови характеристики на общото на единиците в съответната съвкупност. Статистическите средни величини, които са ползвани в анализа, са средна аритметична величина: сумата на стойностите разделен на броя на стойностите (обичаен метод за изчисление при негрупирани данни); Формула за средна аритметична: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(Фиг1)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данните включени в индикативните нива на опростените разходи са на база  нормативни документи и или официална статистика (разходи за електроенергия, цена на вода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Използваната методология включва</w:t>
            </w:r>
            <w:r>
              <w:rPr>
                <w:rFonts w:ascii="Times New Roman" w:eastAsia="Times New Roman" w:hAnsi="Times New Roman" w:cs="Times New Roman"/>
                <w:szCs w:val="24"/>
              </w:rPr>
              <w:t>:</w:t>
            </w:r>
          </w:p>
          <w:p>
            <w:pPr>
              <w:numPr>
                <w:ilvl w:val="0"/>
                <w:numId w:val="48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описанието на метода на изчисление, в това число основните етапи на изчислението;</w:t>
            </w:r>
          </w:p>
          <w:p>
            <w:pPr>
              <w:numPr>
                <w:ilvl w:val="0"/>
                <w:numId w:val="4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източниците на данните, които са използвани за анализа и изчислението, включително оценка на значението на данните по отношение на предвидените операции и оценка на качеството им;</w:t>
            </w:r>
          </w:p>
          <w:p>
            <w:pPr>
              <w:numPr>
                <w:ilvl w:val="0"/>
                <w:numId w:val="4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самото изчисление за определяне на съответната стойност на единната ставка на размерите на сумите за финансиране на дейности за организация и управление на проекти;</w:t>
            </w:r>
          </w:p>
          <w:p>
            <w:pPr>
              <w:numPr>
                <w:ilvl w:val="0"/>
                <w:numId w:val="4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мотивите за избор на данни в съвкупността, на база на които ще бъде определена единната ставка;</w:t>
            </w:r>
          </w:p>
          <w:p>
            <w:pPr>
              <w:numPr>
                <w:ilvl w:val="0"/>
                <w:numId w:val="48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декомпозиране на единичните разходи по видове и изчисляване на опростени разходи според заданието.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Етапи на избор и прилагане на методология: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 Набиране на информация</w:t>
            </w:r>
          </w:p>
          <w:p>
            <w:pPr>
              <w:numPr>
                <w:ilvl w:val="0"/>
                <w:numId w:val="48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 на изследвания обект;</w:t>
            </w:r>
          </w:p>
          <w:p>
            <w:pPr>
              <w:numPr>
                <w:ilvl w:val="0"/>
                <w:numId w:val="4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посочване на критерии за попадане в извадката;</w:t>
            </w:r>
          </w:p>
          <w:p>
            <w:pPr>
              <w:numPr>
                <w:ilvl w:val="0"/>
                <w:numId w:val="48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емпирично изследване.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2. Обработка на информацията</w:t>
            </w:r>
          </w:p>
          <w:p>
            <w:pPr>
              <w:numPr>
                <w:ilvl w:val="0"/>
                <w:numId w:val="48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информацията в електронна среда;</w:t>
            </w:r>
          </w:p>
          <w:p>
            <w:pPr>
              <w:numPr>
                <w:ilvl w:val="0"/>
                <w:numId w:val="48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източниците и доказателствения материал;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 Статистически анализ</w:t>
            </w:r>
          </w:p>
          <w:p>
            <w:pPr>
              <w:numPr>
                <w:ilvl w:val="0"/>
                <w:numId w:val="48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дискриптивна статистика;</w:t>
            </w:r>
          </w:p>
          <w:p>
            <w:pPr>
              <w:numPr>
                <w:ilvl w:val="0"/>
                <w:numId w:val="4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средни величини;</w:t>
            </w:r>
          </w:p>
          <w:p>
            <w:pPr>
              <w:numPr>
                <w:ilvl w:val="0"/>
                <w:numId w:val="4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исторически и системен подход;</w:t>
            </w:r>
          </w:p>
          <w:p>
            <w:pPr>
              <w:numPr>
                <w:ilvl w:val="0"/>
                <w:numId w:val="4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нормативен подход;</w:t>
            </w:r>
          </w:p>
          <w:p>
            <w:pPr>
              <w:numPr>
                <w:ilvl w:val="0"/>
                <w:numId w:val="48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4. Резултати</w:t>
            </w:r>
          </w:p>
          <w:p>
            <w:pPr>
              <w:numPr>
                <w:ilvl w:val="0"/>
                <w:numId w:val="49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извеждане на единична цена за определения разход;</w:t>
            </w:r>
          </w:p>
          <w:p>
            <w:pPr>
              <w:numPr>
                <w:ilvl w:val="0"/>
                <w:numId w:val="49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извеждане на разходи, заложени в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са извършени от екин на Университета за национално и световно стопанство (УНСС), който е функционално независим орган от Министерство на земеделието и храните и Държавен фонд „Земеделие“, съгласно чл. 62 , пар.2 от регламент 1305/2013.</w:t>
            </w:r>
          </w:p>
          <w:p>
            <w:pPr>
              <w:pStyle w:val="BodyText"/>
              <w:jc w:val="both"/>
              <w:rPr>
                <w:b w:val="0"/>
              </w:rPr>
            </w:pPr>
          </w:p>
          <w:p>
            <w:pPr>
              <w:pStyle w:val="BodyText3"/>
              <w:jc w:val="center"/>
              <w:rPr>
                <w:b w:val="0"/>
              </w:rPr>
            </w:pPr>
            <w:r>
              <w:rPr>
                <w:b w:val="0"/>
              </w:rPr>
              <w:drawing>
                <wp:inline>
                  <wp:extent cx="4724400" cy="1771650"/>
                  <wp:docPr id="10002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
                          <pic:cNvPicPr>
                            <a:picLocks noChangeAspect="1"/>
                          </pic:cNvPicPr>
                        </pic:nvPicPr>
                        <pic:blipFill>
                          <a:blip xmlns:r="http://schemas.openxmlformats.org/officeDocument/2006/relationships" r:embed="rId19"/>
                          <a:stretch>
                            <a:fillRect/>
                          </a:stretch>
                        </pic:blipFill>
                        <pic:spPr>
                          <a:xfrm>
                            <a:off x="0" y="0"/>
                            <a:ext cx="4724400" cy="1771650"/>
                          </a:xfrm>
                          <a:prstGeom prst="rect">
                            <a:avLst/>
                          </a:prstGeom>
                        </pic:spPr>
                      </pic:pic>
                    </a:graphicData>
                  </a:graphic>
                </wp:inline>
              </w:drawing>
            </w:r>
          </w:p>
          <w:p>
            <w:pPr>
              <w:pStyle w:val="Footer"/>
              <w:jc w:val="center"/>
              <w:rPr>
                <w:b w:val="0"/>
              </w:rPr>
            </w:pPr>
            <w:r>
              <w:rPr>
                <w:b w:val="0"/>
              </w:rPr>
              <w:t>Фиг1</w:t>
            </w:r>
          </w:p>
          <w:p>
            <w:pPr>
              <w:pStyle w:val="Footer"/>
              <w:jc w:val="center"/>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характеристиките на пилотните проекти, клъстерите, мрежите, късите вериги на доставки и местните пазари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на къси вериги на доставки и местни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определянето на късите вериги на доставки се прилага т.56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„къса верига на доставки“ означава верига на доставки, в която участват ограничен брой икономически оператори, поели ангажимент да си сътрудничат и посветени на местното икономическо развитие и близките териториални и социални отношения между производители, преработвателни и потребители.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определянето на местни пазари се прилага т.60, буква (а)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„местни пазари“ означава пазари в радиус от 75 км от стопанството на произход на продукта, в който радиус трябва да се осъществяват, както преработката, така и продажбата му на крайния потребител.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характеристиките на пилотните проекти, клъстерите, мрежите, късите вериги на доставки и местните пазари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 Процедури по подмярка 16.1 относно: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Набиране на заявления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избиране на оперативни групи на ЕПИ с иновативни проекти за финансиране ще се осъществява с публични обяви. Изборът на оперативните групи и одобрението на иновативните проекти се извършва от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Подборът на проекти се извършва за всяка фаза отделно по две обяви, съответно за проекти с първа фаза и за проекти само с втора фаза. Проектите класирани за първа фаза, получават финансиране само за допустимите разходи за тази фаза. Оперативни групи, кандидатствали с проекти само за втора фаза получават финансиране само за допустимите разходи за тази фаза.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 групи, изпълнявали проекти с първа фаза, кандидатстват за одобрение на разходи за изпълнение на втора фаза по специална обява за такива групи. При кандидатстване на втора фаза, оперативната група се задължава да поддържа минимум капацитета, с който е одобрена за първа фаза.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и независими експерти, с опит и специализация в областта на висшето образование, науката, иновациите или консултантската дейност в областта на  селското стопанство или храните, както и земеделски стопани с практически опит.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2. Процедури по подмярка 16.2 относно: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Набиране на заявления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избиране на клъстери с проекти за сътрудничество ще се осъществява с публични обяви. Изборът на клъстерите и одобрението на проектите за сътрудничество се извършва от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Подробният план, който се представя от клъстера трябва да съдържа следното: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Състав на клъстера – правна форма на обединението и описание на дейността на всеки участник от допустимите лица и организации;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Цел и обхват на дейностите на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Териториален обхват на действие на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икономическите и иновативни дейности, които ще се осъществяват от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и функции на споделените съоръжения в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Програма и разпределение на отговорностите за трансфера на знания, свързването в мрежа и разпространението на информация сред участниците в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Инвестиционен план за стимулиране икономическите и иновативните дейности на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Етапи за изпълнение на проекта за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и независими експерти, с опит и специализация в областта на висшето образование,    науката, иновациите или консултантската дейност в областта на  селското стопанство или храните, изготвяне или оценка на проекти за подпомагане на клъстери по други програми.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 Процедури по подмярка 16.4 относно набиране на заявления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избиране на обединение за къса верига на доставки или обединение за местен пазар за финансиране се осъществява с публични обяви. Изборът на обединение за къса верига на доставки или обединение за местен пазар и одобрението на колективни териториални проекти се извършва на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и независими експерти, с опит и специализация в областта на висшето образование,    науката, иновациите или консултантската дейност в областта на  селското стопанство или храните, изготвяне, изпълнение или оценка на проекти за къси вериги на доставки или местни пазари по други програми.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Условия за съставяне на комисии за оценка по подмерките: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Минимум половината от състава на комисията са независими експерти. По всяка обява се определя конкретен състав на комисията, като се спазват правилата за липса на конфликт на интереси. Министърът на земеделието, храните и горите одобрява, по предложение на Управляващия орган, списък от независими експерти, които могат да участват в комисиите за оценка. Предложението се представя със съответната обосновка и приложени професионални биографии. Дейностите на всяка комисия за оценка, включително възнаграждения за участие в заседанията, се подкрепят по  техническата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32" w:name="_Toc256000132"/>
      <w:r>
        <w:rPr>
          <w:b w:val="0"/>
        </w:rPr>
        <w:t>M19 — Подкрепа за местно развитие по LEADER (ВОМР — водено от общностите местно развитие) (член 35 от Регламент (ЕС) № 1303/2013)</w:t>
      </w:r>
      <w:bookmarkEnd w:id="132"/>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32-35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42-44 от Регламент (EC)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2020/2220 на Европейския парламент и на Съвета от 23 декември 2020 година за определяне на някои преходни разпоредби във връзка с подпомагането от Европейския земеделски фонд за развитие на селските райони (ЕЗФРСР) и от Европейския фонд за гарантиране на земеделието (ЕФГЗ) през 2021 г. и 2022 г. и за изменение на регламенти (ЕС) № 1305/2013, (ЕС) № 1306/2013 и (ЕС) № 1307/2013 по отношение на ресурсите и на прилагането през 2021 г. и 2022 г. и Регламент (ЕС) № 1308/2013 по отношение на ресурсите и разпределението на това подпомагане за 2021 г. и 2022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Раздел 3, т. 3.1. „Интегриран подход за териториално развитие“ от Споразумение за партньорство на Република България, очертаващо помощта от европейските структурни и инвестиционни фондове за периода 2014-2020 г.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Воденото от общностите местно развитие (ВОМР) се извършва чрез интегрирани и многосекторни стратегии за местно развитие, основани на характеристиките на конкретната територия и разработени въз основа на местните потребности и потенциал.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приоритети на ВОМР са свързани 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на социалното приобщаване и намаляване на бедността (тематична цел 9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-Интегриран подход към околната среда, чрез съхраняване и опазване на околната среда и насърчаване на ресурсната ефективност, вкл. дейности за превенция и управление на риска и за използване потенциала на културното наследство (тематични цели  5 и 6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-Фокусиране върху иновациите чрез насърчаване на въвеждането им в практиката (тематична цел  1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на устойчивата и качествена заетост и подкрепа за мобилността на работната сила (тематична цел  8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конкурентоспособността на местните икономики и възможности за създаване на местен бизнес, включително чрез диверсификация, алтернативни дейности и устойчиво производство на аквакултури (тематична цел  3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качеството на образование и повишаване квалификацията на населението (тематична цел  10 от Споразумението за партньорство).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има потенциален принос за постигане и на тематични цели, свързани с иновациите, намаляване влиянието на промените в климата и опазването на защитените зони по Натура 2000, включени в Споразумението за партньорство.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приоритетна област 6Б от Регламент (EC) № 1305/2013 основната цел на подхода е стимулиране на местното развитие в селските райони. С прилагането на подхода ВОМР УО на ПРСР цели и постигане на следните специфични цели, които могат да бъдат постигнати чрез финансиране от ЕЗФРСР: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и стимулиране на предприемачество и устойчив бизнес;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динамична жизнена среда и подобряване качеството на живот чрез развитие на хоризонтални и междусекторни партньорства и взаимодействие за инициативи от общ интерес;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практики и модели за добро управление и участие на заинтересованите страни в развитието на територията, като основа за териториално развитие;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териториална идентичност, маркетинг и марки на база на специфичния териториален потенциал и продукти от местен характер.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се прилага на териториален принцип на ниво община или обединение на съседни общини и/или съседни населени места част от община/и. Всяка стратегия за воденото от общностите местно развитие обхваща територия с население между 10 000 и 150 000 жители.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се прилага на територията на цялата страна (включително селските райони и териториите със специфични характеристики, определени в Националната концепция за пространствено развитие за периода 2013 – 2025 г.) с изключение на градовете с население над 30 000 жители, в техните строителни граници.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Воденото от общностите местно развитие получава подкрепа от Европейския земеделски фонд за развитие на селските райони и може да получи подкрепа от Европейския фонд за регионално развитие, Европейския социален фонд и Европейския фонд за морско дело и рибарство. ВОМР, подкрепяно от съответните европейски структурни инвестиционни фондове, се осъществява по един или по няколко приоритета на съответната програма или програми в съответствие с правилата за тези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Подкрепата по Европейския земеделски фонд за развитие на селските райони по подмярка 19.2 „Прилагане на операции в рамките на стратегии за водено от общностите местно развитие“ се предоставя на територията на селските райони или на територия на прилагане на подхода ВОМР, когато тези операции допринасят за развитието на съответния селски район. Останалите подмерки на мярката се изпълняват на цялата територия на прилагане на подхода ВОМР.</w:t>
            </w:r>
            <w:r>
              <w:rPr>
                <w:rFonts w:ascii="Times New Roman" w:eastAsia="Times New Roman" w:hAnsi="Times New Roman" w:cs="Times New Roman"/>
                <w:szCs w:val="24"/>
              </w:rPr>
              <w:t xml:space="preserve"> Градовете, подпомагани от ОПРР по линия на устойчивото градско развитие и попадащи в селски район ще бъдат допустими като част от територия на местна инициативна група (МИГ) за финансиране по линия на Европейския земеделски фонд за развитие на селските райони (местно развитие в рамките на ЛИДЕР).За населените места, на чиито територии се прилага подхода ВОМР/ЛИДЕР и които са подпомагани от „Програма за развитие на регионите“ 2021 – 2027 г., се прилага демаркация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ВОМР, получаващо допълнителна подкрепа от Европейския фонд за регионално развитие, Европейския социален фонд и Европейския фонд за морско дело и рибарство се прилага и на териториите със специфични характеристики и рибарските райони, в зависимост от допустимостта на територията за финансиране от съответния фонд.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изпълнението на стратегиите за водено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изискванията по него, както и операции, допустими съгласно ЕФРР, ЕСФ и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 на мерки, включени в Регламент (EC) № 1305/2013, които не са част от ПРСР, мерките от стратегията трябва да съответстват на приложимите условия на регламента.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стратегии, проекти, дейности и инвестиции по мярката, трябва да са в съответствие с политиката на национално, регионално и местно ниво в областта на образованието, здравеопазването и социалните грижи. СМР следва да включва интегриран подход за подкрепа на засегнатите от бедност, дискриминация или социалното изключване групи от територията, в т. ч. роми. Инвестициите на местно ниво не трябва да противоречат на политиките по десегрегация и деинституционализация, в съответствие със Споразумението за партньорство на Република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 на мерки, извън обхвата на Регламент (EC) № 1305/2013, както и такива, отговарящи на правилата по европейските структурни и инвестиционни фондове, мерките трябва да допринасят за постигането на приоритетите на ПРСР, съответната оперативна програма, финансираща стратегията и на конкретната стратегията за водено от общностите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Воденото от общностите местно развитие обхваща следните елементи, формулирани в чл. 35 от Регламент (ЕС) № 1303/2013:</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Помощ за подготвителни дейности за изграждане на капацитет, обучение и създаване на мрежи с цел изготвяне и прилагане на стратегия за водено от общностите местно развитие;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Изпълнение на операции в рамките на стратегията за водено от общностите местно развитие;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Подготовка и изпълнение на дейности за сътрудничество на местни инициативни групи;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Текущи разходи, свързани с управлението при прилагането на стратегията за водено от общностите местно развитие, включващи оперативни разходи, разходи за персонал, разходи за обучение, разходи за връзки с обществеността, финансови разходи, както и такива, свързани с мониторинга и оценката на стратегията, съгласно задълженията на МИГ по чл. 34, параграф 3, буква ж) от Регламент (ЕС) № 1303/2013;</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популяризиране на стратегията за водено от общностите местно развитие с цел да се улесни обмена за предоставяне на информация между заинтересованите страни, да се постигне публичност и да се съдейства на потенциалните бенефициенти при разработването на операции и подготовката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Тези елементи са програмирани като подмерки, с изключение на текущите разходи и разходите за популяризиране, които са обединени в една подмярка.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на мярката Водено от общностите местно развитие е определен в чл. 59, параграф 4 от Регламент (ЕС) № 1305/2013, като 90% е принос от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Приносът на съфинансиране на операции от останалите ЕСИФ е определен в съответните оперативни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мярката ще се осъществява и чрез финансов инструмент. Инструментът ще предоставя финансиране чрез заем с поделяне на риска под формата на кредити за съфинансиране на инвестиционни проекти,  отговарящи на целите на следните подмерки:</w:t>
            </w:r>
          </w:p>
          <w:p>
            <w:pPr>
              <w:numPr>
                <w:ilvl w:val="0"/>
                <w:numId w:val="49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4.1. „Инвестиции в земеделски стопанства“</w:t>
            </w:r>
          </w:p>
          <w:p>
            <w:pPr>
              <w:numPr>
                <w:ilvl w:val="0"/>
                <w:numId w:val="4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4.2. „Инвестиции в преработка/маркетинг на земеделски продукти“</w:t>
            </w:r>
          </w:p>
          <w:p>
            <w:pPr>
              <w:numPr>
                <w:ilvl w:val="0"/>
                <w:numId w:val="49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6.4 „ Инвестиции в създаване и развитие на неземеделски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за съфинансиране на проекти ще подпомогнат реализирането на одобрени инвестиционни проектикъм стратегии за местно развитие.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за инвестиции в материални и нематериални активи, които подобряват цялостните резултати и устойчивостта на подпомогнатите стопанства и предприятия.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Споразуменията за финансиране между УО и Фонда на фондовете и между Фонда на фондовете и финансовите посредници определят ролите и отговорностите на участващите  в изпълнението страни, особено по отношение на обмена на информация, за да се гарантира, че няма да има двойно финансиране или няма да се предоставя прекомерна помощ за всяка инвестиция. Тези договорености трябва да бъдат ясно съобщени на МИГ.</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19.1. Помощ за подготвителни дейности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492"/>
              </w:numPr>
              <w:rPr>
                <w:b w:val="0"/>
              </w:rPr>
            </w:pPr>
            <w:r>
              <w:rPr>
                <w:b w:val="0"/>
              </w:rPr>
              <w:t>19.1 — подготвително подпомагане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От началото на програмния период 2007 – 2013 г. подходът ЛИДЕР фокусира значителен интерес от страна на публичния, неправителствения и бизнес сектора в селските райони - 78% от общините в селските райони са кандидатствали по подмярка 431-2 „Придобиване на умения и постигане на обществена активност за територията на потенциални местни инициативни групи“ посредством подадени 136 проекта, от които успешно изпълнени са 90 договора.Изпълнението на дейностите за придобиване на умения и постигане на обществена активност за потенциални местни инициативни групи обхвана 60% от общия брой на общините в селските райони на България (231 общини). На тези територии местните общности разпознаха в подхода реална възможност за развитие чрез социално приобщаване, намаляване на бедността и миграцията, активиране на предприемачеството чрез разнообразни дейности и форми на заетост и устойчиво използване на ресурсите. Създаде се административен капацитет за прилагане на подхода ЛИДЕР и опит в процеса по оживяване на местните общности в селските райони чрез подготовка на стратегии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следствие на изградения капацитет за прилагане на подхода ЛИДЕР на местно ниво по двете процедури за избор на МИГ в УО на ПРСР са подадени 126 заявления от 97 местни инициативни групи, обхващащи 141 общини (61% от общините в селските райони). Тези данни показват приемствеността и интереса към подхода ЛИДЕР, постигнати като резултат от прилагането на под-мярка 431-2 през програмния период 2007 -2013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 основа на опита при изпълнението на подмярката за подготвителни дейности през програмния период 2007 – 2013 г. подкрепата за изграждане на капацитет, информираност, обучения и създаване на мрежи с цел изготвяне и изпълнение на стратегии за водено от общностите местно развитие трябва да продължи и през настоящия програмен период, тъй като по този начин се гарантира изготвянето на качествени стратегии с широкото участие на местните общности, в това число и на представители на малцинства и уязвими групи, в т. ч. роми, когато това е 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19.1. „Помощ за подготвителни дейности” цели да подкрепи подготовката на местните общности за прилагането на подхода Водено от общностите местно развитие през периода 2014 – 2020 г. и през периода 2021 – 2027 г. Съгласно споразумението за партньорство, УО на ПРСР отговаря за прилагането на подготвителната помощ в тясна координация с Управляващите органи на всички фондове, включени във финансирането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подготвителни дейности за местните общности ще се финансира по линия на Европейския фонд за развитие на селските райони, независимо дали същите предвиждат прилагането на стратегия за местно развитие, финансирана по този фонд или по повече от един от фондовете, включени във финансирането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местните общности, които не са прилагали подхода ЛИДЕР през програмния период 2007 – 2013 г. и 2014 – 2020 г. (не са изпълнявали подмерки 431-2, 431-1, 41, 19.1, 19.2 и 19.4) ще бъде предоставена допълнителна подкрепа за повишаване на информираността относно възможностите за прилагане на подхода ВОМР, създаване на партньорства и учредяване на местни инициативни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подмярката ще могат да бъдат изпълнявани за периоди до 6 месеца за местни общности, прилагали подхода ЛИДЕР (изпълнявали са проект по подмерки 431-2, 431-1, 41, 19.1, 19.2 и 19.4) и до 9 месеца за местни общности, не прилагали подхода ЛИДЕР през програмни периоди 2007 – 2013 г. и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за одобрение на стратегии за водено от общностите местно развитие не е обвързано с прилагането на подмярка 19.1 „Помощ за подготвителни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ще подкрепя реализацията на малки пилотни проекти, по които ще могат да кандидатстват местни инициативни групи, чиито стратегии за водено от общностите местно развитие не са одобрени за финансиране през програмен период 2014 – 2020 г. Подкрепата за малки пилотни проекти ще се прилага след приключване на процедурата за одобрение на последните стратегии за воденото от общностите местно развитие. Продължителността на изпълнение на малък пилотен проект е до 12 месеца.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2015 г. по подмярката се публикува една покана за изразяване на интерес за подкрепа за подготвителни дейности. След одобрението на последните стратегии за воденото от общностите местно развитие се открива най-малко един прием за малки пилотни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периода 2021 – 2022 г. по подмярката се публикува най-малко една покана за изразяване на интерес за подкрепа за подготвителни дейности за изготвяне на стратегии за ВОМР за периода 2021 – 2027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 Безвъзмездна финансова помощ за подпомагане на подготвителни дейности, включващи изграждането на капацитет, обучението и създаването на мрежи с цел изготвяне и изпълнение на стратегия за водено от общностите местно развитие, които включват:</w:t>
            </w:r>
          </w:p>
          <w:p>
            <w:pPr>
              <w:numPr>
                <w:ilvl w:val="0"/>
                <w:numId w:val="49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Обучение на местни заинтересовани страни;</w:t>
            </w:r>
          </w:p>
          <w:p>
            <w:pPr>
              <w:numPr>
                <w:ilvl w:val="0"/>
                <w:numId w:val="4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Проучвания в съответната територия;</w:t>
            </w:r>
          </w:p>
          <w:p>
            <w:pPr>
              <w:numPr>
                <w:ilvl w:val="0"/>
                <w:numId w:val="4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на стратегия за воденото от общностите местно развитие, включително консултации със заинтересованите страни за целите на подготовката на стратегията;</w:t>
            </w:r>
          </w:p>
          <w:p>
            <w:pPr>
              <w:numPr>
                <w:ilvl w:val="0"/>
                <w:numId w:val="49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за координация на процеса, извършван от организацията, която кандидатства за подготвителни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Безвъзмездна финансова помощ за подкрепа за малки пилотни проекти в интерес на местните общности.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Връзка с друго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По т. А Местни общности, които не са прилагали подхода ЛИДЕР в периоди 2007-2013 г. и 2014 – 2020 г. (не са изпълнявали подмерки 431-2, 431-1, 41, 19.1, 19.2 и 19.4 на  територията си).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По т. А Местни инициативни групи или местни общности, прилагали подхода ЛИДЕР през програмни периоди 2007-2013 г. и 2014 – 2020 г. на територия или част от територия, за която се кандидатства, (изпълнявали са подмерки 431-2, 431-1, 41, 19.1, 19.2 и 19.4).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По т. Б Местни инициативни групи, които нямат одобрена стратегия за местно развитие през програмния период 2014-2020 г.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по т. А, свързани с изготвяне на стратегия за местно развитие:</w:t>
            </w:r>
          </w:p>
          <w:p>
            <w:pPr>
              <w:numPr>
                <w:ilvl w:val="0"/>
                <w:numId w:val="49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Формиране и учредяване на публично-частно партньорство (само за общности, които не са прилагали подхода ЛИДЕР през програмни периоди 2007 – 2013 г. и 2014 – 2020 г. на териториите или част от териториите, за които се кандидатства), в т.ч. разходи за правни услуги и консултации, нотариални и държавни такси, партньорски срещи;</w:t>
            </w:r>
          </w:p>
          <w:p>
            <w:pPr>
              <w:numPr>
                <w:ilvl w:val="0"/>
                <w:numId w:val="4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Популяризиране на подхода ВОМР (само за общности, които не са прилагали подхода ЛИДЕР през програмни периоди 2007 – 2013 г. и 2014 – 2020 г. на териториите или част от териториите, за които се кандидатства) и процеса на разработка на СМР (за всички кандидати) като разходи за подготовка и провеждане на информационни кампании, изготвяне и разпространение на информационни материали, подготовка и провеждане на информационни семинари, конференции и срещи, създаване и поддържане на електронна страница, публикации в местната преса;</w:t>
            </w:r>
          </w:p>
          <w:p>
            <w:pPr>
              <w:numPr>
                <w:ilvl w:val="0"/>
                <w:numId w:val="4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Обучения за местните заинтересовани страни: екип на МИГ, местни лидери;</w:t>
            </w:r>
          </w:p>
          <w:p>
            <w:pPr>
              <w:numPr>
                <w:ilvl w:val="0"/>
                <w:numId w:val="4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Проучвания и анализи на територията;</w:t>
            </w:r>
          </w:p>
          <w:p>
            <w:pPr>
              <w:numPr>
                <w:ilvl w:val="0"/>
                <w:numId w:val="4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подготовката на стратегия за водено от общностите местно развитие, вкл. разходи за консултиране и разходи за консултиране с местната общност във връзка с подготовката на стратегията;</w:t>
            </w:r>
          </w:p>
          <w:p>
            <w:pPr>
              <w:numPr>
                <w:ilvl w:val="0"/>
                <w:numId w:val="49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Административни разходи (оперативни разходи, разходи за възнаграждения и осигуровки и обезщетения за временна неработоспособност, дължими от работодателя, разходи за закупуване на офис техника, обзавеждане и оборудване, командировки, наем зали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местни инициативни групи, финансирани по ПРСР 2007-2013 г. и ПРСР 2014 – 2020 г. разходите са допустими при условие на недопускане на свръхкомпенсация и двойно финансиране на едни и същи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по т. Б за подпомагане на малки пилотни проекти:</w:t>
            </w:r>
          </w:p>
          <w:p>
            <w:pPr>
              <w:numPr>
                <w:ilvl w:val="0"/>
                <w:numId w:val="49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промотиране и организирането на дейности и събития, свързани с местната идентичност (местни традиции, културно и историческо наследство, продукти и др.);</w:t>
            </w:r>
          </w:p>
          <w:p>
            <w:pPr>
              <w:numPr>
                <w:ilvl w:val="0"/>
                <w:numId w:val="49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материални и нематериални инвестиции в интерес на местната общност;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промотиране на иновативни за местните общности дейности.</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 А бенефициентите трябва да отговарят на следните условия за допустимост:</w:t>
            </w:r>
          </w:p>
          <w:p>
            <w:pPr>
              <w:numPr>
                <w:ilvl w:val="0"/>
                <w:numId w:val="49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Целевата територия да обхваща население между 10 000 и 150 000 жители;</w:t>
            </w:r>
          </w:p>
          <w:p>
            <w:pPr>
              <w:numPr>
                <w:ilvl w:val="0"/>
                <w:numId w:val="49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Кохерентност на територията;</w:t>
            </w:r>
          </w:p>
          <w:p>
            <w:pPr>
              <w:numPr>
                <w:ilvl w:val="0"/>
                <w:numId w:val="49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местни инициативни групи или общности, прилагали подхода ЛИДЕР през програмни периоди 2007-2013 г. и 2014 – 2020 г. на територия или част от територия, за която се кандидатства или да представят писмено споразумение за партньорство за създаване на местна инициативна група между общините, частния сектор и неправителствените организации на целевата територия или между МИГ и нова територия;</w:t>
            </w:r>
          </w:p>
          <w:p>
            <w:pPr>
              <w:numPr>
                <w:ilvl w:val="0"/>
                <w:numId w:val="49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Наличие на капацитет в областта на човешките ресурси и наличие на помещение за офис за изпълнение на дейностите по подмярката и за изготвяне на стратегия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 Б малките пилотни проекти трябва да отговарят на следните условия за допустимост:</w:t>
            </w:r>
          </w:p>
          <w:p>
            <w:pPr>
              <w:numPr>
                <w:ilvl w:val="0"/>
                <w:numId w:val="49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допринасят за постигане на целите на ПРСР и на стратегията на водено от общностите местно развитие;</w:t>
            </w:r>
          </w:p>
          <w:p>
            <w:pPr>
              <w:numPr>
                <w:ilvl w:val="0"/>
                <w:numId w:val="4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одобрени по процедурата за взимане на решения на МИГ и да са съгласувани с местната общност;</w:t>
            </w:r>
          </w:p>
          <w:p>
            <w:pPr>
              <w:numPr>
                <w:ilvl w:val="0"/>
                <w:numId w:val="4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включват дейности, свързани с доброволно участие под формата на труд или финансиране на представители на местната общност;</w:t>
            </w:r>
          </w:p>
          <w:p>
            <w:pPr>
              <w:numPr>
                <w:ilvl w:val="0"/>
                <w:numId w:val="4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предостави доказателства, че са в обществена полза;</w:t>
            </w:r>
          </w:p>
          <w:p>
            <w:pPr>
              <w:numPr>
                <w:ilvl w:val="0"/>
                <w:numId w:val="49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проектите да се реализират на териториите на съответните местни инициативни групи.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по т. 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-Брой общини в състава на партньорството;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-Население на територията на партньорството;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-Опит на партньорите в изпълнението на проекти, финансирани със средства на ЕС.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по т. Б</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-Степен на включени в проекта дейности, свързани с доброволно участие под формата на труд или финансиране на представители на местната общност спрямо размера на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-Степен на полза на проекта за местната общност;</w:t>
            </w:r>
          </w:p>
          <w:p>
            <w:pPr>
              <w:numPr>
                <w:ilvl w:val="0"/>
                <w:numId w:val="49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Степен на съгласуваност с местната общност.</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100% от общите допустими разходи;</w:t>
            </w:r>
          </w:p>
          <w:p>
            <w:pPr>
              <w:numPr>
                <w:ilvl w:val="0"/>
                <w:numId w:val="4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 А пакет от допустими разходи в размер до левовата равностойност на 25 000 евро за местни инициативни групи или общности, прилагали подхода ЛИДЕР през програмни периоди 2007-2013 г. и 2014 – 2020 г.;</w:t>
            </w:r>
          </w:p>
          <w:p>
            <w:pPr>
              <w:numPr>
                <w:ilvl w:val="0"/>
                <w:numId w:val="4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 А пакет от допустими разходи в размер до левовата равностойност на 30 000 евро за местни общности, които не са прилагали подхода ЛИДЕР през периодите 2007-2013 г. и 2014 – 2020 г.</w:t>
            </w:r>
          </w:p>
          <w:p>
            <w:pPr>
              <w:numPr>
                <w:ilvl w:val="0"/>
                <w:numId w:val="4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 Б до левовата равностойност на 100 000 евро за малък пилотен проект.</w:t>
            </w:r>
          </w:p>
          <w:p>
            <w:pPr>
              <w:numPr>
                <w:ilvl w:val="0"/>
                <w:numId w:val="49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 А ще се прилагат и един или комбинация от два или три вида опростени разходи в съответствие с чл. 67, ал. 1, т. б), т. в) и т. г) от Регламент (ЕС) № 1303/2013 г. Опростените разходи са направени въз основа на метода за коректно, справедливо и доказуемо изчисление.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8.2.16.5</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5"/>
        <w:jc w:val="left"/>
        <w:rPr>
          <w:b w:val="0"/>
        </w:rPr>
      </w:pPr>
      <w:r>
        <w:rPr>
          <w:b w:val="0"/>
        </w:rPr>
        <w:br w:type="page"/>
      </w:r>
      <w:r>
        <w:rPr>
          <w:b w:val="0"/>
        </w:rPr>
        <w:t>Подмярка 19.2. Прилагане на операции в рамките на стратегии за водено от общностите местно развитие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500"/>
              </w:numPr>
              <w:rPr>
                <w:b w:val="0"/>
              </w:rPr>
            </w:pPr>
            <w:r>
              <w:rPr>
                <w:b w:val="0"/>
              </w:rPr>
              <w:t>19.2 — подпомагане за операции в рамките на стратегията за водено от общностите местно развитие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 период 2007 – 2013 г. местните общности разпознаха в подхода ЛИДЕР реална възможност за социално приобщаване, намаляване на бедността и миграцията и развитие на териториите си като цяло. По време на проведените две процедури за избор на МИГ и финансиране на стратегии, бяха подадени общо 126 заявления от 97 МИГ на стойност, надвишаваща три пъти разполагаемия бюджет. В резултат на проведените приеми бяха одобрени 35 МИГ, обхващащи 57 общини от селските райони на страната с територия малко над 25 800 км2, 1 112 населени места и население над 800 хил. жители. Всички одобрени МИГ активно подпомагат процесите на оживяване на общностите, активиране на предприемачество в разнообразни дейности и форми на заетост, устойчиво използване на ресурсите и потенциала за развитие на територията. Създаден е капацитет и опит в оживяването на местните общности и прилагането на стратегии за местно развитие на териториите в селските райони. Интересът на бенефициентите към прилагането на подхода ЛИДЕР чувствително надхвърля възможностите на финансиране, като подадените към МИГ проекти са за 180% от разполагаемия бюджет.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подхода ЛИДЕР през програмния период 2007 – 2013 г. се характеризира с прилагане на подмярка за подкрепа на подготвителни дейности на територията на 60% от общините в селските райони и прилагане на стратегии за местно развитие на територията на 25% от общините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Констатира се, че територията която беше подкрепена e чувствително по-малка в сравнение с интересите и нуждата от изграждане на капацитет през този подход. Част от причините за покриването на неголяма територия е и формирането на МИГ, в които участва територията на само една община.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подмярка 19.2 от ПРСР 2014 – 2020 г. цели разширяване на обхвата на териториите, които ще бъдат подпомогнати по подхода ВОМР, като бъдат подкрепени възможно най-голям брой местни инициативни групи. За постигането на тази цел УО на ПРСР предвижда по-голям бюджет за прилагане на дейностите по подхода и окуражава МИГ да се сформират от повече от една община.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прилагане на операции в рамките на стратегии за водено от общностите местно развитие.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 инструмент ще предоставя финансиране под формата на заем с поделяне на риска. Ще се финансират кредити за съфинансиране на одобрени инвестиционни проекти, отговарящи на целите на следните подмерки:</w:t>
            </w:r>
          </w:p>
          <w:p>
            <w:pPr>
              <w:numPr>
                <w:ilvl w:val="0"/>
                <w:numId w:val="50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4.1. „Инвестиции в земеделски стопанства“</w:t>
            </w:r>
          </w:p>
          <w:p>
            <w:pPr>
              <w:numPr>
                <w:ilvl w:val="0"/>
                <w:numId w:val="5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4.2. „Инвестиции в преработка/маркетинг на земеделски продукти“</w:t>
            </w:r>
          </w:p>
          <w:p>
            <w:pPr>
              <w:numPr>
                <w:ilvl w:val="0"/>
                <w:numId w:val="50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6.4 „ Инвестиции в създаване и развитие на неземеделски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ще подпомогнат реализирането на одобрени проекти към стратегии за местно развитие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 заинтересовани лица с проекти към стратегията за водено от общностите местно развитие, в т.ч. местни инициативни групи.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микро, малки и средни предприятия, които са подписали договор за получване на безвъзмездна финансова помощ към стратегия за местно развитие. Подписания договор трябва да бъде за инвестиционен проект, отговарящ на целите на поне една от следните подмерки:</w:t>
            </w:r>
          </w:p>
          <w:p>
            <w:pPr>
              <w:numPr>
                <w:ilvl w:val="0"/>
                <w:numId w:val="50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4.1. „Инвестиции в земеделски стопанства“</w:t>
            </w:r>
          </w:p>
          <w:p>
            <w:pPr>
              <w:numPr>
                <w:ilvl w:val="0"/>
                <w:numId w:val="5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4.2. „Инвестиции в преработка/маркетинг на земеделски продукти“</w:t>
            </w:r>
          </w:p>
          <w:p>
            <w:pPr>
              <w:numPr>
                <w:ilvl w:val="0"/>
                <w:numId w:val="50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6.4 „ Инвестиции в създаване и развитие на неземеделски дейности“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5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Инвестиционни разходи съгласно чл. 45 от Регламент (EC) № 1305/2013;</w:t>
            </w:r>
          </w:p>
          <w:p>
            <w:pPr>
              <w:numPr>
                <w:ilvl w:val="0"/>
                <w:numId w:val="5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допустими разходи, свързани с изпълнението на операции съгласно разпоредбите на Регламент (EC) № 1305/2013 и приоритетите на стратегията за водено от общностите местно развитие;</w:t>
            </w:r>
          </w:p>
          <w:p>
            <w:pPr>
              <w:numPr>
                <w:ilvl w:val="0"/>
                <w:numId w:val="50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Когато в СМР се предвижда финансиране на дейности по повече от един фонд, допустими са разходи, определени в съответната 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разходите, включени в одобрения проект за получаване на безвъзмездна финансова помощ по подмярката, които не са финансирани с безвъзмездни средства (само частта за самоучастие);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разходите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оборотни средства, които допълват инвестиция в селкостопанския сектор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ДДС, съгласно изискванията на чл. 37 пар.11 от регламент 1303/2013;</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Бенефициентите по подмярката са с постоянен адрес или седалище на територията на МИГ, с изключение на бенефициентите общини от селските райони със седалище в областен град.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Подкрепата от Европейския земеделски фонд за развитие на селските райони се предоставя за територията на селския район на МИГ или за друга територия обхваната от МИГ, когато проектите допринасят за развитието на съответния селски район. Бенефициентите са с постоянен адрес или седалище на територията на МИГ, с изключение на бенефициентите общини от селските райони със седалище в областен град.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се изпълняват на територията на МИГ.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Операциите трябва да бъдат в съответствие с приоритетите, предвидени за ВОМР в Споразумението за партньорство и Регламент (EC) № 1305/2013 г., както и да допринасят за постигането на целите на СМР.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изпълнението на стратегиите за водено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условията по него, както и операции, допустими съгласно условията и изискванията по ЕФРР, ЕСФ и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 на мерки, включени в Регламент (EC) № 1305/2013 и избрани в ПРСР МИГ може да определи условия, различни от програмата, но отговарящи на изискванията на регламента.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 на мерки, извън обхвата на Регламент (EC) № 1305/2013, както и такива, отговарящи на правилата по европейските структурни и инвестиционни фондове, мерките трябва да допринасят за постигането на приоритетите на ПРСР и/или съответната оперативна програма, както и на стратегията за водено от общностите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няма да се включват мерки от ПРСР, предвиждащи фиксирани плащания и мерки, свързани със схеми за плащания на площ, в т. ч. мярка 6 „Развитие на стопанства и предприятия”, включваща подмерки 6.1 „Стартова помощ за млади земеделски производители”, 6.2 „Стартова помощ за неземеделски дейности” и 6.3 „Стартова помощ за развитие на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7 „Основни услуги и обновяване на селата в селските райони“ от ПРСР на национално ниво, но мярката може да бъде включена в стратегиите за водено от общностите местно развитие и МИГ могат да са допустим бенефициент по нея.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16 „Сътрудничество“ от ПРСР.</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Принципите по отношение на определянето на критерии за подбор за проекти към стратегиите се определят от местните инициативни групи и се одобряват от УО по време на процедурата за избор на МИГ.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Изборът на проекти от МИГ следва да се основава на документирана оценка, която показва обоснованост и безпристрастност на решението по отношение на приложимите критерии за съответствие, което е взето при спазване на правила за липса на конфликт на интереси.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Изборът следва да е публичен – чрез публикуване на протоколите от заседанията за избор на проекти на сайта на МИГ, информация чрез местни медии и др.).</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към стратегии за месно развитие,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инвестиционния кредит, който ще се финансира чрез финансовия инструмент не може да надхвърля сумата на разходите, включени в одобрения проект за получаване на безвъзмездна финансова помощ. Максималния размер на инвесиционния кредит се определя в съответствие с разпоредбите на чл. 37 (9)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финансиране са и оборотни средства, които допълват инвестиция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Всички органи, участващи в осъществяването на подкрепа по подмярка 19.2, действат в съответствие с приложимото споразумение за финансиране, за да гарантират, че не се предоставя двойно финансиране или прекомерна помощ за всяка инвестиция.</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100% в зависимост от конкретните дейности и мерките, по които се финансират проектите към стратегиите и приложимия режим на държавна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имат възможност да предлагат различен от определения в ПРСР интензитет по мерките в тяхната стратегия. Интензитетът не може превишава определения в Регламент (EC) № 1305/2013 за съответната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мерки от стратегията, които не са включени в ПРСР, но са част от Регламент (EC) № 1305/2013, интензитетът е в съответствие с определения за конкретната мярка в Регламента.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по-голям интензитет, следва да се вземат предвид следните критерии: общ интерес, вид на бенефициента, обществен достъп до резултатите от операцията, иновативни характеристики на проекта на местно ниво и наличния бюджет.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мерки от стратегията, които не са включени в ПРСР и не са част от Регламент (EC) № 1305/2013, интензитетът се определя в зависимост от бенефициента (публично или частно лице), вида на инвестициите по проекта (генериращ или негенериращ приходи) и ползата за местната общност.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местните инициативни групи с население до 15 000 жители (включително) е предвиден максимален бюджет за изпълнение на проекти по стратегиите за местно развитие, финансирани по ЕЗФРСР, в размер до левовата равностойност на 1 500 000 евро (общо за стратегията вкл. с текущите разходи и разходи за популяризиране 2 000 000 евро), а за групи с по-голямо население – до левовата равностойност на 2 100 000 евро (общо за стратегията вкл. с текущите разходи и разходи за популяризиране 2 800 000 евро). Приносът на ЕФРР, ЕСФ и ЕФМДР към стратегиите за местно развитие е определен в нормативния акт за координацията на подхода ВОМР </w:t>
            </w:r>
            <w:r>
              <w:rPr>
                <w:rFonts w:ascii="Times New Roman" w:eastAsia="Times New Roman" w:hAnsi="Times New Roman" w:cs="Times New Roman"/>
                <w:b/>
                <w:bCs/>
                <w:szCs w:val="24"/>
                <w:u w:val="single"/>
              </w:rPr>
              <w:t>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един проект към стратегия за ВОМР е до левовата равностойност на 200 000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Посоченият максимален размер на допустимите разходи за един проект не се прилага по отношение на стойността, с която са индексирани вече одобрени за подпомагане разходи по договори с бенефициенти, съгласно приетата с Постановление на Министерския съвет № 290 от 2022 г. Методика за изменение на цената на договор за обществена поръчка в резултат на инфлация.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Максималната стойност на допустимите разходи и интензитета на помощта за проект, финансиран от фонд, различен от ЕЗФРСР е определена в съответната програма. Максималната стойност и интензитета на помощта за проект, финансиран по повече от един фонд (интегриран проект) е определен в нормативния акт за координация и прилагане на подхода ВОМР </w:t>
            </w:r>
            <w:r>
              <w:rPr>
                <w:rFonts w:ascii="Times New Roman" w:eastAsia="Times New Roman" w:hAnsi="Times New Roman" w:cs="Times New Roman"/>
                <w:b/>
                <w:bCs/>
                <w:szCs w:val="24"/>
                <w:u w:val="single"/>
              </w:rPr>
              <w:t>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Максималната стойност на допустимите разходи и интензитета на помощта за проект, финансиран от фонд, различен от ЕЗФРСР е определена в съответната програма. Максималната стойност и интензитета на помощта за проект, финансиран по повече от един фонд (интегриран проект) е определен в нормативния акт за координация и прилагане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време на изпълнение на СМР при преценка и след извършен анализ и оценка УО на ПРСР може да прехвърля средства от бюджета по ЕЗФРСР на една СМР в бюджета на друга.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Опростени разходи ще се прилагат, когато същите са предвидени за използване от съответните мерки по всички програми, включени във ВОМР.</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Подробни под-критерии на изброените критерии за оценка са включени в нормативния акт за прилагане на подхода ВОМР </w:t>
            </w:r>
            <w:r>
              <w:rPr>
                <w:rFonts w:ascii="Times New Roman" w:eastAsia="Times New Roman" w:hAnsi="Times New Roman" w:cs="Times New Roman"/>
                <w:b/>
                <w:bCs/>
                <w:szCs w:val="24"/>
                <w:u w:val="single"/>
              </w:rPr>
              <w:t>и в насоки и/или друг документ, определящи условията за кандидатстване и условията за изпълнение на одобрените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Координацията и изпълнението на ВОМР се регулират в специален нормативен акт </w:t>
            </w:r>
            <w:r>
              <w:rPr>
                <w:rFonts w:ascii="Times New Roman" w:eastAsia="Times New Roman" w:hAnsi="Times New Roman" w:cs="Times New Roman"/>
                <w:b/>
                <w:bCs/>
                <w:szCs w:val="24"/>
                <w:u w:val="single"/>
              </w:rPr>
              <w:t>и в насоки и/или друг документ, определящи условията за кандидатстване и условията за изпълнение на одобрените проекти.</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5"/>
        <w:jc w:val="left"/>
        <w:rPr>
          <w:b w:val="0"/>
        </w:rPr>
      </w:pPr>
      <w:r>
        <w:rPr>
          <w:b w:val="0"/>
        </w:rPr>
        <w:br w:type="page"/>
      </w:r>
      <w:r>
        <w:rPr>
          <w:b w:val="0"/>
        </w:rPr>
        <w:t>Подмярка 19.3. Подготовка и изпълнение на дейности за сътрудничество на местни инициативни групи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504"/>
              </w:numPr>
              <w:rPr>
                <w:b w:val="0"/>
              </w:rPr>
            </w:pPr>
            <w:r>
              <w:rPr>
                <w:b w:val="0"/>
              </w:rPr>
              <w:t>19.3 — подготовка и изпълнение на дейности за сътрудничество на местните групи за действие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 период 2007 – 2013 г. в България се наблюдава интерес за изпълнение на проекти за сътрудничество за насърчаване на бизнеса на териториите, туризма и маркетиране на местни продукти, както и насърчаването на дейности от младежи, в т.ч. създаването на младежки центрове, повишаване на квалификацията на населението и др. По мярката в УО на ПРСР са подадени 34 заявления, от които бяха сключени 14 договора. Поради сравнително късното стартиране, в края на 2012 г., на подкрепата за дейности за сътрудничество на местни инициативни групи, пълният потенциал на мярката не се реализира.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показва, че сътрудничеството между местните инициативни групи дава иновативни възможности за постигане целите на подхода ЛИДЕР, разширява възможностите за обмен на опит и ноу-хау, а в случаите на транснационално сътрудничество насърчава изграждането на чувство за общност и идентичност на европейските селски райони. По отношение на стратегиите за водено от общностите местно развитие, проектите за сътрудничество увеличават ползите, които те носят за селските райони и населението и допринасят за тяхното устойчиво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 период 2014 – 2020 г. с подмярка „Подготовка и изпълнение на дейности за сътрудничество на местни инициативни групи“ местните инициативни групи се насърчават да осигурят принос в развитието на съответните селски райони, чрез взаимодействие и реализиране на съвместни проекти. Партньори по тези проекти могат да бъдат други МИГ и местни инициативни рибарски групи от България и ЕС, както и подобен тип структури, изпълняващи стратегия за местно развитие от България, ЕС или трети страни.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подпомагат проекти за подготовка и реализация на вътрешнотериториално и транснационално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Най-късно до две години след датата на подписване на партньорското споразумение, УО на ПРСР обявява процедурата за избор на проекти. Управляващият орган осигурява текущо набиране на предложения за проекти за техническа помощ и сътрудничество. Одобрението на проектите за сътрудничество се извършва не по-късно от четири месеца след датата на подаване на заявлението, съгласно чл. 44, параграф 3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Република България информира Европейската комисия за одобрените проекти за транснационално сътрудничество.</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и изпълнение на дейности за сътрудничество на местни инициативни групи.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Регламенти относно трансгранично сътрудничество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 инициативни групи, одобрени от УО.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 за техническа помощ за подготвителни дейности по проекти за междутериториално и транснационално сътрудничество:</w:t>
            </w:r>
          </w:p>
          <w:p>
            <w:pPr>
              <w:numPr>
                <w:ilvl w:val="0"/>
                <w:numId w:val="50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със срещи с потенциални партньори (напр. пътни разходи, разходи за нощувки и храна, хонорари за експерти, хонорари на преводачи, разходи за комуникация);</w:t>
            </w:r>
          </w:p>
          <w:p>
            <w:pPr>
              <w:numPr>
                <w:ilvl w:val="0"/>
                <w:numId w:val="5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организирането на заседания и мероприятия за планиране на дейностите по проекта;</w:t>
            </w:r>
          </w:p>
          <w:p>
            <w:pPr>
              <w:numPr>
                <w:ilvl w:val="0"/>
                <w:numId w:val="50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разработването на проекта (напр. предварителни проучвания, консултации по специфични въпроси, хонорари на експерти по проекта, разходи за превод, разходи за допълнителен персонал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 за сътрудничество в рамките на Република България (вътрешно-териториално сътрудничество) или проекти за сътрудничество между територии в две или повече държави членки или с територии в трети държави (транснационално сътрудничество):</w:t>
            </w:r>
          </w:p>
          <w:p>
            <w:pPr>
              <w:numPr>
                <w:ilvl w:val="0"/>
                <w:numId w:val="50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разработването на съвместен продукт/услуга, вкл. разходи за материални и нематериални инвестиции;</w:t>
            </w:r>
          </w:p>
          <w:p>
            <w:pPr>
              <w:numPr>
                <w:ilvl w:val="0"/>
                <w:numId w:val="5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изследвания и пазарни проучвания, директно свързани със съвместното действие;</w:t>
            </w:r>
          </w:p>
          <w:p>
            <w:pPr>
              <w:numPr>
                <w:ilvl w:val="0"/>
                <w:numId w:val="5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реализирането на промоционални и маркетингови кампании;</w:t>
            </w:r>
          </w:p>
          <w:p>
            <w:pPr>
              <w:numPr>
                <w:ilvl w:val="0"/>
                <w:numId w:val="5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организирането на обучения, семинари, съвместни събития, срещи и т. н.;</w:t>
            </w:r>
          </w:p>
          <w:p>
            <w:pPr>
              <w:numPr>
                <w:ilvl w:val="0"/>
                <w:numId w:val="5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публикации в медиите;</w:t>
            </w:r>
          </w:p>
          <w:p>
            <w:pPr>
              <w:numPr>
                <w:ilvl w:val="0"/>
                <w:numId w:val="5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със създаването и оперативната поддръжка на общи структури, създадени с цел изпълнение на проекта;</w:t>
            </w:r>
          </w:p>
          <w:p>
            <w:pPr>
              <w:numPr>
                <w:ilvl w:val="0"/>
                <w:numId w:val="50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 на дейностите по проекта (разходи за допълнителен персонал, пътни разходи, разходи за нощувки и храна, хонорари за експерти, разходи за превод, разходи за комуникация и др.).</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проекти трябва да отговарят на следните условия за допустимост:</w:t>
            </w:r>
          </w:p>
          <w:p>
            <w:pPr>
              <w:numPr>
                <w:ilvl w:val="0"/>
                <w:numId w:val="50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се прилагат от МИГ, одобрени от Управляващия орган;</w:t>
            </w:r>
          </w:p>
          <w:p>
            <w:pPr>
              <w:numPr>
                <w:ilvl w:val="0"/>
                <w:numId w:val="50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целят развитието на територии, покрити от стратегии на МИГ;</w:t>
            </w:r>
          </w:p>
          <w:p>
            <w:pPr>
              <w:numPr>
                <w:ilvl w:val="0"/>
                <w:numId w:val="50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съответстват на и да допринасят за постигане целите и приоритетите на стратегиите за водено от общностите местно развитие на съответните групи и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партньорите по проекта да участват в неговата подготовка и прилагане и да притежават капацитет за изпълнението му.</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Най-късно до две години след датата на подписване на партньорското споразумение, УО оповестява процедурата за избор на проекти. Проектите за техническа помощ и за сътрудничество ще бъдат подбирани от Управляващия орган, по следните критерии за избор:</w:t>
            </w:r>
          </w:p>
          <w:p>
            <w:pPr>
              <w:numPr>
                <w:ilvl w:val="0"/>
                <w:numId w:val="50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Качество на проекта;</w:t>
            </w:r>
          </w:p>
          <w:p>
            <w:pPr>
              <w:numPr>
                <w:ilvl w:val="0"/>
                <w:numId w:val="5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Наличие на ясна обвързаност с целите на СМР;</w:t>
            </w:r>
          </w:p>
          <w:p>
            <w:pPr>
              <w:numPr>
                <w:ilvl w:val="0"/>
                <w:numId w:val="5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Качество на партньорството;</w:t>
            </w:r>
          </w:p>
          <w:p>
            <w:pPr>
              <w:numPr>
                <w:ilvl w:val="0"/>
                <w:numId w:val="50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участващи партньори.</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100% в зависимост от приложимия режим на държавна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прилагат и един или комбинация от два или три вида опростени разходи в съответствие с чл. 67, ал. 1, т. б), т. в) и т. г) от Регламент (ЕС) № 1303/2013 г. Опростените разходи са направени въз основа на метода за коректно, справедливо и доказуемо изчисление.</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8.2.16.5</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5"/>
        <w:jc w:val="left"/>
        <w:rPr>
          <w:b w:val="0"/>
        </w:rPr>
      </w:pPr>
      <w:r>
        <w:rPr>
          <w:b w:val="0"/>
        </w:rPr>
        <w:br w:type="page"/>
      </w:r>
      <w:r>
        <w:rPr>
          <w:b w:val="0"/>
        </w:rPr>
        <w:t>Подмярка 19.4. Текущи разходи и популяризиране на стратегия за водено от общностите местно развитие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510"/>
              </w:numPr>
              <w:rPr>
                <w:b w:val="0"/>
              </w:rPr>
            </w:pPr>
            <w:r>
              <w:rPr>
                <w:b w:val="0"/>
              </w:rPr>
              <w:t>19.4 — подпомагане за текущи разходи и разходи за съживяване на района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прилагане на стратегиите за водено от общностите местно развитие, местните инициативни групи изпълняват подмярка „Текущи разходи и популяризиране на стратегия за водено от общностите местно развитие“. Тя има за цел да обезпечи МИГ с необходимия финансов ресурс за ефективното изпълнение на стратегиите и тяхното популяризиране. Това от своя страна цели да доведе до развитието на МИГ като силни и ефикасно действащи партньорства и оперативни структури.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Укрепването на постигнатия по подмярката капацитет е основен приоритет за програмния период 2014 – 2020 г. Ето защо е изключително важно МИГ да бъдат подкрепени за техните административни разходи, с цел запазване на съществуващия и изграждане на допълнителен капацитет за успешно изпълнение на стратегии за водено от общностите местно развитие. Също така отчитайки опита при прилагането на подхода ЛИДЕР в периода 2007 – 2013 г. е от изключителна важност да бъдат подпомогнати дейности за развитие на практики за добро управление и взимане на решения в условия на прозрачност и отчетност пред общността в рамките на МИГ. Необходимо е да се насърчават действия за  повишаване на информираността за подхода сред всички граждани на местните общности, да се работи за увеличаване на уменията на по-широк кръг местни лидери за изпълнение на стратегии и проекти, както и да се  насочват усилия и ресурси за информиране и консултиране на уязвими групи и застрашени от бедност целеви групи, вкл. роми. По-активното участие в процеса на прилагане на стратегиите на различни заитерисовани страни и групи от местните общности ще допринесе за постигане на положителни промени на територията на МИГ.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Текущи разходи за управление на МИГ и популяризиране на стратегия за водено от общностите местно развитие.</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 инициативни групи, одобрени от УО.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Текущи разходи, свързани с управлението на МИГ при прилагането на стратегията, включващи оперативни разходи, разходи за персонала, разходи за обучение, разходи за връзки с обществеността, финансови разходи, както и такива, свързани с мониторинг и оценка на стратегията, съгласно задълженията на МИГ по чл. 34, параграф 3, буква ж) от Регламент (ЕС)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популяризиране на стратегия за водено от общностите местно развитие, с цел подпомагане обмена на информация между заинтересованите страни, популяризиране на стратегията и съдействие на потенциалните бенефициенти при разработването на операции и подготовката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100 % от разходите.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текущи разходи и разходи за популяризиране на стратегия за водено от общностите местно развитие няма да надвишава 25% от общите публични разходи в рамките на стратегията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прилагат и един или комбинация от два или три вида опростени разходи в съответствие с чл. 67, ал. 1, т. б), т. в) и т. г) от Регламент (ЕС) № 1303/2013 г. Опростените разходи са направени въз основа на метода за коректно, справедливо и доказуемо изчисление.</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8.2.16.5</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Риск от недостиг на финансов ресурс за прилагане на стратегии за водено от общностите местно развитие в случай на кандидатстване от много местни инициативни групи със стратегии с високо качество и с максимален бюджет.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Риск от загуба на административен капацитет и ниска степен на устойчивост на постигнатите през програмния период 2007-2013 г. резултати в случай, че местни групи, прилагали подхода ЛИДЕР не бъдат одобрени от комисията за избор и не получат финансиране за новия програмен период 2014 г.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Липса на интерес за кандидатстване по подмярка „Помощ за подготвителни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Недостатъчен финансов ресурс за изпълнение на проектите от страна на одобрените получатели на помощта по отделните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Забавяне на стартирането на подмярка „Прилагане на операции в рамките на стратегиите за водено от общностите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Риск от невъзможност одобрени стратегии за водено от общностите местно развитие да бъдат изпълнени и с това да бъде загубен финансов ресурс.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Риск от затрудняване на прилагането на мярката в резултат от нарушена координация между прилагащите институции и административна тежест.</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Този риск би могло да бъде минимизиран, чрез стимулиране на обединението на териториите при кандидатстване на МИГ и залагане на максимален праг за бюджета по стратегиите в зависимост от различния брой жители.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Това може да бъде преодоляно, чрез задаване на критерий при оценката на стратегиите – „Капацитет за прилагане на стратегията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Рискът може да бъде избегнат, чрез бързо стартиране на подмярката от страна на УО, за да могат кандидатите да имат достатъчно време за изпълнение на проект по тази подмярка, след което да кандидатстват по подмярка „Прилагане на операции в рамките на стратегии за водено от общностите местно развитие”. Също така се предоставя възможност за изпълнение на малки пилотни проекти, което цели допълнително стимулиране на интерес към изпълнение на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Този риск пред изпълнението на мярка 19 би могъл да бъде минимизиран, ако се осигури възможност за авансово плащане по подмерките, по които това е допустимо.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Възможно най-бързо стартиране на подмярката и осигуряване на коректна, прозрачна и кратка процедура за избор на стратегии, и провеждане на достатъчно на брой приеми.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Рискът следва да бъде преодолян чрез непрекъснато наблюдение и контрол от страна на УО на прилагането на стратегиите и навременно преодоляване на възникналите проблеми при изпълнението им.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За преодоляване на този риск през периода 2014 – 2020 г. се цели подобряване на координацията между прилагащите институции, облегчаване на административните процедури и въз основа на придобития през периода 2007 – 2013 г. опит – усъвършенстване на контролните механизни и повишаване на ефективността и ефикасността на процесите.</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Като цяло при прилагане на стратегиите за ВОМР, УО и РА ще сведат влиянието на рисковите фактори до минимум, чрез своята дейност и отговорности. Опитът от прилагането на ЛИДЕР през периода 2007-2013 година ще спомогне за избягването на рисковите фактори. Мярката е проверяема и контролируема.</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възможността за прилагане на опростени разходи за мярка 19 Водено от общностите местно развитие се основава на чл. 62 от Регламент (ЕС) № 1305/2013 на Европейския парламент и на Съвета от 17 декември 2013 г. и чл. 67 от Регламент (ЕС) № 1303/2013 на Европейския парламент и на Съвета от 17 декември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предложените принципи за изчисляване на опростени разходи са използвани стандартните таблици на единичните разходи за допустимите разходи. Разходите се изчисляват въз основа на пазарно проучване и са представени в стандартни таблици на единичните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на изчисление е пазарен, т.е. използван е метод на сравнителните аналози. При този метод за оценка стойността се определя чрез пряко сравнение на пазарни цени на продукти или услуги със сходни характеристики, към определен момент.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разработването на конкретните стойности на ставките са приложени стандартни методи на статистически и финансов анализ, с широко приложение при икономически и други проучвания. Целта е да се използват общоприети и надеждни методи за анализ, за да се достигне до резултати и заключения, които:</w:t>
            </w:r>
          </w:p>
          <w:p>
            <w:pPr>
              <w:numPr>
                <w:ilvl w:val="0"/>
                <w:numId w:val="51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обосновани от гледна точка на реалните исторически данни;</w:t>
            </w:r>
          </w:p>
          <w:p>
            <w:pPr>
              <w:numPr>
                <w:ilvl w:val="0"/>
                <w:numId w:val="5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проверими и възпроизведими (при нужда със същите, разширени или нови данни);</w:t>
            </w:r>
          </w:p>
          <w:p>
            <w:pPr>
              <w:numPr>
                <w:ilvl w:val="0"/>
                <w:numId w:val="5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и съпоставени спрямо детайлните бюджети;</w:t>
            </w:r>
          </w:p>
          <w:p>
            <w:pPr>
              <w:numPr>
                <w:ilvl w:val="0"/>
                <w:numId w:val="5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с практиката в други страни-членки за анализ и извеждане на опростени разходи;</w:t>
            </w:r>
          </w:p>
          <w:p>
            <w:pPr>
              <w:numPr>
                <w:ilvl w:val="0"/>
                <w:numId w:val="5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крият риск от неравнопоставеност;</w:t>
            </w:r>
          </w:p>
          <w:p>
            <w:pPr>
              <w:numPr>
                <w:ilvl w:val="0"/>
                <w:numId w:val="5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имат добро покритие на наблюдения;</w:t>
            </w:r>
          </w:p>
          <w:p>
            <w:pPr>
              <w:numPr>
                <w:ilvl w:val="0"/>
                <w:numId w:val="51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подкрепени и от пазарните условия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изследването са използвани елементи на дескриптивната статистика. Чрез нея се постига количествено описание на основните характеристики на извадката (и съответно съвкупността). Статистическите средни величини представляват обобщаващи числови характеристики на общото на единиците в съответната съвкупност. Статистическите средни величини, които са ползвани в анализа, представляват средна аритметична величина: сумата на стойностите разделен на броя на стойностите (обичаен метод за изчисление при негрупирани данни); Формула за средна аритметична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(фиг.1)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данните включени в индикативните нива на опростените разходи са на база исторически период и законово признати нормативни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Целта е да се използват общоприети и надеждни методи за анализ, за да се достигне до резултати и заключения, които:</w:t>
            </w:r>
          </w:p>
          <w:p>
            <w:pPr>
              <w:numPr>
                <w:ilvl w:val="0"/>
                <w:numId w:val="51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обосновани от гледна точка на реалните исторически данни;</w:t>
            </w:r>
          </w:p>
          <w:p>
            <w:pPr>
              <w:numPr>
                <w:ilvl w:val="0"/>
                <w:numId w:val="5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обосновани от гледна точка на общоприети и широко използвани статистически анализи, прилагани и в други страни-членки за извеждане на опростени разходи;</w:t>
            </w:r>
          </w:p>
          <w:p>
            <w:pPr>
              <w:numPr>
                <w:ilvl w:val="0"/>
                <w:numId w:val="5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проверими и възпроизведими (при нужда със същите, разширени или нови данни);</w:t>
            </w:r>
          </w:p>
          <w:p>
            <w:pPr>
              <w:numPr>
                <w:ilvl w:val="0"/>
                <w:numId w:val="5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и съпоставени спрямо детайлните бюджети;</w:t>
            </w:r>
          </w:p>
          <w:p>
            <w:pPr>
              <w:numPr>
                <w:ilvl w:val="0"/>
                <w:numId w:val="5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с практиката в други страни-членки за анализ и извеждане на опростени разходи;</w:t>
            </w:r>
          </w:p>
          <w:p>
            <w:pPr>
              <w:numPr>
                <w:ilvl w:val="0"/>
                <w:numId w:val="5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крият риск от неравнопоставеност (според изискванията на Европейската комисия);</w:t>
            </w:r>
          </w:p>
          <w:p>
            <w:pPr>
              <w:numPr>
                <w:ilvl w:val="0"/>
                <w:numId w:val="5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имат добро покритие на наблюдения;</w:t>
            </w:r>
          </w:p>
          <w:p>
            <w:pPr>
              <w:numPr>
                <w:ilvl w:val="0"/>
                <w:numId w:val="51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подкрепени и от пазарните условия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Използваната методология включва:</w:t>
            </w:r>
          </w:p>
          <w:p>
            <w:pPr>
              <w:numPr>
                <w:ilvl w:val="0"/>
                <w:numId w:val="51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описанието на метода на изчисление, в това число основните етапи на изчислението;</w:t>
            </w:r>
          </w:p>
          <w:p>
            <w:pPr>
              <w:numPr>
                <w:ilvl w:val="0"/>
                <w:numId w:val="5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източниците на данните, които са използвани за анализа и изчислението, включително оценка на значението на данните по отношение на предвидените операции и оценка на качеството им;</w:t>
            </w:r>
          </w:p>
          <w:p>
            <w:pPr>
              <w:numPr>
                <w:ilvl w:val="0"/>
                <w:numId w:val="5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самото изчисление за определяне на съответната стойност на единната ставка на размерите на сумите за финансиране на дейности за организация и управление на проекти;</w:t>
            </w:r>
          </w:p>
          <w:p>
            <w:pPr>
              <w:numPr>
                <w:ilvl w:val="0"/>
                <w:numId w:val="51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мотивите за избор на данни в съвкупността, на база на които ще бъде определена единната ставка.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Етапи на избор и прилагане на методология: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(фиг.2)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са извършени от екип на Университета за национално и световно стопанство, гр. София, който е функционално независим орган от Министерство на земеделието, храните и горите и Държавен фонд „Земеделие“, съгласно чл. 62, пар. 2 от Регламент 1305/2013 и който притежава подходящите експертни знания. Методиката е представена в Приложение № 17 към програмата.</w:t>
            </w:r>
          </w:p>
          <w:p>
            <w:pPr>
              <w:pStyle w:val="BodyText"/>
              <w:jc w:val="both"/>
              <w:rPr>
                <w:b w:val="0"/>
              </w:rPr>
            </w:pPr>
          </w:p>
          <w:p>
            <w:pPr>
              <w:pStyle w:val="BodyText3"/>
              <w:jc w:val="center"/>
              <w:rPr>
                <w:b w:val="0"/>
              </w:rPr>
            </w:pPr>
            <w:r>
              <w:rPr>
                <w:b w:val="0"/>
              </w:rPr>
              <w:drawing>
                <wp:inline>
                  <wp:extent cx="5734050" cy="2543175"/>
                  <wp:docPr id="10002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
                          <pic:cNvPicPr>
                            <a:picLocks noChangeAspect="1"/>
                          </pic:cNvPicPr>
                        </pic:nvPicPr>
                        <pic:blipFill>
                          <a:blip xmlns:r="http://schemas.openxmlformats.org/officeDocument/2006/relationships" r:embed="rId20"/>
                          <a:stretch>
                            <a:fillRect/>
                          </a:stretch>
                        </pic:blipFill>
                        <pic:spPr>
                          <a:xfrm>
                            <a:off x="0" y="0"/>
                            <a:ext cx="5734050" cy="2543175"/>
                          </a:xfrm>
                          <a:prstGeom prst="rect">
                            <a:avLst/>
                          </a:prstGeom>
                        </pic:spPr>
                      </pic:pic>
                    </a:graphicData>
                  </a:graphic>
                </wp:inline>
              </w:drawing>
            </w:r>
          </w:p>
          <w:p>
            <w:pPr>
              <w:pStyle w:val="Footer"/>
              <w:jc w:val="center"/>
              <w:rPr>
                <w:b w:val="0"/>
              </w:rPr>
            </w:pPr>
            <w:r>
              <w:rPr>
                <w:b w:val="0"/>
              </w:rPr>
              <w:t>Фиг.1</w:t>
            </w:r>
          </w:p>
          <w:p>
            <w:pPr>
              <w:pStyle w:val="Footer"/>
              <w:jc w:val="left"/>
              <w:rPr>
                <w:b w:val="0"/>
              </w:rPr>
            </w:pPr>
            <w:r>
              <w:rPr>
                <w:b w:val="0"/>
              </w:rPr>
              <w:drawing>
                <wp:inline>
                  <wp:extent cx="6629400" cy="6071480"/>
                  <wp:docPr id="10002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
                          <pic:cNvPicPr>
                            <a:picLocks noChangeAspect="1"/>
                          </pic:cNvPicPr>
                        </pic:nvPicPr>
                        <pic:blipFill>
                          <a:blip xmlns:r="http://schemas.openxmlformats.org/officeDocument/2006/relationships" r:embed="rId21"/>
                          <a:stretch>
                            <a:fillRect/>
                          </a:stretch>
                        </pic:blipFill>
                        <pic:spPr>
                          <a:xfrm>
                            <a:off x="0" y="0"/>
                            <a:ext cx="6629400" cy="6071480"/>
                          </a:xfrm>
                          <a:prstGeom prst="rect">
                            <a:avLst/>
                          </a:prstGeom>
                        </pic:spPr>
                      </pic:pic>
                    </a:graphicData>
                  </a:graphic>
                </wp:inline>
              </w:drawing>
            </w:r>
          </w:p>
          <w:p>
            <w:pPr>
              <w:pStyle w:val="Footer"/>
              <w:jc w:val="center"/>
              <w:rPr>
                <w:b w:val="0"/>
              </w:rPr>
            </w:pPr>
            <w:r>
              <w:rPr>
                <w:b w:val="0"/>
              </w:rPr>
              <w:t>Фиг.2</w:t>
            </w:r>
          </w:p>
          <w:p>
            <w:pPr>
              <w:pStyle w:val="Footer"/>
              <w:jc w:val="center"/>
              <w:rPr>
                <w:b w:val="0"/>
              </w:rPr>
            </w:pPr>
          </w:p>
        </w:tc>
      </w:tr>
    </w:tbl>
    <w:p>
      <w:pPr>
        <w:pStyle w:val="Heading4"/>
        <w:jc w:val="left"/>
        <w:rPr>
          <w:b w:val="0"/>
        </w:rPr>
      </w:pPr>
      <w:r>
        <w:rPr>
          <w:b w:val="0"/>
        </w:rPr>
        <w:t>Специфична информация за мярката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Воденото от общностите местно развитие обхваща следните елементи, формулирани в чл. 35 от Регламент (ЕС) № 1303/2013:</w:t>
            </w:r>
          </w:p>
          <w:p>
            <w:pPr>
              <w:numPr>
                <w:ilvl w:val="0"/>
                <w:numId w:val="51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Помощ за подготвителни дейности за изграждане на капацитет, обучение и създаване на мрежи с цел изготвяне и прилагане на стратегия за водено от общностите местно развитие;</w:t>
            </w:r>
          </w:p>
          <w:p>
            <w:pPr>
              <w:numPr>
                <w:ilvl w:val="0"/>
                <w:numId w:val="5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 на операции в рамките на стратегията за водено от общностите местно развитие;</w:t>
            </w:r>
          </w:p>
          <w:p>
            <w:pPr>
              <w:numPr>
                <w:ilvl w:val="0"/>
                <w:numId w:val="5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и изпълнение на дейности за сътрудничество на местни инициативни групи;</w:t>
            </w:r>
          </w:p>
          <w:p>
            <w:pPr>
              <w:numPr>
                <w:ilvl w:val="0"/>
                <w:numId w:val="51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Текущи разходи, свързани с управлението при прилагането на стратегията за водено от общностите местно развитие, включващи оперативни разходи, разходи за персонал, разходи за обучение, разходи за връзки с обществеността, финансови разходи, както и такива, свързани с мониторинга и оценката на стратегията, съгласно задълженията на МИГ по чл. 34, параграф 3, буква ж)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популяризиране на стратегията за водено от общностите местно развитие с цел да се улесни обмена за предоставяне на информация между заинтересованите страни, да се постигне публичност и да се съдейства на потенциалните бенефициенти при разработването на операции и подготовката на заявления.</w:t>
            </w:r>
          </w:p>
          <w:p>
            <w:pPr>
              <w:pStyle w:val="BodyText"/>
              <w:jc w:val="both"/>
              <w:rPr>
                <w:b w:val="0"/>
              </w:rPr>
            </w:pPr>
          </w:p>
        </w:tc>
      </w:tr>
    </w:tbl>
    <w:p>
      <w:pPr>
        <w:spacing w:after="100"/>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неприложимо</w:t>
            </w:r>
          </w:p>
          <w:p>
            <w:pPr>
              <w:pStyle w:val="BodyText"/>
              <w:spacing w:after="100"/>
              <w:jc w:val="both"/>
              <w:rPr>
                <w:b w:val="0"/>
              </w:rPr>
            </w:pPr>
          </w:p>
        </w:tc>
      </w:tr>
    </w:tbl>
    <w:p>
      <w:pPr>
        <w:spacing w:after="100"/>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Процедурата за избор на стратегии за водено от общностите местно развитие включва следните основни етапи:</w:t>
            </w:r>
          </w:p>
          <w:p>
            <w:pPr>
              <w:numPr>
                <w:ilvl w:val="0"/>
                <w:numId w:val="51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Обявяване на покана за прием на стратегии;</w:t>
            </w:r>
          </w:p>
          <w:p>
            <w:pPr>
              <w:numPr>
                <w:ilvl w:val="0"/>
                <w:numId w:val="5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Проверка за административно съответствие и допустимост на заявленията;</w:t>
            </w:r>
          </w:p>
          <w:p>
            <w:pPr>
              <w:numPr>
                <w:ilvl w:val="0"/>
                <w:numId w:val="51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Оценка на постъпилите стратегии.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Публикуват се най-малко две покани за прием на стратегии за водено от общностите местно развитие, като първата от тях е до края на 2015 г.  Първите стратегии се одобряват до две години след одобрението на Споразумението за партньорство. Допълнителни стратегии за водено от общностите местно развитие се одобряват не по-късно от 31 декември 2017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Стратегиите за воденото от общностите местно развитие се разглеждат и избират от комисия, създадена с тази цел от Управляващия орган на ПРСР и се одобряват от същия Управляващ орган. В комисията се включват представители на държавни органи – Министерски съвет, Министерство на земеделието, храните и горите, Държавен фонд „Земеделие“ – Разплащателна агенция, Управляващите органи на Оперативните програми на Европейския фонд за регионално развитие, Европейския социален фонд и Европейския фонд за морско дело и рибарство, външни независими оценители, определени чрез процедура за избор, и наблюдатели.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Първият етап на оценката, която Комисията извършва, е за административно съответствие и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Условия за допустимост</w:t>
            </w:r>
          </w:p>
          <w:p>
            <w:pPr>
              <w:numPr>
                <w:ilvl w:val="0"/>
                <w:numId w:val="51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Целевата територия да обхваща население между 10 000 и 150 000 жители;</w:t>
            </w:r>
          </w:p>
          <w:p>
            <w:pPr>
              <w:numPr>
                <w:ilvl w:val="0"/>
                <w:numId w:val="5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Липса на припокриване на една и съща територия от различни МИГ;</w:t>
            </w:r>
          </w:p>
          <w:p>
            <w:pPr>
              <w:numPr>
                <w:ilvl w:val="0"/>
                <w:numId w:val="5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Кохерентност на територията;</w:t>
            </w:r>
          </w:p>
          <w:p>
            <w:pPr>
              <w:numPr>
                <w:ilvl w:val="0"/>
                <w:numId w:val="5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Партньорство между общините, частния сектор и гражданските организации на целевата територия, като никоя от групите не представлява повече от 49% от имащите право на глас в общото събрание;</w:t>
            </w:r>
          </w:p>
          <w:p>
            <w:pPr>
              <w:numPr>
                <w:ilvl w:val="0"/>
                <w:numId w:val="5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Наличие на доказателства за проведени действия по формиране на публично-частното партньорство и осигуряващи представеност на различните заинтересовани групи от местната общност, в това число уязвими групи и малцинства, в т. ч. роми (когато е приложимо);</w:t>
            </w:r>
          </w:p>
          <w:p>
            <w:pPr>
              <w:numPr>
                <w:ilvl w:val="0"/>
                <w:numId w:val="51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Съдържанието на СМР да е в съответствие с член 33 на Регламент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всички стратегии, преминали проверка за административно съответствие и допустимост, се извършва техническа оценка по определените критерии за избор. Критериите за избор и тяхната тежест се публикуват в поканата за прием.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Критерии за избор</w:t>
            </w:r>
          </w:p>
          <w:p>
            <w:pPr>
              <w:numPr>
                <w:ilvl w:val="0"/>
                <w:numId w:val="51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Качество на партньорството;</w:t>
            </w:r>
          </w:p>
          <w:p>
            <w:pPr>
              <w:numPr>
                <w:ilvl w:val="0"/>
                <w:numId w:val="5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Степен на консултиране и включване на всички заинтересовани групи в процеса на създаване на партньорството и разработване на стратегията;</w:t>
            </w:r>
          </w:p>
          <w:p>
            <w:pPr>
              <w:numPr>
                <w:ilvl w:val="0"/>
                <w:numId w:val="5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Качество на СМР;</w:t>
            </w:r>
          </w:p>
          <w:p>
            <w:pPr>
              <w:numPr>
                <w:ilvl w:val="0"/>
                <w:numId w:val="51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Капацитет за прилагане на стратегията.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Подробни под-критерии на изброените критерии за оценка са включени в нормативния акт за прилагане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Когато комисията определи, че изпълнението на стратегия за водено от общностите местно развитие изисква подкрепа от повече от един фонд, тя определя водещ фонд за подкрепа на всички текущи разходи и популяризиране.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Процедурата ще гарантира максимална публичност и прозрачност на оценката и мотивите на оценителите за избор на СМР.</w:t>
            </w:r>
          </w:p>
          <w:p>
            <w:pPr>
              <w:pStyle w:val="BodyText"/>
              <w:spacing w:after="100"/>
              <w:jc w:val="both"/>
              <w:rPr>
                <w:b w:val="0"/>
              </w:rPr>
            </w:pPr>
          </w:p>
        </w:tc>
      </w:tr>
    </w:tbl>
    <w:p>
      <w:pPr>
        <w:spacing w:after="100"/>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 период 2014 – 2020 г. Воденото от общностите местно развитие се финансира чрез участие на Европейския земеделски фонд за развитие на селските райони (ЕЗФРСР) като инструмент за развитие по един или повече от приоритетите на ЕС за развитие на селските райони. Местните инициативни групи и бенефициентите към тях получават възможност за финансиране по Европейския социален фонд, Европейския фонд за регионално развитие и Европейския фонд за морско дело и рибарство. Финансирането по ЕСФ, ЕФРР и ЕФМДР се допуска в случай, че такава възможност е заложена в СМР на съответната местна инициативна група.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Координацията и изпълнението на ВОМР се регулират в специален нормативен акт.</w:t>
            </w:r>
          </w:p>
          <w:p>
            <w:pPr>
              <w:pStyle w:val="BodyText"/>
              <w:spacing w:after="100"/>
              <w:jc w:val="both"/>
              <w:rPr>
                <w:b w:val="0"/>
              </w:rPr>
            </w:pPr>
          </w:p>
        </w:tc>
      </w:tr>
    </w:tbl>
    <w:p>
      <w:pPr>
        <w:spacing w:after="100"/>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е допустимо по подмерки „Текущи разходи и популяризиране на стратегията за водено от общностите местно развитие” в размер не надвишаващ 50 % от публичната подкрепа, свързана с текущите разходи и разходите за стимулиране на интерес, извършени от местната инициативна група в съответствие с чл. 42 от Регламент (EC)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се отпуска след предоставяне на банкова гаранция или еквивалентна гаранция, съответстваща на 100 % от размера на авансовото плащане. Инструмент, предоставен като гаранция от публичноправен орган, се счита за еквивалентен на гаранцията, при условие, че органът се задължава да плати сумата, покрита от тази гаранция, ако не се установи право за получаване на изплатения аванс.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инвестиционна подкрепа по проектите по подмярка „Прилагане на операции в рамките на стратегии за водено от общностите местно развитие“, под-мярка „Помощ за подготвителни дейности“ и подмярка „Подготовка и изпълнение на дейности за сътрудничество на местни инициативни групи“ е допустимо авансово плащане в съответствие с чл. 45 от Регламент (EC) № 1305/2013.</w:t>
            </w:r>
          </w:p>
          <w:p>
            <w:pPr>
              <w:pStyle w:val="BodyText"/>
              <w:spacing w:after="100"/>
              <w:jc w:val="both"/>
              <w:rPr>
                <w:b w:val="0"/>
              </w:rPr>
            </w:pPr>
          </w:p>
        </w:tc>
      </w:tr>
    </w:tbl>
    <w:p>
      <w:pPr>
        <w:spacing w:after="100"/>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Комитет за координация при многофондово прилагане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 се Комитет за координация на многофондовото прилагане на ВОМР, който включва представители на всички програми, участващи във ВОМР, Държавен фонд „Земеделие” – Разплащателна агенция, социално-икономическите партньори, други заинтересовани страни. Комитетът ще гарантира координацията между различните фондове, ще разглежда и ще взима решения, свързани с многофондовото прилагане на подхода.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Отговорен управляващ орган за прилагане на подхода ВОМР през програмния период 2014 – 2020 г. ще бъде Управляващият орган  на Програмата за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Отговорности на Местните инициативни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(a) изграждане на капацитета на местните участници за разработване и изпълнение на операции, включително насърчаване на техните способности за управление на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определяне на недискриминационна и прозрачна процедура за подбор и обективни критерии за избор на операции, които избягват конфликта на интереси и гарантират, че поне 50 % от гласовете при решения за избор са от партньори, които не са публични органи;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гарантиране на съгласуваност със стратегията за водено от общностите местно развитие при избора на операции, като те се приоритизират според приноса им за постигане на целите на тази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разработване и публикуване на покани за прием на заявления или текуща процедура за подаване на проекти, включително определяне на критериите за избор;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получаване и оценяване на заявления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 избор на операции и определяне на размера на подкрепата и изпращане на тези предложения до УО на съответната програма за последна проверка на допустимостта преди одобряването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(ж) мониторинг на изпълнението на стратегията за водено от общностите местно развитие и на подкрепените операции и провеждане на конкретни дейности за оценка, свързани с тази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 осигуряване на публичност и прозрачност на дейността.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Отговорности на Управляващия/те орган/и: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избор на местни инициативни групи и стратегии за водено от общностите местно развитие от комисия за избор – УО на ПРСР в сътрудничество с УО на останалите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подпомагане на местните инициативни групи в прилагане на техните стратегии, чрез предоставяне на методическа помощ за спазване на процедурите и за допустимостта на подадените проекти – УО на ПРСР в сътрудничество с УО на останалите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извършване на посещения на място за наблюдение дейността на местните инициативни групи, за оценка напредъка в прилагането на стратегиите им и съответствието с договора за управление на стратегиите за водено от общностите местно развитие –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одобрение на проекти по подмярка „Подготовка и изпълнение на дейности за сътрудничество на местни инициативни групи“ и проекти по подмярка „Помощ за подготвителни дейности" –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проверки за допустимост на проектите и спазване на процедурите на МИГ за оценка и одобрение на проектите към стратегиите за водено от общностите местно развитие преди окончателното им одобрение, извършване на последваща проверка и плащания по проекти, финансирани от съответните програми, с изключение на ПРСР – всички УО на програмите.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Отговорности на Разплащателна агенция за финансиране от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проверки за допустимост на проектите и спазване на процедурите на МИГ за оценка и одобрение на проектите към стратегиите за водено от общностите местно развитие преди окончателното им одобрение;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приемане и извършване на проверки на заявки за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извършване на проверки на място (където е 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одобрение/отхвърляне на заявките за плащане и извършване на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последваща проверка на МИГ и на ползвателите на финансовата помощ.</w:t>
            </w:r>
          </w:p>
          <w:p>
            <w:pPr>
              <w:pStyle w:val="BodyText"/>
              <w:spacing w:after="100"/>
              <w:jc w:val="both"/>
              <w:rPr>
                <w:b w:val="0"/>
              </w:rPr>
            </w:pPr>
          </w:p>
        </w:tc>
      </w:tr>
    </w:tbl>
    <w:p>
      <w:pPr>
        <w:spacing w:after="100"/>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изпълнението на стратегиите за водено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условията по него, както и операции, допустими съгласно условията и изискванията по ЕФРР, ЕСФ и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Така за бенефициенти, попадащи в обхвата на одобрени местни инициативни групи, подкрепата по мерките на национално ниво е допълнена при прилагането на стратегии за водено от общностите местно развитие. По този начин се постига синергия и по-голям ефект от прилагането на ПРСР и на стратегиите за воденото от общностите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няма да се включват мерки от ПРСР, предвиждащи фиксирани плащания и мерки, свързани със схеми за плащания на площ, в т. ч. мярка 6 „Развитие на стопанства и предприятия”, за  подмерки 6.1 „Стартова помощ за млади земеделски производители”, 6.2 „Стартова помощ за неземеделски дейности” и 6.3 „Стартова помощ за развитие на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7 „Основни услуги и обновяване на селата в селските райони“ от ПРСР на национално ниво, но мярката може да бъде включена в стратегиите за водено от общностите местно развитие и МИГ могат да са допустим бенефициент по нея.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16 „Сътрудничество“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могат да бъдат включени дейностите по чл. 35 от Регламент (ЕС) № 1305/2013, с изключение на включените в мярка 16 „Сътрудничество” от ПРСР подмерки 16.1, 16.2 и 16.4 с оглед ясната демаркация и намаляване на административната тежест за местните инициативни групи при проверките за недопускане на възможността за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могат да включат в стратегиите си за водено от общностите местно развитие и дейности, които да се финансират по Европейския социален фонд, Европейския фонд за регионално развитие и Европейския фонд за морско дело и рибарство, при спазване на изискванията, заложени в съответните програми, включени в многофондовото прилагане на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предотвратяване на възможността за двойно финансиране няма да се допуска подкрепа за едни и същи дейности по стратегия за водено от общностите местно развитие и по програмите, включени в многофондовото прилагане на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Всеки проект, предложен за одобрение към стратегиите за воденото от общностите местно развитие, се проверява за отсъствие на двойно финансиране по съответните мерки към програмите, включени в многофондовото прилагане на ВОМР, преди неговото одобрение.</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3"/>
        <w:jc w:val="left"/>
        <w:rPr>
          <w:b w:val="0"/>
        </w:rPr>
      </w:pPr>
      <w:r>
        <w:rPr>
          <w:b w:val="0"/>
        </w:rPr>
        <w:br w:type="page"/>
      </w:r>
      <w:bookmarkStart w:id="133" w:name="_Toc256000133"/>
      <w:r>
        <w:rPr>
          <w:b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bookmarkEnd w:id="133"/>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39б от Регламент (ЕС) № 1305/2013 на Европейския парламент и Съвета от 17.12.2013 г. относно подпомагане на селските райони от Европейският земеделски фонд за развитие на селските райони (ЕЗФРСР) и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Разпространението на COVID-19 и предприеманите мерки за неговото ограничаване и справяне със здравната и задълбочаващата се икономическа криза в световен мащаб доведе до нарастване на предизвикателствата пред земеделското производство и агрохранителната индустрия. От една страна, това създаде реална опасност да се наруши производството и преработката на селскостопански продукти, предвид затрудненията в доставките на необходимите средства за производство, както и поради задълбочаващия недостиг на работна ръка за изпълнението на основните дейности в отрасъла, породени от изпълнението на задължителните мерки за безопасност, въведени за преодоляване на Коронавирус епидемията.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друга страна, затварянето на ресторантьорския, хотелиерския и туристическия бизнес (канал ХОРЕКА) до голяма степен намали консумацията на основни хранителни продукти – мляко, сирене, месо, плодове, зеленчуци и др., което стана допълнителна  предпоставка за свиване на потреблението на земеделска продукция. На практика нормалното функциониране на цялата верига на доставка на храни беше нарушено, в резултат на което се стигна до затваряне на предприятия и освобождаване на работници.В тази връзка, на европейско ниво се въведе извънредна мярка за подкрепа на земеделските стопани и малки и средни предприятия, особено засегнати от пандемията, със средства от ЕЗФРСР (2% от участието на Фонда в ПРСР). Средствата са целеви и са предназначени за преодоляване на преките и косвените последици за селското стопанство и хранително-вкусовата промишленост от разпространението на COVID-19.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е насочена към предоставяне на финансова помощ на земеделски стопани, занимаващи се със селскостопанска продукция и МСП, които преработват селскостопански продукти, включени Приложение I към ДФЕС или памук. Крайният продукт получен в резултат на преработка на селскостопански продукти може да бъде извън обхвата на Приложение I към ДФЕС. Подкрепата по тази мярка има за цел да се осигури непрекъснатост на стопанска дейност на земеделски стопани и МСП и се предоставя под формата на еднократно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мярката са включени три подмерки в зависимост от вида на допустимите кандидати – земеделски стопани и МСП.</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21.1 -  Изключителна и временна подкрепа за земеделските стопани COVID 1 (член 39b)</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518"/>
              </w:numPr>
              <w:rPr>
                <w:b w:val="0"/>
              </w:rPr>
            </w:pPr>
            <w:r>
              <w:rPr>
                <w:b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подмярка ще се подпомагат на територията на цялата страна земеделски стопани, които осъществяват дейност в силно засегнати от пандемията селскостопански сектори. Подкрепата по тази мярка има за цел да се осигури непрекъснатост на стопанска дейност на земеделски стопани и се предоставя под формата на еднократно плащане.</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е насочена към предоставяне на финансова помощ под формата на еднократно платима сума на земеделски стопани, извършващи земеделска дейност в секторите “Растениевъдство”, “Животновъдство” и “Пчеларство”.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земеделски стопани, които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Да са кандидатствали за подпомагане по схемите и мерките за директни плащания през Кампания 2019 и Кампания 2020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Да са кандидатствали и одобрени за предоставяне на държавна помощ De minimis за подкрепа на пчеларите през 2019 г. или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са кандидатствали и одобрени за подпомагане по мерките от ПРСР 2014-2020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за прием през 2021 г. са земеделски стопани, които са кандидатствали за подпомагане по схемите за директни плащания през Кампания 2020 и:</w:t>
            </w:r>
          </w:p>
          <w:p>
            <w:pPr>
              <w:numPr>
                <w:ilvl w:val="0"/>
                <w:numId w:val="51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са получили подпомагане в рамките на предходния прием по мярката през 2020 г., или</w:t>
            </w:r>
          </w:p>
          <w:p>
            <w:pPr>
              <w:numPr>
                <w:ilvl w:val="0"/>
                <w:numId w:val="51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са подавали заявление за подпомагане в рамките на предходния прием по мярката през 2020 г.</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се предоставя на земеделски стопани, осъществяващи дейност в следните производствени сектори: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плодове и зеленчуци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розопроизводство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винени лозя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декоративни растения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отглеждане на селскостопански животни /ЕПЖ и ДПЖ/</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пчеларство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Един земеделски стопанин може да кандидатства за подпомагане за повече от един от изброените производствени сектори.</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Подпомагането се предоставя на кандидати, развиващи земеделска дейност в поне един от секторите “Растениевъдство” (за културите от списъка в секция „Друга важна информация, необходима за по-доброто разбиране и прилагане на мярката“), “Животновъдство” (ЕПЖ и ДПЖ) и “Пчеларство”, като размерът на финансовата компенсация представлява еднократно платима сума в зависимост от: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размера на площите със съответната земеделска култура от списъка в т. 8.2.16.7. за кампания 2019, но не повече от размера на заявената площ през кампания 2020 г.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размера на площите със съответната земеделска култура, одобрени последно по ПРСР 2014-2020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броя на животните от съответния вид за кампания 2019, но не повече от броя на животните от същия вид през кампания 2020 г.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броя на животните от съответния вид, одобрени последно по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броя на пчелните семейства, одобрени за държавна помощ De minimis през 2019 г. или за наличния брой пчелни семейства през 2020 г., ако същият е по-малък илиброя на пчелните семейства, подпомогнати последно по ПРСР 2014-2020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Подпомагането за кандидати през 2021 г. представлява еднократно платима сума в зависимост от: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размера на установените допустими за подпомагане площи със съответната земеделска култура от списъка в т. 8.2.16.7. за кампания 2020 и/или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броя на установените допустими за подпомагане животни от съответния вид за кампания 2020.</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е под формата на еднократно платима сума, която съгласно Регламент (ЕС) № 1305/2013 трябва да бъде изплатена до 31 декември 2021 г. въз основа на заявленията за подпомагане, които следва да бъдат одобрени до 30 юни 2021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допустим размер на финансовата помощ не може да надвишава левовата равностойност на 7 000 евро за един кандидат. Един кандидат може да получи финансовата помощ еднократно.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СЕКТОР „РАСТЕНИЕВЪДСТВО“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плодове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1,5 ха – 750 лв. (383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1,5 ха до 5 ха – 1 700 лв. (869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 ха до 10 ха – 4 000 лв. (2 045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10 ха до 20 ха – 8 000 лв. (4 090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20 ха до 30 ха – 12 000 лв. (6 136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30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зеленчуци оранжерийни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0,5 ха – 2 700 лв. (1 381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0,5 ха до 1 ха – 5 000 лв. (2 556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 ха до 2 ха – 9 000 лв. (4 602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зеленчуци на открито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1,5 ха – 950 лв. (486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1,5 ха до 5 ха – 3 000 лв. (1 534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 ха до 10 ха – 6 000 лв. (3 068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10 ха до 15 ха – 8 000 лв. (4 090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15 ха до 20 ха – 10 000 лв. (5 113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20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маслодайна роза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1 ха – 900 лв. (460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 ха до 5 ха – 4 000 лв. (2 045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 ха до 10 ха – 7 000 лв. (3 579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10 ха до 20 ха – 10 000 лв. (5 113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20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винени лозя представлява еднократно плащане в размер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1 ха – 300 лв. (153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 ха до 5 ха – 1 500 лв. (767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 ха до 10 ха – 2 500 лв. (1 278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10 ха до 30 ха – 5 000 лв. (2 556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30 ха до 50 ха – 9 000 лв. (4 602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50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декоративни растения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1 ха – 2 000 лв. (1 023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 ха до 5 ха – 8 000 лв. (4 090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 ха до 10 ха – 12 000 лв. (6 136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10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СЕКТОР „ЖИВОТНОВЪДСТВО“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овце и кози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бр. до 49 бр. – 500 лв. (256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99 бр. – 900 лв. (460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100 бр. до 199 бр. – 1 800 лв.  (920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200 бр. до 299 бр. – 2 200  лв. (1 125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300 бр. до 499 бр. – 3 000  лв. (1 534 EUR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500 бр. до 999 бр. – 7 000 лв. (3 579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999 бр.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говеда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 бр. до 9 бр. – 500 лв. (256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бр. до 49 бр. – 1 500 лв. (767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99 бр. – 3 500 лв. (1 790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100 бр. до 249 бр. – 9 000 лв. (4 602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249 бр.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биволи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бр. до 49 бр. – 1 500 лв. (767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99 бр. – 4 500 лв. (2 301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100 бр. до 200 бр. – 9 500 лв. (4 857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200 бр.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СЕКТОР „ПЧЕЛАРСТВО“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пчелни семейства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49 бр. – 250 лв. (128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99 бр. – 500 лв. (256 EUR)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100 бр. до 149 бр. – 700 лв. (358 EUR)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150 бр. до 299 бр. – 1 300 лв. (665 EUR)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300 бр. до 499 бр. –– 1 700 лв. (869 EUR)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499 бр. – 3 000 лв. (1 534 EUR)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земеделските стопанини при подаване на заявление за подпомагане да заяват земеделски площи, животни и пчелни семейства, които не отговарят на условията за допустимост и получаване на плащане.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непредоставяне на даден задължителен документ, което ще доведе до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неизплащане на финансовата помощ,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достатъчна информация на земеделските стопани по отношение на площите и културите, животните, както и пчелните семейства, които отговарят на условията за допустимост за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достатъчна информация, съвети и при необходимост обучения на бенефициентите, за да се гарантира повишаване на разбирането за целите и възможностите за подпомагане по подмярката.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Осъществяване на адекватен контрол от отговорните институции върху отговорните служби и външни организации относно предоставянето на информация за допустимост и спазване на изискванията от кандидатите.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Информиране на бенефициентите, в случай на необходимост от предоставяне на съответния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Кандидатстването по мярката е опростено и заявлението за подпомагане ще се подава по електронен път или чрез областните структури на ДФЗ или Общинските служби по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е контролируема и проверима.</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и размера на подпомагане са подробно описани в общата секция на мярката. Разработването на методологията и извършване на изчисленията за извънредна временна подкрепа за земеделските производители е извършено съвместно между Министерство на земеделието, храните и горите, като Управляващ орган по ПРСР и доц. д-р Божидар Иванов, Институт по аграрна икономика, в качеството си на външен експерт, който осигурява методическа подкрепа и верифицира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е под формата на еднократно платима сума, която трябва да бъде изплатена до 31 декември 2021 г. въз основа на заявленията за подпомагане, които следва да бъдат одобрени до 30 юни 2021 г.</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5"/>
        <w:jc w:val="left"/>
        <w:rPr>
          <w:b w:val="0"/>
        </w:rPr>
      </w:pPr>
      <w:r>
        <w:rPr>
          <w:b w:val="0"/>
        </w:rPr>
        <w:br w:type="page"/>
      </w:r>
      <w:r>
        <w:rPr>
          <w:b w:val="0"/>
        </w:rPr>
        <w:t xml:space="preserve">Подмярка 21.2 -  Изключителна и временна подкрепа за земеделските стопани COVID 2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520"/>
              </w:numPr>
              <w:rPr>
                <w:b w:val="0"/>
              </w:rPr>
            </w:pPr>
            <w:r>
              <w:rPr>
                <w:b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резултат от избухването на COVID-19, възниква необходимост от справяне с проблемите с ликвидността, които излагат на риск непрекъснатостта на селскостопанските дейности на земеделските стопани, включително и поради необходимостта от въвеждането на противоепидемични мерки в рамките на земеделските стопанства. Тези мерки имат за цел да запазят здравето на заетите в селското стопанство, но наред с това генерират и допълнителни разходи за стопанствата.  Подкрепата е насочена към предоставяне на финансова помощ на земеделски стопани отглеждащи свине, птици и други селскостопански култури. Финансирането по подмярката е в съответствие с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осигури ликвидни средства, предвид затрудненията в доставките на необходимите средства за производство, както и поради задълбочаващия недостиг на работна ръка за изпълнението на основните дейности в отрасъла, породени от изпълнението на задължителните мерки за безопасност, въведени за преодоляване на Коронавирус епидемията.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е насочена към предоставяне на финансова помощ под формата на еднократно плащане на земеделски стопани, извършващи земеделска дейност в секторите “Птицевъдство”, “Свиневъдство” и “Други селскостопански култури”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под мярката ще бъде осигурено пълно разграничаване на подкрепата по под мярката с други схеми и мерки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по подмярката отглеждащи други селскостопански култури са земеделски стопани , които са: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Кандидатствали за подпомагане по схемите и мерките за директни плащания през Кампания 2019 и Кампания 2020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Кандидатствали </w:t>
            </w:r>
            <w:r>
              <w:rPr>
                <w:rFonts w:ascii="Times New Roman" w:eastAsia="Times New Roman" w:hAnsi="Times New Roman" w:cs="Times New Roman"/>
                <w:szCs w:val="24"/>
                <w:u w:val="single"/>
              </w:rPr>
              <w:t>и са одобрени</w:t>
            </w:r>
            <w:r>
              <w:rPr>
                <w:rFonts w:ascii="Times New Roman" w:eastAsia="Times New Roman" w:hAnsi="Times New Roman" w:cs="Times New Roman"/>
                <w:szCs w:val="24"/>
              </w:rPr>
              <w:t xml:space="preserve"> за подпомагане по мерките от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Кандидатите земеделски стопани, които отглеждат свине и птици трябва да са кандидатствали и одобрени за предоставяне на държавна помощ през 2019 г. по схема „Помощ за реализиране на доброволно поети ангажименти за хуманно отношение към птиците” или „Помощ за реализиране на доброволно поети ангажименти за хуманно отношение към свинете”</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еднократно плащане в съответствие със заетите лица в земеделски стопанства отглеждащи свине, птици и други селскостопански култури.</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определя на база подадено заявление за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 помощ се предоставя земеделски стопани осъществяващи дейност по отглеждане на: свине, птици и други селскостопански култури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се предоставя на база средносписъчен брой на персонала в земеделското стопанство за периода март-юни 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Не се подпомагат дейност в земеделски стопанства отглеждащи свине и птици, в които има регистрирани огнища на заразни болести в периода до кандидатстване.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Не се подпомагат дейности на земеделски стопани свързани с отглеждане на говеда, биволи, овце, кози, пчелни семейства, плодове, зеленчуци, рози, декоративни растения и винено грозде.</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подмярката не се предвижда прилагането на критерии за оценка на проектни предложения</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е в размер на 100% от определените за допустими за подпомагане дейности и/или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По мярката не се предвижда самоучастие от страна на кандидатите и се предоставя под формата на еднократно плащане по подадено заявление за подпомагане, което има характер и на искане за плащане.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е в размер 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30 лв. (15 евро) за едно заето лице за земеделски стопанства отглеждащи други селскостопански култури;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245 лв. (125 евро) за едно заето лице за земеделски стопанства отглеждащи свине;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430 лв. (220 евро) за едно заето лице за земеделски стопанства отглеждащи птици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Максималният допустим размер на финансовата помощ не може да надвишава левовата равностойност на 7 000 евро за един кандидат – земеделски стопанин.</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надвишаващи допустимите стойности;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дейности, които могат да бъдат подпомогнати по други финансови инструменти;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неподходящ избор на бенефициенти, които не отговарят на условията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неизплащане на финансовата помощ, поради недостатъчна информираност на кандидатите, което от своя страна би завишило нивото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Обосноваността на допустимите дейности ще се извършва на база счетоводна информация представена от кандидата и компетентни публични органи;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При използване на механизма за оценка на допустимите дейности, където е приложимо ще се извършва насрещна проверка на предоставените от кандидатите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Ще се извършва насрещна проверка за двойно финансиране с другите ЕСИ фондове и финансови инструменти;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Осигуряване на достатъчна информация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и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и размера на подпомагане са подробно описани в общата секция на мярката. Разработването на методологията и извършване на изчисленията за извънредна временна подкрепа за земеделските производители е извършено съвместно между Министерство на земеделието, храните и горите, като Управляващ орган по ПРСР и доц. д-р Божидар Иванов, Институт по аграрна икономика, в качеството си на външен експерт, който осигурява методическа подкрепа и верифицира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е под формата на еднократно платима сума, която трябва да бъде изплатена до 31 декември 2021 г. въз основа на заявленията за подпомагане, които следва да бъдат одобрени до 30 юни 2021 г.</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5"/>
        <w:jc w:val="left"/>
        <w:rPr>
          <w:b w:val="0"/>
        </w:rPr>
      </w:pPr>
      <w:r>
        <w:rPr>
          <w:b w:val="0"/>
        </w:rPr>
        <w:br w:type="page"/>
      </w:r>
      <w:r>
        <w:rPr>
          <w:b w:val="0"/>
        </w:rPr>
        <w:t>подмярка  21.3 -  Изключителна и временна подкрепа за МСП  и групи и организации на производители COVID 3</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521"/>
              </w:numPr>
              <w:rPr>
                <w:b w:val="0"/>
              </w:rPr>
            </w:pPr>
            <w:r>
              <w:rPr>
                <w:b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Значителните ограничения във връзка с COVID кризата по отношение на движението, въведени в държавите членки, както и задължителното затваряне на определени бизнеси, доведоха до икономически сътресения в селскостопанския сектор и до проблеми с ликвидността и паричните потоци за малките предприятия, занимаващи се с преработка, предлагане на пазара или развитие на селскостопански продукти. Предвид извънредната  ситуация и последиците от нея чрез подмярката се предоставя възможност за целева подкрепа на засегнатите оператори. Подкрепата е насочена към предоставяне на финансова помощ на МСП извършващи дейност по преработка на селскостопански продукти в избрани производствени сектори, които традиционно се подкрепят по ПРСР. По този начин ще се осигури достъп до финансиране на около 800 МСП. Финансирането по подмярката е в съответствие с Регламент (ЕС) №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ще бъде насочено към малки и средни предприятия и признати групи и организации на производители под формата на еднократна помощ във връзка предизвикателствата пред, които е поставена агрохранителната индустрия в резултат на разпространението на COVID-19.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осигури ликвидни средства, предвид затрудненията в доставките на необходимите средства за производство, както и поради задълбочаващия недостиг на работна ръка за изпълнението на основните дейности в отрасъла, породени от изпълнението на задължителните мерки за безопасност, въведени за преодоляване на Коронавирус епидемията.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се предоставя на територията на цялата страна, под формата на еднократна помощ насочена към малки и средни предприятия и признати групи и организации на производители. Подпомагането трябва да е насочено към дейности свързани с:</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Преработка и/или маркетинг на продукти в обхвата на Приложение I към Договора за функциониране на Европейския съюз или на памук, с изключение на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нови продукти, процеси и технологии за продукти в обхвата на Приложение I към Договора за функциониране на Европейския съюз или на памук, с изключение на рибни продукти;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•Микро, малки и средни предприятия – преработващи селскостопански продукти включени в Приложение I към ДФЕС;</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•Признати групи и организации на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за подпомагане кандидати трябва да отговарят на дефиницията* посочена в чл. 2 (28) от Регламент (ЕС) № 1303/2013 на Европейския парламент и на Съвета от 17 декември 2013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„МСП“ са микро-, малко или средно предприятие съгласно определението в Препоръка 2003/361/ЕО на Комисията от 6 май 2003 г. относно определението за микро-, малки и средни предприятия (ОВ L 124, 20.5.2003 г., стр. 36).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групи/организации на производители трябва да са признати като организация на производители, в съответствие с националното и/или европейското законодателство за организации на производители и/или одобрени за финансова помощ по мярка 9 „Учредяване на групи и организации на производители”;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еднократно плащане в съответствие с реализираните обороти и техният спад или в съответствие със заетите лица.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определя на база подадено заявление за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се предоставя на МСП регистрирани по Закона за данък върху добавената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МСП се предоставя, в случай, че е установен спад на приходите от продажби на преработени селскостопански продукти от изброените сектори с най – малко 20 на сто по данни за периода март-юни на 2020 г., спрямо периода март-юни на 2019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групи и организации на производители се взимат предвид и реализираните на пазара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МСП на база заети лица се предоставя без да се доказва спад на приходите от продажби на преработени селскостопански продукти и се предоставя на база средносписъчен брой на персонала за периода март-юни 2020. За групи и организации на производители се взимат предвид и реализираните на пазара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 ще се предоставя за избрани първични производствени сектори свързани с преработката/маркетинг на продукти, описани в Приложение І на Договора за функциониране на Европейския съюз и памук.</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мляко и млечни продукти, включително яйца от птици, с изключение на производство, преработка и/или маркетинг на продукти, наподобяващи/заместващи мляко и млечни продукти;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месо и месни продукти;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плодове и зеленчуци, включително гъби;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пчелен мед и пчелни продукти с изключение на производство, преработка и/или маркетинг на продукти, наподобяващи/заместващи пчелен мед и пчелни продукти;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 зърнени, мелничарски и нишестени продукти с изключение на производство, преработка и/или маркетинг на хляб и тестени изделия;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6. растителни и животински масла и мазнини с изключение на производство, преработка и/или маркетинг на маслиново масло;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7. технически и медицински култури, включително маслодайна роза, билки и памук, с изключение на производство, преработка и/или маркетинг на тютюн и тютюневи изделия, захар и сладкарски изделия;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8. готови храни за селскостопански животни (фуражи);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не се предоставя за дейности свързани с риба и рибни продукти, гроздова мъст, вино и оцет.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не се предоставя на кандидати допустими за подпомагане по Оперативна програма иновации и конкурентноспособност 2014-2020 – ОПИК 2014-2020.</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подмярката не се предвижда прилагането на критерии за оценка на проектни предложения</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 100% от определените за допустими за подпомагане дейности и/или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не се предвижда самоучастие от страна на кандидатите и се предоставя под формата на еднократно плащане по подадено заявление за подпомагане, което има характер и на искане за плащане.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5% от стойността на декларираните приходи/доходи от реализация на преработени селскостопански продукти за 2019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270 лв. (138 евро) за едно заето лице;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 помощ се предоставя само по едно от посочените две направления /т.1 или т.2/, като не се допуска тяхното комбиниране.</w:t>
            </w:r>
          </w:p>
          <w:p>
            <w:pPr>
              <w:numPr>
                <w:ilvl w:val="0"/>
                <w:numId w:val="52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Минималният допустим размер на финансовата помощ за едно заявление за подпомагане и един кандидат е в рамките на 500 евро.</w:t>
            </w:r>
          </w:p>
          <w:p>
            <w:pPr>
              <w:numPr>
                <w:ilvl w:val="0"/>
                <w:numId w:val="52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допустим размер на финансовата помощ за един кандидат не може да надвишава левовата равностойност до 50 000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че допустимия размер на финансовата помощ по подадените заявления за подпомагане, надхвърля разполагаемия бюджет за периода на прием, финансовата помощ по заявленията се намалява пропорционално в рамките на разполагаемия бюджет.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за предприятия, извършващи преработка на продукти от приложение № І от ДФЕС в продукти извън приложение № І от ДФЕС или памук, ще се предоставя в съответствие с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преки разходи над допустимите стойности;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дейности, които могат да бъдат подпомогнати по ОПИК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неподходящ избор на бенефициенти, които не отговарят на условията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подпомагане на дейности, свързани преработка на суровини и крайни продукти от нея извън Анекс I към Договора.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Обосноваността на допустимите дейности ще се извършва на база счетоводна информация представена от кандидата и компетентни публични органи;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При използване на механизма за оценка на допустимите дейности, където е приложимо ще се извършва насрещна проверка на предоставените от кандидатите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Ще се извършва насрещна проверка за двойно финансиране с другите ЕСИ фондове;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Осигуряване на достатъчна информация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и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е под формата на еднократно платима сума, която трябва да бъде изплатена до 31 декември 2021 г. въз основа на заявленията за подпомагане, които следва да бъдат одобрени до 30 юни 2021 г.</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земеделските стопанини при подаване на заявление за подпомагане да заяват земеделски площи, животни и пчелни семейства, които не отговарят на условията за допустимост и получаване на плащане.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непредоставяне на даден задължителен документ, което ще доведе до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неизплащане на финансовата помощ,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достатъчна информация на земеделските стопани по отношение на площите и културите, животните, както и пчелните семейства, които отговарят на условията за допустимост за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достатъчна информация, съвети и при необходимост обучения на бенефициентите, за да се гарантира повишаване на разбирането за целите и възможностите за подпомагане по подмярката.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Осъществяване на адекватен контрол от отговорните институции върху отговорните служби и външни организации относно предоставянето на информация за допустимост и спазване на изискванията от кандидатите.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Информиране на бенефициентите, в случай на необходимост от предоставяне на съответния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Кандидатстването по мярката е опростено и заявлението за подпомагане ще се подава по електронен път или чрез областните структури на ДФЗ.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е контролируема и проверима.</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5102" w:right="-567"/>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и размера на подпомагане са подробно описани по-долу. Разработването на методологията и извършване на изчисленията за извънредна временна подкрепа за земеделските производители е извършено съвместно между Министерство на земеделието, храните и горите, като Управляващ орган по ПРСР и доц. д-р Божидар Иванов, Институт по аграрна икономика, в качеството си на външен експерт, който осигурява методическа подкрепа и верифицира изчисленията.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Методология за изчисляване на компенсаторните плащания по мярка Covid 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да се отговори на въздействието на кризата, породена от избухването на COVID-19, се прие необходимостта от въвеждане на нова извънредна и временна мярка, която да подкрепи производителите да се справят с нарасналите разходи, произтичащи от извънредното положение и борбата с COVID-19. За да стане възможно това се направиха промени в Регламент 1305/2013, с допълването му с чл.39Б, който постановява „въвеждането на извънредна временна помощ за земеделските производители и за МСП, особено засегнати от кризата КОВИД-19”.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Тази подкрепа цели да предостави спешна помощ на земеделските производители и МСП, особено засегнати от кризата COVID-19, за да се осигури непрекъснатост на тяхната стопанска дейност при спазване на условията, посочени в настоящия член. Помощта се предоставя на земеделски стопани, както и на МСП, които се занимават с преработка, търговия или развитие на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Независимо, че в обхванатите производства попадаха сектори от областта и на животновъдството и на растениевъдството, предложената и използвана методическа рамка е обща и се базира на няколко ключови елемента: еднакъв подход при събиране на данните за изчисляване на повишените разходи, свързани с различни материални и технологични нужди в стопанствата при упражняване на тяхната дейност и тяхното свързване със заетите; двустепенно претегляне на повишените разходи на един зает, (на база девиацията в броя на заетите в анкетираните стопанства към средния брой на заетите в съответния клас специализирани стопанства, така и по отношение на претегляне на средните разходи на един зает за всяко производство между отделните стратифицирани класове стопанства); пренасяне на изчислените средни разходи на зает в отделните сектори на стопанство при получено като произведение на повишените разходи на заетите по производства към средния брой на заетите в различните класове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Методология за определяне </w:t>
            </w:r>
            <w:r>
              <w:rPr>
                <w:rFonts w:ascii="Times New Roman" w:eastAsia="Times New Roman" w:hAnsi="Times New Roman" w:cs="Times New Roman"/>
                <w:b/>
                <w:bCs/>
                <w:szCs w:val="24"/>
              </w:rPr>
              <w:t>плащания ПО ИЗВЪНРЕДНАТА ВРЕМЕННА ПОМОЩ СВЪРЗАНА с КРИЗАТА ОТ КОВИД-19 НА ОСНОВАНИЕ ПРОМЕНИ в РЕГЛАМЕНТ 1305/2013, СЪГЛАСНО Чл.39Б.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 19.06.2020 г. Европейският парламент прие решение на първо четене по направено предложение на същия и на Европейската комисия за промяна на Регламент 1305/2013, предвиждащ въвеждане на специфични мерки за осигуряване на извънредна временна помощ от Европейския земеделски фонд за развитие на селските райони в отговор на избухналата пандемия от КОВИД-19, формулирано в P9_TC1-COD(2020)0075 от 19.06.2020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Договора за функциониране на ЕС, в чл.42 и чл.43(2) е направено предложение от ЕК, където е взето мнението и на Европейския икономически и социален съвет обосновавайки нуждата от извънредна временна помощ за земеделските производители пострадали от кризата с разпространението на КОВИД-19. Земеделските производители са засегнати от последствията от избухването на КОВИД-19 заради ограниченията за движение въведени в държавите-членки, както и от затварянето на част от търговските обекти и заведенията за обществено хранене, както и от необходимостта от прилагане на специални мерки в самите производствени обекти за хигиенизиране и санитаризиране като превенция срещу заразяване на работещите. Това създаде икономически смущения в селскостопанския сектор и доведе до ликвидни и икономически проблеми за земеделските производители и за малкия бизнес, както и в областта на преработката, маркетинг и самото производство на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да се отговори на въздействието на кризата, породена от избухването на COVID-19, се прие необходимостта от въвеждане на нова извънредна и временна мярка, която да подкрепи производителите да се справят с нарасналите разходи, произтичащи от извънредното положение и борбата с КОВИД-19. За да стане възможно това се направиха промени в Регламент 1305/2013, с допълването му с чл.39Б, който постановява „въвеждането на извънредна временна помощ за земеделските производители и за МСП, особено засегнати от кризата КОВИД-19”.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Тази подкрепа цели да предостави спешна помощ на земеделските производители и МСП, особено засегнати от кризата COVID-19, за да се осигури непрекъснатост на тяхната стопанска дейност при спазване на условията, посочени в настоящия член. Помощта се предоставя на земеделски стопани, както и на МСП, които се занимават с преработка, търговия или развитие на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самите указания, които са разработени се препоръчва държавите-членки да ориентират подкрепата към бенефициенти, които са най-засегнати от кризата КОВИД-19, като определят въз основа на наличните доказателства, условията за допустимост и, когато това е целесъобразно от съответната държава-членка, по критерии за подбор, които са обективни и недискриминационни. Подкрепата е под формата на еднократно плащане, което трябва да бъде изплатенодо 31 декември 2021 г. въз основа на заявленията за подпомагане, които следва да бъдат одобрени до 30 юни 2021 г. Нивото на плащане може да бъде диференцирано по категории бенефициенти в съответствие с обективни и недискриминационни критерии. Максималният размер на помощта не трябва да надвишава 7 000 EUR на земеделски производител и 50 000 EUR за МСП. При отпускане на помощта съгласно настоящия член, държавите-членки трябва да вземат предвид средствата, предоставени по други национални инструменти или инструменти за подпомагане на Съюза или частни схеми за отговор на въздействието на кризата КОВИД-19.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Разработването на методологията и извършване на изчисленията за извънредна временна подкрепа за земеделските производители е извършено съвместно между Министерство на земеделието, храните и горите, като Управляващ орган по ПРСР и външен експерт, който осигурява методическа подкрепа и верифицира изчисленията. МЗХГ предложи обхвата на производствата, за които да се разработи методически инструментариум и да се изчислят и предложат плащания за подкрепа, произтичащи от увеличените оперативни разходи за тяхната работа, свързани с кризата от КОВИД-19. Независимо, че в обхванатите производства попадаха сектори от областта и на животновъдството и на растениевъдството, предложената и използвана методическа рамка е обща и се базира на няколко ключови елемента: еднакъв подход при събиране на данните за изчисляване на повишените разходи, свързани с различни материални и технологични нужди в стопанствата при упражняване на тяхната дейност и тяхното свързване със заетите; двустепенно претегляне на повишените разходи на един зает (на база девиацията в броя на заетите в анкетираните стопанства към средния брой на заетите в съответния клас специализирани стопанства, така и по отношение на претегляне на средните разходи на един зает за всяко производство между отделните стратифицирани класове стопанства); пренасяне на изчислените средни разходи на зает в отделните сектори на стопанство при получено като произведение на повишените разходи на заетите по производства към средния брой на заетите в различните класове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Алгоритъмът за определяне на плащанията за извънредната временна помощ по различните производства може да бъде описан по следния начин: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осъществяването на изчисленията са следвани следните стъпки:</w:t>
            </w:r>
          </w:p>
          <w:p>
            <w:pPr>
              <w:numPr>
                <w:ilvl w:val="0"/>
                <w:numId w:val="523"/>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анкетно проучване от страна на МЗХГ, за събиране данни от земеделските производители в обхванатите производства, за равнището на повишени разходи от разпространението на КОВИД-19, отнасящи се до материални и технологични дейности насочени към предпазване или резултиращи от разпространението на вируса;</w:t>
            </w:r>
          </w:p>
          <w:p>
            <w:pPr>
              <w:numPr>
                <w:ilvl w:val="0"/>
                <w:numId w:val="52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Събиране на официална статистическа информация за стопанската структура и класифициране на специализираните стопанства по размер на съответните площи и животни и средния брой на заетите в отделните класове;</w:t>
            </w:r>
          </w:p>
          <w:p>
            <w:pPr>
              <w:numPr>
                <w:ilvl w:val="0"/>
                <w:numId w:val="52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Предварителен преглед на данните от анкетите, калибриране и обработване;</w:t>
            </w:r>
          </w:p>
          <w:p>
            <w:pPr>
              <w:numPr>
                <w:ilvl w:val="0"/>
                <w:numId w:val="523"/>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Изчисляване на средните повишени променливи разходи на един зает в анкетираните стопанства, където </w:t>
            </w:r>
            <w:r>
              <w:rPr>
                <w:rFonts w:ascii="Times New Roman" w:eastAsia="Times New Roman" w:hAnsi="Times New Roman" w:cs="Times New Roman"/>
                <w:i/>
                <w:iCs/>
                <w:szCs w:val="24"/>
              </w:rPr>
              <w:t>TVC</w:t>
            </w:r>
            <w:r>
              <w:rPr>
                <w:rFonts w:ascii="Times New Roman" w:eastAsia="Times New Roman" w:hAnsi="Times New Roman" w:cs="Times New Roman"/>
                <w:i/>
                <w:iCs/>
                <w:szCs w:val="24"/>
              </w:rPr>
              <w:t>SFS</w:t>
            </w:r>
            <w:r>
              <w:rPr>
                <w:rFonts w:ascii="Times New Roman" w:eastAsia="Times New Roman" w:hAnsi="Times New Roman" w:cs="Times New Roman"/>
                <w:szCs w:val="24"/>
              </w:rPr>
              <w:t xml:space="preserve"> са общите повишени разходи заради КОВИД-19, а </w:t>
            </w:r>
            <w:r>
              <w:rPr>
                <w:rFonts w:ascii="Times New Roman" w:eastAsia="Times New Roman" w:hAnsi="Times New Roman" w:cs="Times New Roman"/>
                <w:i/>
                <w:iCs/>
                <w:szCs w:val="24"/>
              </w:rPr>
              <w:t>TNE</w:t>
            </w:r>
            <w:r>
              <w:rPr>
                <w:rFonts w:ascii="Times New Roman" w:eastAsia="Times New Roman" w:hAnsi="Times New Roman" w:cs="Times New Roman"/>
                <w:i/>
                <w:iCs/>
                <w:szCs w:val="24"/>
              </w:rPr>
              <w:t>SFS</w:t>
            </w:r>
            <w:r>
              <w:rPr>
                <w:rFonts w:ascii="Times New Roman" w:eastAsia="Times New Roman" w:hAnsi="Times New Roman" w:cs="Times New Roman"/>
                <w:szCs w:val="24"/>
              </w:rPr>
              <w:t> е общият брой на заетите в анкетираното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VCE</w:t>
            </w:r>
            <w:r>
              <w:rPr>
                <w:rFonts w:ascii="Times New Roman" w:eastAsia="Times New Roman" w:hAnsi="Times New Roman" w:cs="Times New Roman"/>
                <w:i/>
                <w:iCs/>
                <w:szCs w:val="24"/>
              </w:rPr>
              <w:t>SFS</w:t>
            </w:r>
            <w:r>
              <w:rPr>
                <w:rFonts w:ascii="Times New Roman" w:eastAsia="Times New Roman" w:hAnsi="Times New Roman" w:cs="Times New Roman"/>
                <w:i/>
                <w:iCs/>
                <w:szCs w:val="24"/>
              </w:rPr>
              <w:t>=</w:t>
            </w:r>
            <w:r>
              <w:rPr>
                <w:rFonts w:ascii="Times New Roman" w:eastAsia="Times New Roman" w:hAnsi="Times New Roman" w:cs="Times New Roman"/>
                <w:i/>
                <w:iCs/>
                <w:szCs w:val="24"/>
              </w:rPr>
              <w:t>TVC</w:t>
            </w:r>
            <w:r>
              <w:rPr>
                <w:rFonts w:ascii="Times New Roman" w:eastAsia="Times New Roman" w:hAnsi="Times New Roman" w:cs="Times New Roman"/>
                <w:i/>
                <w:iCs/>
                <w:szCs w:val="24"/>
              </w:rPr>
              <w:t>SFS</w:t>
            </w:r>
            <w:r>
              <w:rPr>
                <w:rFonts w:ascii="Times New Roman" w:eastAsia="Times New Roman" w:hAnsi="Times New Roman" w:cs="Times New Roman"/>
                <w:i/>
                <w:iCs/>
                <w:szCs w:val="24"/>
              </w:rPr>
              <w:t>TNE</w:t>
            </w:r>
            <w:r>
              <w:rPr>
                <w:rFonts w:ascii="Times New Roman" w:eastAsia="Times New Roman" w:hAnsi="Times New Roman" w:cs="Times New Roman"/>
                <w:i/>
                <w:iCs/>
                <w:szCs w:val="24"/>
              </w:rPr>
              <w:t>SFS</w:t>
            </w:r>
            <w:r>
              <w:rPr>
                <w:rFonts w:ascii="Times New Roman" w:eastAsia="Times New Roman" w:hAnsi="Times New Roman" w:cs="Times New Roman"/>
                <w:szCs w:val="24"/>
              </w:rPr>
              <w:t>                                                                                      (1)</w:t>
            </w:r>
          </w:p>
          <w:p>
            <w:pPr>
              <w:numPr>
                <w:ilvl w:val="0"/>
                <w:numId w:val="524"/>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Претегляне тежестта на отделните стопанства попаднали в анкетното проучване при определяне на средните повишение разходи настъпили от КОВИД-19 в стратифицираните класове стопанства, където </w:t>
            </w:r>
            <w:r>
              <w:rPr>
                <w:rFonts w:ascii="Times New Roman" w:eastAsia="Times New Roman" w:hAnsi="Times New Roman" w:cs="Times New Roman"/>
                <w:i/>
                <w:iCs/>
                <w:szCs w:val="24"/>
              </w:rPr>
              <w:t>DEV</w:t>
            </w:r>
            <w:r>
              <w:rPr>
                <w:rFonts w:ascii="Times New Roman" w:eastAsia="Times New Roman" w:hAnsi="Times New Roman" w:cs="Times New Roman"/>
                <w:i/>
                <w:iCs/>
                <w:szCs w:val="24"/>
              </w:rPr>
              <w:t>KSFS</w:t>
            </w:r>
            <w:r>
              <w:rPr>
                <w:rFonts w:ascii="Times New Roman" w:eastAsia="Times New Roman" w:hAnsi="Times New Roman" w:cs="Times New Roman"/>
                <w:szCs w:val="24"/>
              </w:rPr>
              <w:t> е абсолютната стойност на отклонението в броя на заетите на всяко анкетирано стопанство към средния брой заети в съответния клас от специализирания тип стопанства в структурната статистика разделено на сумата от индивидуалните отклонения;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W</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=1-</w:t>
            </w:r>
            <w:r>
              <w:rPr>
                <w:rFonts w:ascii="Times New Roman" w:eastAsia="Times New Roman" w:hAnsi="Times New Roman" w:cs="Times New Roman"/>
                <w:i/>
                <w:iCs/>
                <w:szCs w:val="24"/>
              </w:rPr>
              <w:t>DEV</w:t>
            </w:r>
            <w:r>
              <w:rPr>
                <w:rFonts w:ascii="Times New Roman" w:eastAsia="Times New Roman" w:hAnsi="Times New Roman" w:cs="Times New Roman"/>
                <w:i/>
                <w:iCs/>
                <w:szCs w:val="24"/>
              </w:rPr>
              <w:t>KSFS</w:t>
            </w:r>
            <w:r>
              <w:rPr>
                <w:rFonts w:ascii="Times New Roman" w:eastAsia="Times New Roman" w:hAnsi="Times New Roman" w:cs="Times New Roman"/>
                <w:szCs w:val="24"/>
              </w:rPr>
              <w:t>                                                                             (2)</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DEV</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w:t>
            </w:r>
            <w:r>
              <w:rPr>
                <w:rFonts w:ascii="Times New Roman" w:eastAsia="Times New Roman" w:hAnsi="Times New Roman" w:cs="Times New Roman"/>
                <w:i/>
                <w:iCs/>
                <w:szCs w:val="24"/>
              </w:rPr>
              <w:t>ABS</w:t>
            </w:r>
            <w:r>
              <w:rPr>
                <w:rFonts w:ascii="Times New Roman" w:eastAsia="Times New Roman" w:hAnsi="Times New Roman" w:cs="Times New Roman"/>
                <w:i/>
                <w:iCs/>
                <w:szCs w:val="24"/>
              </w:rPr>
              <w:t>(</w:t>
            </w:r>
            <w:r>
              <w:rPr>
                <w:rFonts w:ascii="Times New Roman" w:eastAsia="Times New Roman" w:hAnsi="Times New Roman" w:cs="Times New Roman"/>
                <w:i/>
                <w:iCs/>
                <w:szCs w:val="24"/>
              </w:rPr>
              <w:t>TNE</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w:t>
            </w:r>
            <w:r>
              <w:rPr>
                <w:rFonts w:ascii="Times New Roman" w:eastAsia="Times New Roman" w:hAnsi="Times New Roman" w:cs="Times New Roman"/>
                <w:i/>
                <w:iCs/>
                <w:szCs w:val="24"/>
              </w:rPr>
              <w:t>AVNE</w:t>
            </w:r>
            <w:r>
              <w:rPr>
                <w:rFonts w:ascii="Times New Roman" w:eastAsia="Times New Roman" w:hAnsi="Times New Roman" w:cs="Times New Roman"/>
                <w:i/>
                <w:iCs/>
                <w:szCs w:val="24"/>
              </w:rPr>
              <w:t>SFSS</w:t>
            </w:r>
            <w:r>
              <w:rPr>
                <w:rFonts w:ascii="Times New Roman" w:eastAsia="Times New Roman" w:hAnsi="Times New Roman" w:cs="Times New Roman"/>
                <w:i/>
                <w:iCs/>
                <w:szCs w:val="24"/>
              </w:rPr>
              <w:t>)</w:t>
            </w:r>
            <w:r>
              <w:rPr>
                <w:rFonts w:ascii="Times New Roman" w:eastAsia="Times New Roman" w:hAnsi="Times New Roman" w:cs="Times New Roman"/>
                <w:i/>
                <w:iCs/>
                <w:szCs w:val="24"/>
              </w:rPr>
              <w:t>ABS</w:t>
            </w:r>
            <w:r>
              <w:rPr>
                <w:rFonts w:ascii="Times New Roman" w:eastAsia="Times New Roman" w:hAnsi="Times New Roman" w:cs="Times New Roman"/>
                <w:i/>
                <w:iCs/>
                <w:szCs w:val="24"/>
              </w:rPr>
              <w:t>(</w:t>
            </w:r>
            <w:r>
              <w:rPr>
                <w:rFonts w:ascii="Times New Roman" w:eastAsia="Times New Roman" w:hAnsi="Times New Roman" w:cs="Times New Roman"/>
                <w:i/>
                <w:iCs/>
                <w:szCs w:val="24"/>
              </w:rPr>
              <w:t>TNE</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w:t>
            </w:r>
            <w:r>
              <w:rPr>
                <w:rFonts w:ascii="Times New Roman" w:eastAsia="Times New Roman" w:hAnsi="Times New Roman" w:cs="Times New Roman"/>
                <w:i/>
                <w:iCs/>
                <w:szCs w:val="24"/>
              </w:rPr>
              <w:t>AVNE</w:t>
            </w:r>
            <w:r>
              <w:rPr>
                <w:rFonts w:ascii="Times New Roman" w:eastAsia="Times New Roman" w:hAnsi="Times New Roman" w:cs="Times New Roman"/>
                <w:i/>
                <w:iCs/>
                <w:szCs w:val="24"/>
              </w:rPr>
              <w:t>SFSS</w:t>
            </w:r>
            <w:r>
              <w:rPr>
                <w:rFonts w:ascii="Times New Roman" w:eastAsia="Times New Roman" w:hAnsi="Times New Roman" w:cs="Times New Roman"/>
                <w:i/>
                <w:iCs/>
                <w:szCs w:val="24"/>
              </w:rPr>
              <w:t>)</w:t>
            </w:r>
            <w:r>
              <w:rPr>
                <w:rFonts w:ascii="Times New Roman" w:eastAsia="Times New Roman" w:hAnsi="Times New Roman" w:cs="Times New Roman"/>
                <w:i/>
                <w:iCs/>
                <w:szCs w:val="24"/>
              </w:rPr>
              <w:t xml:space="preserve">                                                        </w:t>
            </w:r>
            <w:r>
              <w:rPr>
                <w:rFonts w:ascii="Times New Roman" w:eastAsia="Times New Roman" w:hAnsi="Times New Roman" w:cs="Times New Roman"/>
                <w:szCs w:val="24"/>
              </w:rPr>
              <w:t>(3)</w:t>
            </w:r>
          </w:p>
          <w:p>
            <w:pPr>
              <w:numPr>
                <w:ilvl w:val="0"/>
                <w:numId w:val="525"/>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Получаване на средните повишени променливи разходи заради КОВИД-19 в обхванатите производства на зает (</w:t>
            </w:r>
            <w:r>
              <w:rPr>
                <w:rFonts w:ascii="Times New Roman" w:eastAsia="Times New Roman" w:hAnsi="Times New Roman" w:cs="Times New Roman"/>
                <w:i/>
                <w:iCs/>
                <w:szCs w:val="24"/>
              </w:rPr>
              <w:t>AVVCE</w:t>
            </w:r>
            <w:r>
              <w:rPr>
                <w:rFonts w:ascii="Times New Roman" w:eastAsia="Times New Roman" w:hAnsi="Times New Roman" w:cs="Times New Roman"/>
                <w:i/>
                <w:iCs/>
                <w:szCs w:val="24"/>
              </w:rPr>
              <w:t>FSS</w:t>
            </w:r>
            <w:r>
              <w:rPr>
                <w:rFonts w:ascii="Times New Roman" w:eastAsia="Times New Roman" w:hAnsi="Times New Roman" w:cs="Times New Roman"/>
                <w:szCs w:val="24"/>
              </w:rPr>
              <w:t xml:space="preserve">), където числителят представлява произведение от средните повишение разходи на един зает в анкетираните стопанства, към техния тегловен коефициент </w:t>
            </w:r>
            <w:r>
              <w:rPr>
                <w:rFonts w:ascii="Times New Roman" w:eastAsia="Times New Roman" w:hAnsi="Times New Roman" w:cs="Times New Roman"/>
                <w:i/>
                <w:iCs/>
                <w:szCs w:val="24"/>
              </w:rPr>
              <w:t>W</w:t>
            </w:r>
            <w:r>
              <w:rPr>
                <w:rFonts w:ascii="Times New Roman" w:eastAsia="Times New Roman" w:hAnsi="Times New Roman" w:cs="Times New Roman"/>
                <w:i/>
                <w:iCs/>
                <w:szCs w:val="24"/>
              </w:rPr>
              <w:t>KSFS</w:t>
            </w:r>
            <w:r>
              <w:rPr>
                <w:rFonts w:ascii="Times New Roman" w:eastAsia="Times New Roman" w:hAnsi="Times New Roman" w:cs="Times New Roman"/>
                <w:szCs w:val="24"/>
              </w:rPr>
              <w:t xml:space="preserve">, умножен с общия брой заети в съответния клас в структурната статистика </w:t>
            </w:r>
            <w:r>
              <w:rPr>
                <w:rFonts w:ascii="Times New Roman" w:eastAsia="Times New Roman" w:hAnsi="Times New Roman" w:cs="Times New Roman"/>
                <w:i/>
                <w:iCs/>
                <w:szCs w:val="24"/>
              </w:rPr>
              <w:t>TNE</w:t>
            </w:r>
            <w:r>
              <w:rPr>
                <w:rFonts w:ascii="Times New Roman" w:eastAsia="Times New Roman" w:hAnsi="Times New Roman" w:cs="Times New Roman"/>
                <w:i/>
                <w:iCs/>
                <w:szCs w:val="24"/>
              </w:rPr>
              <w:t>FSS</w:t>
            </w:r>
            <w:r>
              <w:rPr>
                <w:rFonts w:ascii="Times New Roman" w:eastAsia="Times New Roman" w:hAnsi="Times New Roman" w:cs="Times New Roman"/>
                <w:szCs w:val="24"/>
              </w:rPr>
              <w:t>. В числителят се прави сбор от резултатите по всички класове стопанства. Знаменателят представлява общия брой на всички заети стратифицирани по класовете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AVVCE</w:t>
            </w:r>
            <w:r>
              <w:rPr>
                <w:rFonts w:ascii="Times New Roman" w:eastAsia="Times New Roman" w:hAnsi="Times New Roman" w:cs="Times New Roman"/>
                <w:i/>
                <w:iCs/>
                <w:szCs w:val="24"/>
              </w:rPr>
              <w:t>FSS</w:t>
            </w:r>
            <w:r>
              <w:rPr>
                <w:rFonts w:ascii="Times New Roman" w:eastAsia="Times New Roman" w:hAnsi="Times New Roman" w:cs="Times New Roman"/>
                <w:i/>
                <w:iCs/>
                <w:szCs w:val="24"/>
              </w:rPr>
              <w:t>=</w:t>
            </w:r>
            <w:r>
              <w:rPr>
                <w:rFonts w:ascii="Times New Roman" w:eastAsia="Times New Roman" w:hAnsi="Times New Roman" w:cs="Times New Roman"/>
                <w:i/>
                <w:iCs/>
                <w:szCs w:val="24"/>
              </w:rPr>
              <w:t>(</w:t>
            </w:r>
            <w:r>
              <w:rPr>
                <w:rFonts w:ascii="Times New Roman" w:eastAsia="Times New Roman" w:hAnsi="Times New Roman" w:cs="Times New Roman"/>
                <w:i/>
                <w:iCs/>
                <w:szCs w:val="24"/>
              </w:rPr>
              <w:t>K=1</w:t>
            </w:r>
            <w:r>
              <w:rPr>
                <w:rFonts w:ascii="Times New Roman" w:eastAsia="Times New Roman" w:hAnsi="Times New Roman" w:cs="Times New Roman"/>
                <w:i/>
                <w:iCs/>
                <w:szCs w:val="24"/>
              </w:rPr>
              <w:t>S</w:t>
            </w:r>
            <w:r>
              <w:rPr>
                <w:rFonts w:ascii="Times New Roman" w:eastAsia="Times New Roman" w:hAnsi="Times New Roman" w:cs="Times New Roman"/>
                <w:i/>
                <w:iCs/>
                <w:szCs w:val="24"/>
              </w:rPr>
              <w:t>VCE</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w:t>
            </w:r>
            <w:r>
              <w:rPr>
                <w:rFonts w:ascii="Times New Roman" w:eastAsia="Times New Roman" w:hAnsi="Times New Roman" w:cs="Times New Roman"/>
                <w:i/>
                <w:iCs/>
                <w:szCs w:val="24"/>
              </w:rPr>
              <w:t>W</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w:t>
            </w:r>
            <w:r>
              <w:rPr>
                <w:rFonts w:ascii="Times New Roman" w:eastAsia="Times New Roman" w:hAnsi="Times New Roman" w:cs="Times New Roman"/>
                <w:i/>
                <w:iCs/>
                <w:szCs w:val="24"/>
              </w:rPr>
              <w:t>TNE</w:t>
            </w:r>
            <w:r>
              <w:rPr>
                <w:rFonts w:ascii="Times New Roman" w:eastAsia="Times New Roman" w:hAnsi="Times New Roman" w:cs="Times New Roman"/>
                <w:i/>
                <w:iCs/>
                <w:szCs w:val="24"/>
              </w:rPr>
              <w:t>FSS</w:t>
            </w:r>
            <w:r>
              <w:rPr>
                <w:rFonts w:ascii="Times New Roman" w:eastAsia="Times New Roman" w:hAnsi="Times New Roman" w:cs="Times New Roman"/>
                <w:i/>
                <w:iCs/>
                <w:szCs w:val="24"/>
              </w:rPr>
              <w:t>K=1</w:t>
            </w:r>
            <w:r>
              <w:rPr>
                <w:rFonts w:ascii="Times New Roman" w:eastAsia="Times New Roman" w:hAnsi="Times New Roman" w:cs="Times New Roman"/>
                <w:i/>
                <w:iCs/>
                <w:szCs w:val="24"/>
              </w:rPr>
              <w:t>S</w:t>
            </w:r>
            <w:r>
              <w:rPr>
                <w:rFonts w:ascii="Times New Roman" w:eastAsia="Times New Roman" w:hAnsi="Times New Roman" w:cs="Times New Roman"/>
                <w:i/>
                <w:iCs/>
                <w:szCs w:val="24"/>
              </w:rPr>
              <w:t>TNE</w:t>
            </w:r>
            <w:r>
              <w:rPr>
                <w:rFonts w:ascii="Times New Roman" w:eastAsia="Times New Roman" w:hAnsi="Times New Roman" w:cs="Times New Roman"/>
                <w:i/>
                <w:iCs/>
                <w:szCs w:val="24"/>
              </w:rPr>
              <w:t>FSS</w:t>
            </w:r>
            <w:r>
              <w:rPr>
                <w:rFonts w:ascii="Times New Roman" w:eastAsia="Times New Roman" w:hAnsi="Times New Roman" w:cs="Times New Roman"/>
                <w:szCs w:val="24"/>
              </w:rPr>
              <w:t>                                                 (4)</w:t>
            </w:r>
          </w:p>
          <w:p>
            <w:pPr>
              <w:numPr>
                <w:ilvl w:val="0"/>
                <w:numId w:val="526"/>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Изчисляване плащането на база стопанство по обхванатите производства, като стопанствата са разделени на отделни класове и помощта за стопанство получена от повишените разходи, настъпили вследствие на кризата от КОВИД-19 (AVPF ), представлява произведение между средните прогнозни разходи на зает в сектора (AVVCEFSS) и средния брой на заетите в съответния клас стопанства в даденото производство, установен в структурната статистическа база данни (AVNESFSS).</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AVPF = AVVCEFSS * AVNESFSS       </w:t>
            </w:r>
            <w:r>
              <w:rPr>
                <w:rFonts w:ascii="Times New Roman" w:eastAsia="Times New Roman" w:hAnsi="Times New Roman" w:cs="Times New Roman"/>
                <w:i/>
                <w:iCs/>
                <w:szCs w:val="24"/>
              </w:rPr>
              <w:t xml:space="preserve">                                                                        </w:t>
            </w:r>
            <w:r>
              <w:rPr>
                <w:rFonts w:ascii="Times New Roman" w:eastAsia="Times New Roman" w:hAnsi="Times New Roman" w:cs="Times New Roman"/>
                <w:szCs w:val="24"/>
              </w:rPr>
              <w:t>(5)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са правени на база прогнозни разходи при анкетирането на земеделските производители, като обхванатите производства от отрасъл животновъдство са: говедовъдство, биволовъдство, дребен рогат добитък, пчеларство, свиневъдство и птицевъдство. В отрасъл растениевъдство са направени изчисления по предложените производства: зеленчуци на открито, оранжерийно зеленчукопроизводство, овощарство, розопроизводство, производство на винено грозде и декоративни растения и цветя. Предвидена е подкрепа и на други сектори, необхванати от изброените производство в растениевъдството, където плащането е предложено на бъде на един зает. Това се налага поради разнородността на включените и попадащи в тази категория сектори.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същия алгоритъм е определено плащането и за малки и средни предприятия, преработващи земеделска продукция на база проведено анкетно проучване за равнището на повишени разходи от разпространението на КОВИД-19.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Получените плащания по отделните производства по разписания методически алгоритъм са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 Говедовъдство</w:t>
            </w:r>
          </w:p>
          <w:tbl>
            <w:tblPr>
              <w:tblStyle w:val="Table"/>
              <w:tblW w:w="1391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607"/>
              <w:gridCol w:w="1926"/>
              <w:gridCol w:w="4411"/>
              <w:gridCol w:w="1957"/>
              <w:gridCol w:w="1974"/>
            </w:tblGrid>
            <w:tr>
              <w:tblPrEx>
                <w:tblW w:w="1391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846"/>
              </w:trPr>
              <w:tc>
                <w:tcPr>
                  <w:tcW w:w="3560"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Говедовъдството</w:t>
                  </w:r>
                </w:p>
              </w:tc>
              <w:tc>
                <w:tcPr>
                  <w:tcW w:w="1882"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35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358"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360"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9 647</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15" w:type="dxa"/>
                <w:tblCellMar>
                  <w:top w:w="15" w:type="dxa"/>
                  <w:left w:w="15" w:type="dxa"/>
                  <w:bottom w:w="15" w:type="dxa"/>
                  <w:right w:w="15" w:type="dxa"/>
                </w:tblCellMar>
                <w:tblLook w:val="05E0"/>
              </w:tblPrEx>
              <w:trPr>
                <w:trHeight w:val="530"/>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животни в  специализираните стопанства</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359 056</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33 001</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577</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15" w:type="dxa"/>
                <w:tblCellMar>
                  <w:top w:w="15" w:type="dxa"/>
                  <w:left w:w="15" w:type="dxa"/>
                  <w:bottom w:w="15" w:type="dxa"/>
                  <w:right w:w="15" w:type="dxa"/>
                </w:tblCellMar>
                <w:tblLook w:val="05E0"/>
              </w:tblPrEx>
              <w:trPr>
                <w:trHeight w:val="530"/>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 – 9 броя</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500</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256</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 – 49 броя</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1 500</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767</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50 – 99 броя</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3 500</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1 790</w:t>
                  </w:r>
                </w:p>
              </w:tc>
            </w:tr>
            <w:tr>
              <w:tblPrEx>
                <w:tblW w:w="13915" w:type="dxa"/>
                <w:tblCellMar>
                  <w:top w:w="15" w:type="dxa"/>
                  <w:left w:w="15" w:type="dxa"/>
                  <w:bottom w:w="15" w:type="dxa"/>
                  <w:right w:w="15" w:type="dxa"/>
                </w:tblCellMar>
                <w:tblLook w:val="05E0"/>
              </w:tblPrEx>
              <w:trPr>
                <w:trHeight w:val="530"/>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100 – 249 броя</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9 000</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4 602</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над  </w:t>
                  </w:r>
                  <w:r>
                    <w:rPr>
                      <w:rFonts w:ascii="Times New Roman" w:eastAsia="Times New Roman" w:hAnsi="Times New Roman" w:cs="Times New Roman"/>
                      <w:b/>
                      <w:bCs/>
                      <w:i w:val="0"/>
                      <w:iCs w:val="0"/>
                      <w:smallCaps w:val="0"/>
                      <w:color w:val="000000"/>
                      <w:szCs w:val="24"/>
                    </w:rPr>
                    <w:t>249</w:t>
                  </w:r>
                  <w:r>
                    <w:rPr>
                      <w:rFonts w:ascii="Times New Roman" w:eastAsia="Times New Roman" w:hAnsi="Times New Roman" w:cs="Times New Roman"/>
                      <w:b/>
                      <w:bCs/>
                      <w:i w:val="0"/>
                      <w:iCs w:val="0"/>
                      <w:smallCaps w:val="0"/>
                      <w:color w:val="000000"/>
                      <w:szCs w:val="24"/>
                    </w:rPr>
                    <w:t xml:space="preserve"> броя</w:t>
                  </w:r>
                </w:p>
              </w:tc>
              <w:tc>
                <w:tcPr>
                  <w:tcW w:w="1882"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5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58"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360"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2</w:t>
            </w:r>
            <w:r>
              <w:rPr>
                <w:rFonts w:ascii="Times New Roman" w:eastAsia="Times New Roman" w:hAnsi="Times New Roman" w:cs="Times New Roman"/>
                <w:b/>
                <w:bCs/>
                <w:szCs w:val="24"/>
              </w:rPr>
              <w:t>. Биволовъдство</w:t>
            </w:r>
          </w:p>
          <w:tbl>
            <w:tblPr>
              <w:tblStyle w:val="Table"/>
              <w:tblW w:w="1397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699"/>
              <w:gridCol w:w="2108"/>
              <w:gridCol w:w="4197"/>
              <w:gridCol w:w="1957"/>
              <w:gridCol w:w="1974"/>
            </w:tblGrid>
            <w:tr>
              <w:tblPrEx>
                <w:tblW w:w="1397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433"/>
              </w:trPr>
              <w:tc>
                <w:tcPr>
                  <w:tcW w:w="3652"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биволовъдството</w:t>
                  </w:r>
                </w:p>
              </w:tc>
              <w:tc>
                <w:tcPr>
                  <w:tcW w:w="2064"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391"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326"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132"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3975" w:type="dxa"/>
                <w:tblCellMar>
                  <w:top w:w="15" w:type="dxa"/>
                  <w:left w:w="15" w:type="dxa"/>
                  <w:bottom w:w="15" w:type="dxa"/>
                  <w:right w:w="15" w:type="dxa"/>
                </w:tblCellMar>
                <w:tblLook w:val="05E0"/>
              </w:tblPrEx>
              <w:trPr>
                <w:trHeight w:val="539"/>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282</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75" w:type="dxa"/>
                <w:tblCellMar>
                  <w:top w:w="15" w:type="dxa"/>
                  <w:left w:w="15" w:type="dxa"/>
                  <w:bottom w:w="15" w:type="dxa"/>
                  <w:right w:w="15" w:type="dxa"/>
                </w:tblCellMar>
                <w:tblLook w:val="05E0"/>
              </w:tblPrEx>
              <w:trPr>
                <w:trHeight w:val="548"/>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животни в  специализираните стопанства</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13 905</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75" w:type="dxa"/>
                <w:tblCellMar>
                  <w:top w:w="15" w:type="dxa"/>
                  <w:left w:w="15" w:type="dxa"/>
                  <w:bottom w:w="15" w:type="dxa"/>
                  <w:right w:w="15" w:type="dxa"/>
                </w:tblCellMar>
                <w:tblLook w:val="05E0"/>
              </w:tblPrEx>
              <w:trPr>
                <w:trHeight w:val="539"/>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1 498</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75" w:type="dxa"/>
                <w:tblCellMar>
                  <w:top w:w="15" w:type="dxa"/>
                  <w:left w:w="15" w:type="dxa"/>
                  <w:bottom w:w="15" w:type="dxa"/>
                  <w:right w:w="15" w:type="dxa"/>
                </w:tblCellMar>
                <w:tblLook w:val="05E0"/>
              </w:tblPrEx>
              <w:trPr>
                <w:trHeight w:val="278"/>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585</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75" w:type="dxa"/>
                <w:tblCellMar>
                  <w:top w:w="15" w:type="dxa"/>
                  <w:left w:w="15" w:type="dxa"/>
                  <w:bottom w:w="15" w:type="dxa"/>
                  <w:right w:w="15" w:type="dxa"/>
                </w:tblCellMar>
                <w:tblLook w:val="05E0"/>
              </w:tblPrEx>
              <w:trPr>
                <w:trHeight w:val="539"/>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 – 49 биволи</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1 </w:t>
                  </w:r>
                  <w:r>
                    <w:rPr>
                      <w:rFonts w:ascii="Times New Roman" w:eastAsia="Times New Roman" w:hAnsi="Times New Roman" w:cs="Times New Roman"/>
                      <w:b/>
                      <w:bCs/>
                      <w:i w:val="0"/>
                      <w:iCs w:val="0"/>
                      <w:smallCaps w:val="0"/>
                      <w:color w:val="000000"/>
                      <w:szCs w:val="24"/>
                    </w:rPr>
                    <w:t>500</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767</w:t>
                  </w:r>
                </w:p>
              </w:tc>
            </w:tr>
            <w:tr>
              <w:tblPrEx>
                <w:tblW w:w="13975" w:type="dxa"/>
                <w:tblCellMar>
                  <w:top w:w="15" w:type="dxa"/>
                  <w:left w:w="15" w:type="dxa"/>
                  <w:bottom w:w="15" w:type="dxa"/>
                  <w:right w:w="15" w:type="dxa"/>
                </w:tblCellMar>
                <w:tblLook w:val="05E0"/>
              </w:tblPrEx>
              <w:trPr>
                <w:trHeight w:val="548"/>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50 – 99 биволи</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w:t>
                  </w:r>
                  <w:r>
                    <w:rPr>
                      <w:rFonts w:ascii="Times New Roman" w:eastAsia="Times New Roman" w:hAnsi="Times New Roman" w:cs="Times New Roman"/>
                      <w:b/>
                      <w:bCs/>
                      <w:i w:val="0"/>
                      <w:iCs w:val="0"/>
                      <w:smallCaps w:val="0"/>
                      <w:color w:val="000000"/>
                      <w:szCs w:val="24"/>
                    </w:rPr>
                    <w:t xml:space="preserve"> 500</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2 301</w:t>
                  </w:r>
                </w:p>
              </w:tc>
            </w:tr>
            <w:tr>
              <w:tblPrEx>
                <w:tblW w:w="13975" w:type="dxa"/>
                <w:tblCellMar>
                  <w:top w:w="15" w:type="dxa"/>
                  <w:left w:w="15" w:type="dxa"/>
                  <w:bottom w:w="15" w:type="dxa"/>
                  <w:right w:w="15" w:type="dxa"/>
                </w:tblCellMar>
                <w:tblLook w:val="05E0"/>
              </w:tblPrEx>
              <w:trPr>
                <w:trHeight w:val="548"/>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100 – </w:t>
                  </w:r>
                  <w:r>
                    <w:rPr>
                      <w:rFonts w:ascii="Times New Roman" w:eastAsia="Times New Roman" w:hAnsi="Times New Roman" w:cs="Times New Roman"/>
                      <w:b/>
                      <w:bCs/>
                      <w:i w:val="0"/>
                      <w:iCs w:val="0"/>
                      <w:smallCaps w:val="0"/>
                      <w:color w:val="000000"/>
                      <w:szCs w:val="24"/>
                    </w:rPr>
                    <w:t>200</w:t>
                  </w:r>
                  <w:r>
                    <w:rPr>
                      <w:rFonts w:ascii="Times New Roman" w:eastAsia="Times New Roman" w:hAnsi="Times New Roman" w:cs="Times New Roman"/>
                      <w:b/>
                      <w:bCs/>
                      <w:i w:val="0"/>
                      <w:iCs w:val="0"/>
                      <w:smallCaps w:val="0"/>
                      <w:color w:val="000000"/>
                      <w:szCs w:val="24"/>
                    </w:rPr>
                    <w:t xml:space="preserve"> биволи</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w:t>
                  </w:r>
                  <w:r>
                    <w:rPr>
                      <w:rFonts w:ascii="Times New Roman" w:eastAsia="Times New Roman" w:hAnsi="Times New Roman" w:cs="Times New Roman"/>
                      <w:b/>
                      <w:bCs/>
                      <w:i w:val="0"/>
                      <w:iCs w:val="0"/>
                      <w:smallCaps w:val="0"/>
                      <w:color w:val="000000"/>
                      <w:szCs w:val="24"/>
                    </w:rPr>
                    <w:t xml:space="preserve"> 500</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4 857</w:t>
                  </w:r>
                </w:p>
              </w:tc>
            </w:tr>
            <w:tr>
              <w:tblPrEx>
                <w:tblW w:w="13975" w:type="dxa"/>
                <w:tblCellMar>
                  <w:top w:w="15" w:type="dxa"/>
                  <w:left w:w="15" w:type="dxa"/>
                  <w:bottom w:w="15" w:type="dxa"/>
                  <w:right w:w="15" w:type="dxa"/>
                </w:tblCellMar>
                <w:tblLook w:val="05E0"/>
              </w:tblPrEx>
              <w:trPr>
                <w:trHeight w:val="539"/>
              </w:trPr>
              <w:tc>
                <w:tcPr>
                  <w:tcW w:w="3652"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200 биволи</w:t>
                  </w:r>
                </w:p>
              </w:tc>
              <w:tc>
                <w:tcPr>
                  <w:tcW w:w="2064"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91"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26"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00</w:t>
                  </w:r>
                </w:p>
              </w:tc>
              <w:tc>
                <w:tcPr>
                  <w:tcW w:w="1132"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3. Дребен рогат добитък</w:t>
            </w:r>
          </w:p>
          <w:tbl>
            <w:tblPr>
              <w:tblStyle w:val="Table"/>
              <w:tblW w:w="1405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497"/>
              <w:gridCol w:w="1869"/>
              <w:gridCol w:w="4713"/>
              <w:gridCol w:w="1957"/>
              <w:gridCol w:w="1974"/>
            </w:tblGrid>
            <w:tr>
              <w:tblPrEx>
                <w:tblW w:w="1405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363"/>
              </w:trPr>
              <w:tc>
                <w:tcPr>
                  <w:tcW w:w="3450"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овцевъдството и козевъдството</w:t>
                  </w:r>
                </w:p>
              </w:tc>
              <w:tc>
                <w:tcPr>
                  <w:tcW w:w="1825"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316"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0"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446"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9 566</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животни в  специализираните стопанства</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1 187 676</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31 888</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372</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 – 49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256</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50 – 99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460</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100 – 199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1 8</w:t>
                  </w:r>
                  <w:r>
                    <w:rPr>
                      <w:rFonts w:ascii="Times New Roman" w:eastAsia="Times New Roman" w:hAnsi="Times New Roman" w:cs="Times New Roman"/>
                      <w:b/>
                      <w:bCs/>
                      <w:i w:val="0"/>
                      <w:iCs w:val="0"/>
                      <w:smallCaps w:val="0"/>
                      <w:color w:val="000000"/>
                      <w:szCs w:val="24"/>
                    </w:rPr>
                    <w:t>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920</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200 – 299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2 200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1 125</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300 – 499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3 000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1 534</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500 – 999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0</w:t>
                  </w:r>
                  <w:r>
                    <w:rPr>
                      <w:rFonts w:ascii="Times New Roman" w:eastAsia="Times New Roman" w:hAnsi="Times New Roman" w:cs="Times New Roman"/>
                      <w:b/>
                      <w:bCs/>
                      <w:i w:val="0"/>
                      <w:iCs w:val="0"/>
                      <w:smallCaps w:val="0"/>
                      <w:color w:val="000000"/>
                      <w:szCs w:val="24"/>
                    </w:rPr>
                    <w:t>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3 579</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над  </w:t>
                  </w:r>
                  <w:r>
                    <w:rPr>
                      <w:rFonts w:ascii="Times New Roman" w:eastAsia="Times New Roman" w:hAnsi="Times New Roman" w:cs="Times New Roman"/>
                      <w:b/>
                      <w:bCs/>
                      <w:i w:val="0"/>
                      <w:iCs w:val="0"/>
                      <w:smallCaps w:val="0"/>
                      <w:color w:val="000000"/>
                      <w:szCs w:val="24"/>
                    </w:rPr>
                    <w:t>1000 </w:t>
                  </w:r>
                  <w:r>
                    <w:rPr>
                      <w:rFonts w:ascii="Times New Roman" w:eastAsia="Times New Roman" w:hAnsi="Times New Roman" w:cs="Times New Roman"/>
                      <w:b/>
                      <w:bCs/>
                      <w:i w:val="0"/>
                      <w:iCs w:val="0"/>
                      <w:smallCaps w:val="0"/>
                      <w:color w:val="000000"/>
                      <w:szCs w:val="24"/>
                    </w:rPr>
                    <w:t>ДРД</w:t>
                  </w:r>
                </w:p>
              </w:tc>
              <w:tc>
                <w:tcPr>
                  <w:tcW w:w="1825"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446"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4. Свиневъдство</w:t>
            </w:r>
          </w:p>
          <w:tbl>
            <w:tblPr>
              <w:tblStyle w:val="Table"/>
              <w:tblW w:w="1405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4765"/>
              <w:gridCol w:w="2379"/>
              <w:gridCol w:w="1734"/>
              <w:gridCol w:w="2556"/>
              <w:gridCol w:w="2577"/>
            </w:tblGrid>
            <w:tr>
              <w:tblPrEx>
                <w:tblW w:w="1405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186"/>
              </w:trPr>
              <w:tc>
                <w:tcPr>
                  <w:tcW w:w="3594"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свиневъдството</w:t>
                  </w:r>
                </w:p>
              </w:tc>
              <w:tc>
                <w:tcPr>
                  <w:tcW w:w="1771"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7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618"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348"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50" w:type="dxa"/>
                <w:tblCellMar>
                  <w:top w:w="15" w:type="dxa"/>
                  <w:left w:w="15" w:type="dxa"/>
                  <w:bottom w:w="15" w:type="dxa"/>
                  <w:right w:w="15" w:type="dxa"/>
                </w:tblCellMar>
                <w:tblLook w:val="05E0"/>
              </w:tblPrEx>
              <w:trPr>
                <w:trHeight w:val="554"/>
              </w:trPr>
              <w:tc>
                <w:tcPr>
                  <w:tcW w:w="359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7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61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293</w:t>
                  </w:r>
                </w:p>
              </w:tc>
              <w:tc>
                <w:tcPr>
                  <w:tcW w:w="134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565"/>
              </w:trPr>
              <w:tc>
                <w:tcPr>
                  <w:tcW w:w="359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животни в  специализираните стопанства</w:t>
                  </w:r>
                </w:p>
              </w:tc>
              <w:tc>
                <w:tcPr>
                  <w:tcW w:w="177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61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489 695</w:t>
                  </w:r>
                </w:p>
              </w:tc>
              <w:tc>
                <w:tcPr>
                  <w:tcW w:w="134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554"/>
              </w:trPr>
              <w:tc>
                <w:tcPr>
                  <w:tcW w:w="359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77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61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2 111</w:t>
                  </w:r>
                </w:p>
              </w:tc>
              <w:tc>
                <w:tcPr>
                  <w:tcW w:w="134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565"/>
              </w:trPr>
              <w:tc>
                <w:tcPr>
                  <w:tcW w:w="3594"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база зает</w:t>
                  </w:r>
                </w:p>
              </w:tc>
              <w:tc>
                <w:tcPr>
                  <w:tcW w:w="1771"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Формули 1, 2, 3, 4</w:t>
                  </w:r>
                </w:p>
              </w:tc>
              <w:tc>
                <w:tcPr>
                  <w:tcW w:w="127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Лв./Зает</w:t>
                  </w:r>
                </w:p>
              </w:tc>
              <w:tc>
                <w:tcPr>
                  <w:tcW w:w="1618"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245</w:t>
                  </w:r>
                </w:p>
              </w:tc>
              <w:tc>
                <w:tcPr>
                  <w:tcW w:w="1348"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125</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5. Птицевъдство</w:t>
            </w:r>
          </w:p>
          <w:tbl>
            <w:tblPr>
              <w:tblStyle w:val="Table"/>
              <w:tblW w:w="1409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4735"/>
              <w:gridCol w:w="2367"/>
              <w:gridCol w:w="1726"/>
              <w:gridCol w:w="2602"/>
              <w:gridCol w:w="2624"/>
            </w:tblGrid>
            <w:tr>
              <w:tblPrEx>
                <w:tblW w:w="1409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621"/>
              </w:trPr>
              <w:tc>
                <w:tcPr>
                  <w:tcW w:w="3506"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птицевъдството</w:t>
                  </w:r>
                </w:p>
              </w:tc>
              <w:tc>
                <w:tcPr>
                  <w:tcW w:w="1729"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9"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2"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95" w:type="dxa"/>
                <w:tblCellMar>
                  <w:top w:w="15" w:type="dxa"/>
                  <w:left w:w="15" w:type="dxa"/>
                  <w:bottom w:w="15" w:type="dxa"/>
                  <w:right w:w="15" w:type="dxa"/>
                </w:tblCellMar>
                <w:tblLook w:val="05E0"/>
              </w:tblPrEx>
              <w:trPr>
                <w:trHeight w:val="757"/>
              </w:trPr>
              <w:tc>
                <w:tcPr>
                  <w:tcW w:w="3506"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232</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379"/>
              </w:trPr>
              <w:tc>
                <w:tcPr>
                  <w:tcW w:w="3506"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животни в  специализираните стопанства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17 380 625</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772"/>
              </w:trPr>
              <w:tc>
                <w:tcPr>
                  <w:tcW w:w="3506"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3 515</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757"/>
              </w:trPr>
              <w:tc>
                <w:tcPr>
                  <w:tcW w:w="3506"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база зает </w:t>
                  </w:r>
                </w:p>
              </w:tc>
              <w:tc>
                <w:tcPr>
                  <w:tcW w:w="1729"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Формули 1, 2, 3, 4</w:t>
                  </w:r>
                </w:p>
              </w:tc>
              <w:tc>
                <w:tcPr>
                  <w:tcW w:w="124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Лв./Зает</w:t>
                  </w:r>
                </w:p>
              </w:tc>
              <w:tc>
                <w:tcPr>
                  <w:tcW w:w="1579"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430</w:t>
                  </w:r>
                </w:p>
              </w:tc>
              <w:tc>
                <w:tcPr>
                  <w:tcW w:w="1582"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220</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6. Пчеларство</w:t>
            </w:r>
          </w:p>
          <w:tbl>
            <w:tblPr>
              <w:tblStyle w:val="Table"/>
              <w:tblW w:w="1408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49"/>
              <w:gridCol w:w="3427"/>
              <w:gridCol w:w="3133"/>
              <w:gridCol w:w="1957"/>
              <w:gridCol w:w="1974"/>
            </w:tblGrid>
            <w:tr>
              <w:tblPrEx>
                <w:tblW w:w="1408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156"/>
              </w:trPr>
              <w:tc>
                <w:tcPr>
                  <w:tcW w:w="3502"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пчеларството</w:t>
                  </w:r>
                </w:p>
              </w:tc>
              <w:tc>
                <w:tcPr>
                  <w:tcW w:w="1728"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5"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8"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0"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80" w:type="dxa"/>
                <w:tblCellMar>
                  <w:top w:w="15" w:type="dxa"/>
                  <w:left w:w="15" w:type="dxa"/>
                  <w:bottom w:w="15" w:type="dxa"/>
                  <w:right w:w="15" w:type="dxa"/>
                </w:tblCellMar>
                <w:tblLook w:val="05E0"/>
              </w:tblPrEx>
              <w:trPr>
                <w:trHeight w:val="54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4 409</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5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пчелни семейства в  специализираните стопанства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601 101</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3276"/>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 в говедовъдството + Средни прогнозни разходи на зает в биволовъдството + Средни прогнозни разходи на зает при ДРД)/ 3</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511</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5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до 49 пчелни семейства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25</w:t>
                  </w:r>
                  <w:r>
                    <w:rPr>
                      <w:rFonts w:ascii="Times New Roman" w:eastAsia="Times New Roman" w:hAnsi="Times New Roman" w:cs="Times New Roman"/>
                      <w:b/>
                      <w:bCs/>
                      <w:i w:val="0"/>
                      <w:iCs w:val="0"/>
                      <w:smallCaps w:val="0"/>
                      <w:color w:val="000000"/>
                      <w:szCs w:val="24"/>
                    </w:rPr>
                    <w:t>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128</w:t>
                  </w:r>
                </w:p>
              </w:tc>
            </w:tr>
            <w:tr>
              <w:tblPrEx>
                <w:tblW w:w="14080" w:type="dxa"/>
                <w:tblCellMar>
                  <w:top w:w="15" w:type="dxa"/>
                  <w:left w:w="15" w:type="dxa"/>
                  <w:bottom w:w="15" w:type="dxa"/>
                  <w:right w:w="15" w:type="dxa"/>
                </w:tblCellMar>
                <w:tblLook w:val="05E0"/>
              </w:tblPrEx>
              <w:trPr>
                <w:trHeight w:val="54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50 – 99 пчелни семейства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256</w:t>
                  </w:r>
                </w:p>
              </w:tc>
            </w:tr>
            <w:tr>
              <w:tblPrEx>
                <w:tblW w:w="14080" w:type="dxa"/>
                <w:tblCellMar>
                  <w:top w:w="15" w:type="dxa"/>
                  <w:left w:w="15" w:type="dxa"/>
                  <w:bottom w:w="15" w:type="dxa"/>
                  <w:right w:w="15" w:type="dxa"/>
                </w:tblCellMar>
                <w:tblLook w:val="05E0"/>
              </w:tblPrEx>
              <w:trPr>
                <w:trHeight w:val="55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100 – 149 пчелни семейства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358</w:t>
                  </w:r>
                </w:p>
              </w:tc>
            </w:tr>
            <w:tr>
              <w:tblPrEx>
                <w:tblW w:w="14080" w:type="dxa"/>
                <w:tblCellMar>
                  <w:top w:w="15" w:type="dxa"/>
                  <w:left w:w="15" w:type="dxa"/>
                  <w:bottom w:w="15" w:type="dxa"/>
                  <w:right w:w="15" w:type="dxa"/>
                </w:tblCellMar>
                <w:tblLook w:val="05E0"/>
              </w:tblPrEx>
              <w:trPr>
                <w:trHeight w:val="54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150 – 299 пчелни семейства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30</w:t>
                  </w:r>
                  <w:r>
                    <w:rPr>
                      <w:rFonts w:ascii="Times New Roman" w:eastAsia="Times New Roman" w:hAnsi="Times New Roman" w:cs="Times New Roman"/>
                      <w:b/>
                      <w:bCs/>
                      <w:i w:val="0"/>
                      <w:iCs w:val="0"/>
                      <w:smallCaps w:val="0"/>
                      <w:color w:val="000000"/>
                      <w:szCs w:val="24"/>
                    </w:rPr>
                    <w:t>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665</w:t>
                  </w:r>
                </w:p>
              </w:tc>
            </w:tr>
            <w:tr>
              <w:tblPrEx>
                <w:tblW w:w="14080" w:type="dxa"/>
                <w:tblCellMar>
                  <w:top w:w="15" w:type="dxa"/>
                  <w:left w:w="15" w:type="dxa"/>
                  <w:bottom w:w="15" w:type="dxa"/>
                  <w:right w:w="15" w:type="dxa"/>
                </w:tblCellMar>
                <w:tblLook w:val="05E0"/>
              </w:tblPrEx>
              <w:trPr>
                <w:trHeight w:val="55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300 – 499 пчелни семейства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1 700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869</w:t>
                  </w:r>
                </w:p>
              </w:tc>
            </w:tr>
            <w:tr>
              <w:tblPrEx>
                <w:tblW w:w="14080" w:type="dxa"/>
                <w:tblCellMar>
                  <w:top w:w="15" w:type="dxa"/>
                  <w:left w:w="15" w:type="dxa"/>
                  <w:bottom w:w="15" w:type="dxa"/>
                  <w:right w:w="15" w:type="dxa"/>
                </w:tblCellMar>
                <w:tblLook w:val="05E0"/>
              </w:tblPrEx>
              <w:trPr>
                <w:trHeight w:val="540"/>
              </w:trPr>
              <w:tc>
                <w:tcPr>
                  <w:tcW w:w="3502"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над  </w:t>
                  </w:r>
                  <w:r>
                    <w:rPr>
                      <w:rFonts w:ascii="Times New Roman" w:eastAsia="Times New Roman" w:hAnsi="Times New Roman" w:cs="Times New Roman"/>
                      <w:b/>
                      <w:bCs/>
                      <w:i w:val="0"/>
                      <w:iCs w:val="0"/>
                      <w:smallCaps w:val="0"/>
                      <w:color w:val="000000"/>
                      <w:szCs w:val="24"/>
                    </w:rPr>
                    <w:t>499</w:t>
                  </w:r>
                  <w:r>
                    <w:rPr>
                      <w:rFonts w:ascii="Times New Roman" w:eastAsia="Times New Roman" w:hAnsi="Times New Roman" w:cs="Times New Roman"/>
                      <w:b/>
                      <w:bCs/>
                      <w:i w:val="0"/>
                      <w:iCs w:val="0"/>
                      <w:smallCaps w:val="0"/>
                      <w:color w:val="000000"/>
                      <w:szCs w:val="24"/>
                    </w:rPr>
                    <w:t xml:space="preserve"> пчелни семейства</w:t>
                  </w:r>
                </w:p>
              </w:tc>
              <w:tc>
                <w:tcPr>
                  <w:tcW w:w="1728"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3 </w:t>
                  </w:r>
                  <w:r>
                    <w:rPr>
                      <w:rFonts w:ascii="Times New Roman" w:eastAsia="Times New Roman" w:hAnsi="Times New Roman" w:cs="Times New Roman"/>
                      <w:b/>
                      <w:bCs/>
                      <w:i w:val="0"/>
                      <w:iCs w:val="0"/>
                      <w:smallCaps w:val="0"/>
                      <w:color w:val="000000"/>
                      <w:szCs w:val="24"/>
                    </w:rPr>
                    <w:t>0</w:t>
                  </w:r>
                  <w:r>
                    <w:rPr>
                      <w:rFonts w:ascii="Times New Roman" w:eastAsia="Times New Roman" w:hAnsi="Times New Roman" w:cs="Times New Roman"/>
                      <w:b/>
                      <w:bCs/>
                      <w:i w:val="0"/>
                      <w:iCs w:val="0"/>
                      <w:smallCaps w:val="0"/>
                      <w:color w:val="000000"/>
                      <w:szCs w:val="24"/>
                    </w:rPr>
                    <w:t>00</w:t>
                  </w:r>
                </w:p>
              </w:tc>
              <w:tc>
                <w:tcPr>
                  <w:tcW w:w="1580"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1 534</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7. Зеленчукопроизводство на открито</w:t>
            </w:r>
          </w:p>
          <w:tbl>
            <w:tblPr>
              <w:tblStyle w:val="Table"/>
              <w:tblW w:w="1406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45"/>
              <w:gridCol w:w="1768"/>
              <w:gridCol w:w="4781"/>
              <w:gridCol w:w="1957"/>
              <w:gridCol w:w="1974"/>
            </w:tblGrid>
            <w:tr>
              <w:tblPrEx>
                <w:tblW w:w="1406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157"/>
              </w:trPr>
              <w:tc>
                <w:tcPr>
                  <w:tcW w:w="3498"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зеленчукопроизводство на открито</w:t>
                  </w:r>
                </w:p>
              </w:tc>
              <w:tc>
                <w:tcPr>
                  <w:tcW w:w="1724"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3"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6"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78"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65" w:type="dxa"/>
                <w:tblCellMar>
                  <w:top w:w="15" w:type="dxa"/>
                  <w:left w:w="15" w:type="dxa"/>
                  <w:bottom w:w="15" w:type="dxa"/>
                  <w:right w:w="15" w:type="dxa"/>
                </w:tblCellMar>
                <w:tblLook w:val="05E0"/>
              </w:tblPrEx>
              <w:trPr>
                <w:trHeight w:val="540"/>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6 256</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65" w:type="dxa"/>
                <w:tblCellMar>
                  <w:top w:w="15" w:type="dxa"/>
                  <w:left w:w="15" w:type="dxa"/>
                  <w:bottom w:w="15" w:type="dxa"/>
                  <w:right w:w="15" w:type="dxa"/>
                </w:tblCellMar>
                <w:tblLook w:val="05E0"/>
              </w:tblPrEx>
              <w:trPr>
                <w:trHeight w:val="551"/>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313 491</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65" w:type="dxa"/>
                <w:tblCellMar>
                  <w:top w:w="15" w:type="dxa"/>
                  <w:left w:w="15" w:type="dxa"/>
                  <w:bottom w:w="15" w:type="dxa"/>
                  <w:right w:w="15" w:type="dxa"/>
                </w:tblCellMar>
                <w:tblLook w:val="05E0"/>
              </w:tblPrEx>
              <w:trPr>
                <w:trHeight w:val="540"/>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41 656</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65" w:type="dxa"/>
                <w:tblCellMar>
                  <w:top w:w="15" w:type="dxa"/>
                  <w:left w:w="15" w:type="dxa"/>
                  <w:bottom w:w="15" w:type="dxa"/>
                  <w:right w:w="15" w:type="dxa"/>
                </w:tblCellMar>
                <w:tblLook w:val="05E0"/>
              </w:tblPrEx>
              <w:trPr>
                <w:trHeight w:val="551"/>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490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65" w:type="dxa"/>
                <w:tblCellMar>
                  <w:top w:w="15" w:type="dxa"/>
                  <w:left w:w="15" w:type="dxa"/>
                  <w:bottom w:w="15" w:type="dxa"/>
                  <w:right w:w="15" w:type="dxa"/>
                </w:tblCellMar>
                <w:tblLook w:val="05E0"/>
              </w:tblPrEx>
              <w:trPr>
                <w:trHeight w:val="540"/>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до 1,</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950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486</w:t>
                  </w:r>
                </w:p>
              </w:tc>
            </w:tr>
            <w:tr>
              <w:tblPrEx>
                <w:tblW w:w="14065" w:type="dxa"/>
                <w:tblCellMar>
                  <w:top w:w="15" w:type="dxa"/>
                  <w:left w:w="15" w:type="dxa"/>
                  <w:bottom w:w="15" w:type="dxa"/>
                  <w:right w:w="15" w:type="dxa"/>
                </w:tblCellMar>
                <w:tblLook w:val="05E0"/>
              </w:tblPrEx>
              <w:trPr>
                <w:trHeight w:val="551"/>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1,5 –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3 000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1 534</w:t>
                  </w:r>
                </w:p>
              </w:tc>
            </w:tr>
            <w:tr>
              <w:tblPrEx>
                <w:tblW w:w="14065" w:type="dxa"/>
                <w:tblCellMar>
                  <w:top w:w="15" w:type="dxa"/>
                  <w:left w:w="15" w:type="dxa"/>
                  <w:bottom w:w="15" w:type="dxa"/>
                  <w:right w:w="15" w:type="dxa"/>
                </w:tblCellMar>
                <w:tblLook w:val="05E0"/>
              </w:tblPrEx>
              <w:trPr>
                <w:trHeight w:val="540"/>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5 – </w:t>
                  </w:r>
                  <w:r>
                    <w:rPr>
                      <w:rFonts w:ascii="Times New Roman" w:eastAsia="Times New Roman" w:hAnsi="Times New Roman" w:cs="Times New Roman"/>
                      <w:b/>
                      <w:bCs/>
                      <w:i w:val="0"/>
                      <w:iCs w:val="0"/>
                      <w:smallCaps w:val="0"/>
                      <w:color w:val="000000"/>
                      <w:szCs w:val="24"/>
                    </w:rPr>
                    <w:t>10</w:t>
                  </w:r>
                  <w:r>
                    <w:rPr>
                      <w:rFonts w:ascii="Times New Roman" w:eastAsia="Times New Roman" w:hAnsi="Times New Roman" w:cs="Times New Roman"/>
                      <w:b/>
                      <w:bCs/>
                      <w:i w:val="0"/>
                      <w:iCs w:val="0"/>
                      <w:smallCaps w:val="0"/>
                      <w:color w:val="000000"/>
                      <w:szCs w:val="24"/>
                    </w:rPr>
                    <w:t xml:space="preserve"> ха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6 000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3 068</w:t>
                  </w:r>
                </w:p>
              </w:tc>
            </w:tr>
            <w:tr>
              <w:tblPrEx>
                <w:tblW w:w="14065" w:type="dxa"/>
                <w:tblCellMar>
                  <w:top w:w="15" w:type="dxa"/>
                  <w:left w:w="15" w:type="dxa"/>
                  <w:bottom w:w="15" w:type="dxa"/>
                  <w:right w:w="15" w:type="dxa"/>
                </w:tblCellMar>
                <w:tblLook w:val="05E0"/>
              </w:tblPrEx>
              <w:trPr>
                <w:trHeight w:val="551"/>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10 – </w:t>
                  </w:r>
                  <w:r>
                    <w:rPr>
                      <w:rFonts w:ascii="Times New Roman" w:eastAsia="Times New Roman" w:hAnsi="Times New Roman" w:cs="Times New Roman"/>
                      <w:b/>
                      <w:bCs/>
                      <w:i w:val="0"/>
                      <w:iCs w:val="0"/>
                      <w:smallCaps w:val="0"/>
                      <w:color w:val="000000"/>
                      <w:szCs w:val="24"/>
                    </w:rPr>
                    <w:t>15</w:t>
                  </w:r>
                  <w:r>
                    <w:rPr>
                      <w:rFonts w:ascii="Times New Roman" w:eastAsia="Times New Roman" w:hAnsi="Times New Roman" w:cs="Times New Roman"/>
                      <w:b/>
                      <w:bCs/>
                      <w:i w:val="0"/>
                      <w:iCs w:val="0"/>
                      <w:smallCaps w:val="0"/>
                      <w:color w:val="000000"/>
                      <w:szCs w:val="24"/>
                    </w:rPr>
                    <w:t xml:space="preserve"> ха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8 000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4 090</w:t>
                  </w:r>
                </w:p>
              </w:tc>
            </w:tr>
            <w:tr>
              <w:tblPrEx>
                <w:tblW w:w="14065" w:type="dxa"/>
                <w:tblCellMar>
                  <w:top w:w="15" w:type="dxa"/>
                  <w:left w:w="15" w:type="dxa"/>
                  <w:bottom w:w="15" w:type="dxa"/>
                  <w:right w:w="15" w:type="dxa"/>
                </w:tblCellMar>
                <w:tblLook w:val="05E0"/>
              </w:tblPrEx>
              <w:trPr>
                <w:trHeight w:val="540"/>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15 – </w:t>
                  </w:r>
                  <w:r>
                    <w:rPr>
                      <w:rFonts w:ascii="Times New Roman" w:eastAsia="Times New Roman" w:hAnsi="Times New Roman" w:cs="Times New Roman"/>
                      <w:b/>
                      <w:bCs/>
                      <w:i w:val="0"/>
                      <w:iCs w:val="0"/>
                      <w:smallCaps w:val="0"/>
                      <w:color w:val="000000"/>
                      <w:szCs w:val="24"/>
                    </w:rPr>
                    <w:t>20</w:t>
                  </w:r>
                  <w:r>
                    <w:rPr>
                      <w:rFonts w:ascii="Times New Roman" w:eastAsia="Times New Roman" w:hAnsi="Times New Roman" w:cs="Times New Roman"/>
                      <w:b/>
                      <w:bCs/>
                      <w:i w:val="0"/>
                      <w:iCs w:val="0"/>
                      <w:smallCaps w:val="0"/>
                      <w:color w:val="000000"/>
                      <w:szCs w:val="24"/>
                    </w:rPr>
                    <w:t xml:space="preserve"> ха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10 000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5 113</w:t>
                  </w:r>
                </w:p>
              </w:tc>
            </w:tr>
            <w:tr>
              <w:tblPrEx>
                <w:tblW w:w="14065" w:type="dxa"/>
                <w:tblCellMar>
                  <w:top w:w="15" w:type="dxa"/>
                  <w:left w:w="15" w:type="dxa"/>
                  <w:bottom w:w="15" w:type="dxa"/>
                  <w:right w:w="15" w:type="dxa"/>
                </w:tblCellMar>
                <w:tblLook w:val="05E0"/>
              </w:tblPrEx>
              <w:trPr>
                <w:trHeight w:val="551"/>
              </w:trPr>
              <w:tc>
                <w:tcPr>
                  <w:tcW w:w="3498"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20 ха</w:t>
                  </w:r>
                </w:p>
              </w:tc>
              <w:tc>
                <w:tcPr>
                  <w:tcW w:w="1724"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578"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8. Оранжерийно зеленчукопроизводство</w:t>
            </w:r>
          </w:p>
          <w:tbl>
            <w:tblPr>
              <w:tblStyle w:val="Table"/>
              <w:tblW w:w="1408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49"/>
              <w:gridCol w:w="1771"/>
              <w:gridCol w:w="4789"/>
              <w:gridCol w:w="1957"/>
              <w:gridCol w:w="1974"/>
            </w:tblGrid>
            <w:tr>
              <w:tblPrEx>
                <w:tblW w:w="1408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210"/>
              </w:trPr>
              <w:tc>
                <w:tcPr>
                  <w:tcW w:w="3502"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оранжерийното зеленчукопроизводство</w:t>
                  </w:r>
                </w:p>
              </w:tc>
              <w:tc>
                <w:tcPr>
                  <w:tcW w:w="172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6"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0"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80" w:type="dxa"/>
                <w:tblCellMar>
                  <w:top w:w="15" w:type="dxa"/>
                  <w:left w:w="15" w:type="dxa"/>
                  <w:bottom w:w="15" w:type="dxa"/>
                  <w:right w:w="15" w:type="dxa"/>
                </w:tblCellMar>
                <w:tblLook w:val="05E0"/>
              </w:tblPrEx>
              <w:trPr>
                <w:trHeight w:val="565"/>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953</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76"/>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7 651</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65"/>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7 010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76"/>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590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65"/>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до 0,</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2 700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1 381</w:t>
                  </w:r>
                </w:p>
              </w:tc>
            </w:tr>
            <w:tr>
              <w:tblPrEx>
                <w:tblW w:w="14080" w:type="dxa"/>
                <w:tblCellMar>
                  <w:top w:w="15" w:type="dxa"/>
                  <w:left w:w="15" w:type="dxa"/>
                  <w:bottom w:w="15" w:type="dxa"/>
                  <w:right w:w="15" w:type="dxa"/>
                </w:tblCellMar>
                <w:tblLook w:val="05E0"/>
              </w:tblPrEx>
              <w:trPr>
                <w:trHeight w:val="576"/>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0,5 – </w:t>
                  </w:r>
                  <w:r>
                    <w:rPr>
                      <w:rFonts w:ascii="Times New Roman" w:eastAsia="Times New Roman" w:hAnsi="Times New Roman" w:cs="Times New Roman"/>
                      <w:b/>
                      <w:bCs/>
                      <w:i w:val="0"/>
                      <w:iCs w:val="0"/>
                      <w:smallCaps w:val="0"/>
                      <w:color w:val="000000"/>
                      <w:szCs w:val="24"/>
                    </w:rPr>
                    <w:t>1</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5 000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2 556</w:t>
                  </w:r>
                </w:p>
              </w:tc>
            </w:tr>
            <w:tr>
              <w:tblPrEx>
                <w:tblW w:w="14080" w:type="dxa"/>
                <w:tblCellMar>
                  <w:top w:w="15" w:type="dxa"/>
                  <w:left w:w="15" w:type="dxa"/>
                  <w:bottom w:w="15" w:type="dxa"/>
                  <w:right w:w="15" w:type="dxa"/>
                </w:tblCellMar>
                <w:tblLook w:val="05E0"/>
              </w:tblPrEx>
              <w:trPr>
                <w:trHeight w:val="565"/>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 – </w:t>
                  </w:r>
                  <w:r>
                    <w:rPr>
                      <w:rFonts w:ascii="Times New Roman" w:eastAsia="Times New Roman" w:hAnsi="Times New Roman" w:cs="Times New Roman"/>
                      <w:b/>
                      <w:bCs/>
                      <w:i w:val="0"/>
                      <w:iCs w:val="0"/>
                      <w:smallCaps w:val="0"/>
                      <w:color w:val="000000"/>
                      <w:szCs w:val="24"/>
                    </w:rPr>
                    <w:t>2</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9 000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4 602</w:t>
                  </w:r>
                </w:p>
              </w:tc>
            </w:tr>
            <w:tr>
              <w:tblPrEx>
                <w:tblW w:w="14080" w:type="dxa"/>
                <w:tblCellMar>
                  <w:top w:w="15" w:type="dxa"/>
                  <w:left w:w="15" w:type="dxa"/>
                  <w:bottom w:w="15" w:type="dxa"/>
                  <w:right w:w="15" w:type="dxa"/>
                </w:tblCellMar>
                <w:tblLook w:val="05E0"/>
              </w:tblPrEx>
              <w:trPr>
                <w:trHeight w:val="576"/>
              </w:trPr>
              <w:tc>
                <w:tcPr>
                  <w:tcW w:w="3502"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2</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ха</w:t>
                  </w:r>
                </w:p>
              </w:tc>
              <w:tc>
                <w:tcPr>
                  <w:tcW w:w="172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580"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9. Овощарство</w:t>
            </w:r>
          </w:p>
          <w:tbl>
            <w:tblPr>
              <w:tblStyle w:val="Table"/>
              <w:tblW w:w="1409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51"/>
              <w:gridCol w:w="1771"/>
              <w:gridCol w:w="4802"/>
              <w:gridCol w:w="1957"/>
              <w:gridCol w:w="1974"/>
            </w:tblGrid>
            <w:tr>
              <w:tblPrEx>
                <w:tblW w:w="1409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166"/>
              </w:trPr>
              <w:tc>
                <w:tcPr>
                  <w:tcW w:w="3504"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овощарството</w:t>
                  </w:r>
                </w:p>
              </w:tc>
              <w:tc>
                <w:tcPr>
                  <w:tcW w:w="172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6"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9"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2"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95" w:type="dxa"/>
                <w:tblCellMar>
                  <w:top w:w="15" w:type="dxa"/>
                  <w:left w:w="15" w:type="dxa"/>
                  <w:bottom w:w="15" w:type="dxa"/>
                  <w:right w:w="15" w:type="dxa"/>
                </w:tblCellMar>
                <w:tblLook w:val="05E0"/>
              </w:tblPrEx>
              <w:trPr>
                <w:trHeight w:val="544"/>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8 534</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555"/>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334 754</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544"/>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56 741</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555"/>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292</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544"/>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до 1,</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750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383</w:t>
                  </w:r>
                </w:p>
              </w:tc>
            </w:tr>
            <w:tr>
              <w:tblPrEx>
                <w:tblW w:w="14095" w:type="dxa"/>
                <w:tblCellMar>
                  <w:top w:w="15" w:type="dxa"/>
                  <w:left w:w="15" w:type="dxa"/>
                  <w:bottom w:w="15" w:type="dxa"/>
                  <w:right w:w="15" w:type="dxa"/>
                </w:tblCellMar>
                <w:tblLook w:val="05E0"/>
              </w:tblPrEx>
              <w:trPr>
                <w:trHeight w:val="555"/>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1,5 –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1 700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869</w:t>
                  </w:r>
                </w:p>
              </w:tc>
            </w:tr>
            <w:tr>
              <w:tblPrEx>
                <w:tblW w:w="14095" w:type="dxa"/>
                <w:tblCellMar>
                  <w:top w:w="15" w:type="dxa"/>
                  <w:left w:w="15" w:type="dxa"/>
                  <w:bottom w:w="15" w:type="dxa"/>
                  <w:right w:w="15" w:type="dxa"/>
                </w:tblCellMar>
                <w:tblLook w:val="05E0"/>
              </w:tblPrEx>
              <w:trPr>
                <w:trHeight w:val="544"/>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5– </w:t>
                  </w:r>
                  <w:r>
                    <w:rPr>
                      <w:rFonts w:ascii="Times New Roman" w:eastAsia="Times New Roman" w:hAnsi="Times New Roman" w:cs="Times New Roman"/>
                      <w:b/>
                      <w:bCs/>
                      <w:i w:val="0"/>
                      <w:iCs w:val="0"/>
                      <w:smallCaps w:val="0"/>
                      <w:color w:val="000000"/>
                      <w:szCs w:val="24"/>
                    </w:rPr>
                    <w:t>10</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2 045</w:t>
                  </w:r>
                </w:p>
              </w:tc>
            </w:tr>
            <w:tr>
              <w:tblPrEx>
                <w:tblW w:w="14095" w:type="dxa"/>
                <w:tblCellMar>
                  <w:top w:w="15" w:type="dxa"/>
                  <w:left w:w="15" w:type="dxa"/>
                  <w:bottom w:w="15" w:type="dxa"/>
                  <w:right w:w="15" w:type="dxa"/>
                </w:tblCellMar>
                <w:tblLook w:val="05E0"/>
              </w:tblPrEx>
              <w:trPr>
                <w:trHeight w:val="555"/>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10 – </w:t>
                  </w:r>
                  <w:r>
                    <w:rPr>
                      <w:rFonts w:ascii="Times New Roman" w:eastAsia="Times New Roman" w:hAnsi="Times New Roman" w:cs="Times New Roman"/>
                      <w:b/>
                      <w:bCs/>
                      <w:i w:val="0"/>
                      <w:iCs w:val="0"/>
                      <w:smallCaps w:val="0"/>
                      <w:color w:val="000000"/>
                      <w:szCs w:val="24"/>
                    </w:rPr>
                    <w:t>20</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4 090</w:t>
                  </w:r>
                </w:p>
              </w:tc>
            </w:tr>
            <w:tr>
              <w:tblPrEx>
                <w:tblW w:w="14095" w:type="dxa"/>
                <w:tblCellMar>
                  <w:top w:w="15" w:type="dxa"/>
                  <w:left w:w="15" w:type="dxa"/>
                  <w:bottom w:w="15" w:type="dxa"/>
                  <w:right w:w="15" w:type="dxa"/>
                </w:tblCellMar>
                <w:tblLook w:val="05E0"/>
              </w:tblPrEx>
              <w:trPr>
                <w:trHeight w:val="544"/>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20– </w:t>
                  </w:r>
                  <w:r>
                    <w:rPr>
                      <w:rFonts w:ascii="Times New Roman" w:eastAsia="Times New Roman" w:hAnsi="Times New Roman" w:cs="Times New Roman"/>
                      <w:b/>
                      <w:bCs/>
                      <w:i w:val="0"/>
                      <w:iCs w:val="0"/>
                      <w:smallCaps w:val="0"/>
                      <w:color w:val="000000"/>
                      <w:szCs w:val="24"/>
                    </w:rPr>
                    <w:t>30</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12 000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6 136</w:t>
                  </w:r>
                </w:p>
              </w:tc>
            </w:tr>
            <w:tr>
              <w:tblPrEx>
                <w:tblW w:w="14095" w:type="dxa"/>
                <w:tblCellMar>
                  <w:top w:w="15" w:type="dxa"/>
                  <w:left w:w="15" w:type="dxa"/>
                  <w:bottom w:w="15" w:type="dxa"/>
                  <w:right w:w="15" w:type="dxa"/>
                </w:tblCellMar>
                <w:tblLook w:val="05E0"/>
              </w:tblPrEx>
              <w:trPr>
                <w:trHeight w:val="555"/>
              </w:trPr>
              <w:tc>
                <w:tcPr>
                  <w:tcW w:w="3504"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30 ха</w:t>
                  </w:r>
                </w:p>
              </w:tc>
              <w:tc>
                <w:tcPr>
                  <w:tcW w:w="172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582"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10. Розопроизводството</w:t>
            </w:r>
          </w:p>
          <w:tbl>
            <w:tblPr>
              <w:tblStyle w:val="Table"/>
              <w:tblW w:w="1411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55"/>
              <w:gridCol w:w="4082"/>
              <w:gridCol w:w="2502"/>
              <w:gridCol w:w="1957"/>
              <w:gridCol w:w="1974"/>
            </w:tblGrid>
            <w:tr>
              <w:tblPrEx>
                <w:tblW w:w="1411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334"/>
              </w:trPr>
              <w:tc>
                <w:tcPr>
                  <w:tcW w:w="3508"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розопроизводството</w:t>
                  </w:r>
                </w:p>
              </w:tc>
              <w:tc>
                <w:tcPr>
                  <w:tcW w:w="1729"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80"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2"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110" w:type="dxa"/>
                <w:tblCellMar>
                  <w:top w:w="15" w:type="dxa"/>
                  <w:left w:w="15" w:type="dxa"/>
                  <w:bottom w:w="15" w:type="dxa"/>
                  <w:right w:w="15" w:type="dxa"/>
                </w:tblCellMar>
                <w:tblLook w:val="05E0"/>
              </w:tblPrEx>
              <w:trPr>
                <w:trHeight w:val="623"/>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1 412</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10" w:type="dxa"/>
                <w:tblCellMar>
                  <w:top w:w="15" w:type="dxa"/>
                  <w:left w:w="15" w:type="dxa"/>
                  <w:bottom w:w="15" w:type="dxa"/>
                  <w:right w:w="15" w:type="dxa"/>
                </w:tblCellMar>
                <w:tblLook w:val="05E0"/>
              </w:tblPrEx>
              <w:trPr>
                <w:trHeight w:val="635"/>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50 128</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10" w:type="dxa"/>
                <w:tblCellMar>
                  <w:top w:w="15" w:type="dxa"/>
                  <w:left w:w="15" w:type="dxa"/>
                  <w:bottom w:w="15" w:type="dxa"/>
                  <w:right w:w="15" w:type="dxa"/>
                </w:tblCellMar>
                <w:tblLook w:val="05E0"/>
              </w:tblPrEx>
              <w:trPr>
                <w:trHeight w:val="4726"/>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 в зеленчукопроизводството на открито + Средни прогнозни разходи на зает в оранжерийното зеленчукопроизводство + Средни прогнозни разходи на зает в овощарството)/ 3</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457</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10" w:type="dxa"/>
                <w:tblCellMar>
                  <w:top w:w="15" w:type="dxa"/>
                  <w:left w:w="15" w:type="dxa"/>
                  <w:bottom w:w="15" w:type="dxa"/>
                  <w:right w:w="15" w:type="dxa"/>
                </w:tblCellMar>
                <w:tblLook w:val="05E0"/>
              </w:tblPrEx>
              <w:trPr>
                <w:trHeight w:val="635"/>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до </w:t>
                  </w:r>
                  <w:r>
                    <w:rPr>
                      <w:rFonts w:ascii="Times New Roman" w:eastAsia="Times New Roman" w:hAnsi="Times New Roman" w:cs="Times New Roman"/>
                      <w:b/>
                      <w:bCs/>
                      <w:i w:val="0"/>
                      <w:iCs w:val="0"/>
                      <w:smallCaps w:val="0"/>
                      <w:color w:val="000000"/>
                      <w:szCs w:val="24"/>
                    </w:rPr>
                    <w:t>1</w:t>
                  </w:r>
                  <w:r>
                    <w:rPr>
                      <w:rFonts w:ascii="Times New Roman" w:eastAsia="Times New Roman" w:hAnsi="Times New Roman" w:cs="Times New Roman"/>
                      <w:b/>
                      <w:bCs/>
                      <w:i w:val="0"/>
                      <w:iCs w:val="0"/>
                      <w:smallCaps w:val="0"/>
                      <w:color w:val="000000"/>
                      <w:szCs w:val="24"/>
                    </w:rPr>
                    <w:t xml:space="preserve"> ха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460</w:t>
                  </w:r>
                </w:p>
              </w:tc>
            </w:tr>
            <w:tr>
              <w:tblPrEx>
                <w:tblW w:w="14110" w:type="dxa"/>
                <w:tblCellMar>
                  <w:top w:w="15" w:type="dxa"/>
                  <w:left w:w="15" w:type="dxa"/>
                  <w:bottom w:w="15" w:type="dxa"/>
                  <w:right w:w="15" w:type="dxa"/>
                </w:tblCellMar>
                <w:tblLook w:val="05E0"/>
              </w:tblPrEx>
              <w:trPr>
                <w:trHeight w:val="623"/>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2 045</w:t>
                  </w:r>
                </w:p>
              </w:tc>
            </w:tr>
            <w:tr>
              <w:tblPrEx>
                <w:tblW w:w="14110" w:type="dxa"/>
                <w:tblCellMar>
                  <w:top w:w="15" w:type="dxa"/>
                  <w:left w:w="15" w:type="dxa"/>
                  <w:bottom w:w="15" w:type="dxa"/>
                  <w:right w:w="15" w:type="dxa"/>
                </w:tblCellMar>
                <w:tblLook w:val="05E0"/>
              </w:tblPrEx>
              <w:trPr>
                <w:trHeight w:val="623"/>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5 – </w:t>
                  </w:r>
                  <w:r>
                    <w:rPr>
                      <w:rFonts w:ascii="Times New Roman" w:eastAsia="Times New Roman" w:hAnsi="Times New Roman" w:cs="Times New Roman"/>
                      <w:b/>
                      <w:bCs/>
                      <w:i w:val="0"/>
                      <w:iCs w:val="0"/>
                      <w:smallCaps w:val="0"/>
                      <w:color w:val="000000"/>
                      <w:szCs w:val="24"/>
                    </w:rPr>
                    <w:t>10</w:t>
                  </w:r>
                  <w:r>
                    <w:rPr>
                      <w:rFonts w:ascii="Times New Roman" w:eastAsia="Times New Roman" w:hAnsi="Times New Roman" w:cs="Times New Roman"/>
                      <w:b/>
                      <w:bCs/>
                      <w:i w:val="0"/>
                      <w:iCs w:val="0"/>
                      <w:smallCaps w:val="0"/>
                      <w:color w:val="000000"/>
                      <w:szCs w:val="24"/>
                    </w:rPr>
                    <w:t xml:space="preserve"> ха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3 579</w:t>
                  </w:r>
                </w:p>
              </w:tc>
            </w:tr>
            <w:tr>
              <w:tblPrEx>
                <w:tblW w:w="14110" w:type="dxa"/>
                <w:tblCellMar>
                  <w:top w:w="15" w:type="dxa"/>
                  <w:left w:w="15" w:type="dxa"/>
                  <w:bottom w:w="15" w:type="dxa"/>
                  <w:right w:w="15" w:type="dxa"/>
                </w:tblCellMar>
                <w:tblLook w:val="05E0"/>
              </w:tblPrEx>
              <w:trPr>
                <w:trHeight w:val="635"/>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10 – </w:t>
                  </w:r>
                  <w:r>
                    <w:rPr>
                      <w:rFonts w:ascii="Times New Roman" w:eastAsia="Times New Roman" w:hAnsi="Times New Roman" w:cs="Times New Roman"/>
                      <w:b/>
                      <w:bCs/>
                      <w:i w:val="0"/>
                      <w:iCs w:val="0"/>
                      <w:smallCaps w:val="0"/>
                      <w:color w:val="000000"/>
                      <w:szCs w:val="24"/>
                    </w:rPr>
                    <w:t>20</w:t>
                  </w:r>
                  <w:r>
                    <w:rPr>
                      <w:rFonts w:ascii="Times New Roman" w:eastAsia="Times New Roman" w:hAnsi="Times New Roman" w:cs="Times New Roman"/>
                      <w:b/>
                      <w:bCs/>
                      <w:i w:val="0"/>
                      <w:iCs w:val="0"/>
                      <w:smallCaps w:val="0"/>
                      <w:color w:val="000000"/>
                      <w:szCs w:val="24"/>
                    </w:rPr>
                    <w:t xml:space="preserve"> ха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10 000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5 113</w:t>
                  </w:r>
                </w:p>
              </w:tc>
            </w:tr>
            <w:tr>
              <w:tblPrEx>
                <w:tblW w:w="14110" w:type="dxa"/>
                <w:tblCellMar>
                  <w:top w:w="15" w:type="dxa"/>
                  <w:left w:w="15" w:type="dxa"/>
                  <w:bottom w:w="15" w:type="dxa"/>
                  <w:right w:w="15" w:type="dxa"/>
                </w:tblCellMar>
                <w:tblLook w:val="05E0"/>
              </w:tblPrEx>
              <w:trPr>
                <w:trHeight w:val="623"/>
              </w:trPr>
              <w:tc>
                <w:tcPr>
                  <w:tcW w:w="3508"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20</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ха</w:t>
                  </w:r>
                </w:p>
              </w:tc>
              <w:tc>
                <w:tcPr>
                  <w:tcW w:w="1729"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0"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582"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11. Винено лозарство</w:t>
            </w:r>
          </w:p>
          <w:tbl>
            <w:tblPr>
              <w:tblStyle w:val="Table"/>
              <w:tblW w:w="1412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61"/>
              <w:gridCol w:w="4087"/>
              <w:gridCol w:w="2506"/>
              <w:gridCol w:w="1957"/>
              <w:gridCol w:w="1974"/>
            </w:tblGrid>
            <w:tr>
              <w:tblPrEx>
                <w:tblW w:w="1412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485"/>
              </w:trPr>
              <w:tc>
                <w:tcPr>
                  <w:tcW w:w="3514"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производството на винено грозде</w:t>
                  </w:r>
                </w:p>
              </w:tc>
              <w:tc>
                <w:tcPr>
                  <w:tcW w:w="1732"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50"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83"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6"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125" w:type="dxa"/>
                <w:tblCellMar>
                  <w:top w:w="15" w:type="dxa"/>
                  <w:left w:w="15" w:type="dxa"/>
                  <w:bottom w:w="15" w:type="dxa"/>
                  <w:right w:w="15" w:type="dxa"/>
                </w:tblCellMar>
                <w:tblLook w:val="05E0"/>
              </w:tblPrEx>
              <w:trPr>
                <w:trHeight w:val="694"/>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4 757</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25" w:type="dxa"/>
                <w:tblCellMar>
                  <w:top w:w="15" w:type="dxa"/>
                  <w:left w:w="15" w:type="dxa"/>
                  <w:bottom w:w="15" w:type="dxa"/>
                  <w:right w:w="15" w:type="dxa"/>
                </w:tblCellMar>
                <w:tblLook w:val="05E0"/>
              </w:tblPrEx>
              <w:trPr>
                <w:trHeight w:val="708"/>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267 223</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25" w:type="dxa"/>
                <w:tblCellMar>
                  <w:top w:w="15" w:type="dxa"/>
                  <w:left w:w="15" w:type="dxa"/>
                  <w:bottom w:w="15" w:type="dxa"/>
                  <w:right w:w="15" w:type="dxa"/>
                </w:tblCellMar>
                <w:tblLook w:val="05E0"/>
              </w:tblPrEx>
              <w:trPr>
                <w:trHeight w:val="5265"/>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 в зеленчукопроизводството на открито + Средни прогнозни разходи на зает в оранжерийното зеленчукопроизводство + Средни прогнозни разходи на зает в овощарството)/ 3</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457</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25" w:type="dxa"/>
                <w:tblCellMar>
                  <w:top w:w="15" w:type="dxa"/>
                  <w:left w:w="15" w:type="dxa"/>
                  <w:bottom w:w="15" w:type="dxa"/>
                  <w:right w:w="15" w:type="dxa"/>
                </w:tblCellMar>
                <w:tblLook w:val="05E0"/>
              </w:tblPrEx>
              <w:trPr>
                <w:trHeight w:val="708"/>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до </w:t>
                  </w:r>
                  <w:r>
                    <w:rPr>
                      <w:rFonts w:ascii="Times New Roman" w:eastAsia="Times New Roman" w:hAnsi="Times New Roman" w:cs="Times New Roman"/>
                      <w:b/>
                      <w:bCs/>
                      <w:i w:val="0"/>
                      <w:iCs w:val="0"/>
                      <w:smallCaps w:val="0"/>
                      <w:color w:val="000000"/>
                      <w:szCs w:val="24"/>
                    </w:rPr>
                    <w:t>1</w:t>
                  </w:r>
                  <w:r>
                    <w:rPr>
                      <w:rFonts w:ascii="Times New Roman" w:eastAsia="Times New Roman" w:hAnsi="Times New Roman" w:cs="Times New Roman"/>
                      <w:b/>
                      <w:bCs/>
                      <w:i w:val="0"/>
                      <w:iCs w:val="0"/>
                      <w:smallCaps w:val="0"/>
                      <w:color w:val="000000"/>
                      <w:szCs w:val="24"/>
                    </w:rPr>
                    <w:t xml:space="preserve"> ха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300</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153</w:t>
                  </w:r>
                </w:p>
              </w:tc>
            </w:tr>
            <w:tr>
              <w:tblPrEx>
                <w:tblW w:w="14125" w:type="dxa"/>
                <w:tblCellMar>
                  <w:top w:w="15" w:type="dxa"/>
                  <w:left w:w="15" w:type="dxa"/>
                  <w:bottom w:w="15" w:type="dxa"/>
                  <w:right w:w="15" w:type="dxa"/>
                </w:tblCellMar>
                <w:tblLook w:val="05E0"/>
              </w:tblPrEx>
              <w:trPr>
                <w:trHeight w:val="694"/>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1 500</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767</w:t>
                  </w:r>
                </w:p>
              </w:tc>
            </w:tr>
            <w:tr>
              <w:tblPrEx>
                <w:tblW w:w="14125" w:type="dxa"/>
                <w:tblCellMar>
                  <w:top w:w="15" w:type="dxa"/>
                  <w:left w:w="15" w:type="dxa"/>
                  <w:bottom w:w="15" w:type="dxa"/>
                  <w:right w:w="15" w:type="dxa"/>
                </w:tblCellMar>
                <w:tblLook w:val="05E0"/>
              </w:tblPrEx>
              <w:trPr>
                <w:trHeight w:val="708"/>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5 – </w:t>
                  </w:r>
                  <w:r>
                    <w:rPr>
                      <w:rFonts w:ascii="Times New Roman" w:eastAsia="Times New Roman" w:hAnsi="Times New Roman" w:cs="Times New Roman"/>
                      <w:b/>
                      <w:bCs/>
                      <w:i w:val="0"/>
                      <w:iCs w:val="0"/>
                      <w:smallCaps w:val="0"/>
                      <w:color w:val="000000"/>
                      <w:szCs w:val="24"/>
                    </w:rPr>
                    <w:t>10</w:t>
                  </w:r>
                  <w:r>
                    <w:rPr>
                      <w:rFonts w:ascii="Times New Roman" w:eastAsia="Times New Roman" w:hAnsi="Times New Roman" w:cs="Times New Roman"/>
                      <w:b/>
                      <w:bCs/>
                      <w:i w:val="0"/>
                      <w:iCs w:val="0"/>
                      <w:smallCaps w:val="0"/>
                      <w:color w:val="000000"/>
                      <w:szCs w:val="24"/>
                    </w:rPr>
                    <w:t xml:space="preserve"> ха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2 500</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1 278</w:t>
                  </w:r>
                </w:p>
              </w:tc>
            </w:tr>
            <w:tr>
              <w:tblPrEx>
                <w:tblW w:w="14125" w:type="dxa"/>
                <w:tblCellMar>
                  <w:top w:w="15" w:type="dxa"/>
                  <w:left w:w="15" w:type="dxa"/>
                  <w:bottom w:w="15" w:type="dxa"/>
                  <w:right w:w="15" w:type="dxa"/>
                </w:tblCellMar>
                <w:tblLook w:val="05E0"/>
              </w:tblPrEx>
              <w:trPr>
                <w:trHeight w:val="694"/>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10 – </w:t>
                  </w:r>
                  <w:r>
                    <w:rPr>
                      <w:rFonts w:ascii="Times New Roman" w:eastAsia="Times New Roman" w:hAnsi="Times New Roman" w:cs="Times New Roman"/>
                      <w:b/>
                      <w:bCs/>
                      <w:i w:val="0"/>
                      <w:iCs w:val="0"/>
                      <w:smallCaps w:val="0"/>
                      <w:color w:val="000000"/>
                      <w:szCs w:val="24"/>
                    </w:rPr>
                    <w:t>30</w:t>
                  </w:r>
                  <w:r>
                    <w:rPr>
                      <w:rFonts w:ascii="Times New Roman" w:eastAsia="Times New Roman" w:hAnsi="Times New Roman" w:cs="Times New Roman"/>
                      <w:b/>
                      <w:bCs/>
                      <w:i w:val="0"/>
                      <w:iCs w:val="0"/>
                      <w:smallCaps w:val="0"/>
                      <w:color w:val="000000"/>
                      <w:szCs w:val="24"/>
                    </w:rPr>
                    <w:t xml:space="preserve"> ха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5 000</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2 556</w:t>
                  </w:r>
                </w:p>
              </w:tc>
            </w:tr>
            <w:tr>
              <w:tblPrEx>
                <w:tblW w:w="14125" w:type="dxa"/>
                <w:tblCellMar>
                  <w:top w:w="15" w:type="dxa"/>
                  <w:left w:w="15" w:type="dxa"/>
                  <w:bottom w:w="15" w:type="dxa"/>
                  <w:right w:w="15" w:type="dxa"/>
                </w:tblCellMar>
                <w:tblLook w:val="05E0"/>
              </w:tblPrEx>
              <w:trPr>
                <w:trHeight w:val="708"/>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30 – </w:t>
                  </w:r>
                  <w:r>
                    <w:rPr>
                      <w:rFonts w:ascii="Times New Roman" w:eastAsia="Times New Roman" w:hAnsi="Times New Roman" w:cs="Times New Roman"/>
                      <w:b/>
                      <w:bCs/>
                      <w:i w:val="0"/>
                      <w:iCs w:val="0"/>
                      <w:smallCaps w:val="0"/>
                      <w:color w:val="000000"/>
                      <w:szCs w:val="24"/>
                    </w:rPr>
                    <w:t>50</w:t>
                  </w:r>
                  <w:r>
                    <w:rPr>
                      <w:rFonts w:ascii="Times New Roman" w:eastAsia="Times New Roman" w:hAnsi="Times New Roman" w:cs="Times New Roman"/>
                      <w:b/>
                      <w:bCs/>
                      <w:i w:val="0"/>
                      <w:iCs w:val="0"/>
                      <w:smallCaps w:val="0"/>
                      <w:color w:val="000000"/>
                      <w:szCs w:val="24"/>
                    </w:rPr>
                    <w:t xml:space="preserve"> ха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9 000</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4 602</w:t>
                  </w:r>
                </w:p>
              </w:tc>
            </w:tr>
            <w:tr>
              <w:tblPrEx>
                <w:tblW w:w="14125" w:type="dxa"/>
                <w:tblCellMar>
                  <w:top w:w="15" w:type="dxa"/>
                  <w:left w:w="15" w:type="dxa"/>
                  <w:bottom w:w="15" w:type="dxa"/>
                  <w:right w:w="15" w:type="dxa"/>
                </w:tblCellMar>
                <w:tblLook w:val="05E0"/>
              </w:tblPrEx>
              <w:trPr>
                <w:trHeight w:val="694"/>
              </w:trPr>
              <w:tc>
                <w:tcPr>
                  <w:tcW w:w="3514"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50</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ха</w:t>
                  </w:r>
                </w:p>
              </w:tc>
              <w:tc>
                <w:tcPr>
                  <w:tcW w:w="1732"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586"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12. Производство на декоративни растения и цветя</w:t>
            </w:r>
          </w:p>
          <w:tbl>
            <w:tblPr>
              <w:tblStyle w:val="Table"/>
              <w:tblW w:w="1415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477"/>
              <w:gridCol w:w="4158"/>
              <w:gridCol w:w="2549"/>
              <w:gridCol w:w="1957"/>
              <w:gridCol w:w="1974"/>
            </w:tblGrid>
            <w:tr>
              <w:tblPrEx>
                <w:tblW w:w="1415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519"/>
              </w:trPr>
              <w:tc>
                <w:tcPr>
                  <w:tcW w:w="3430"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производството на декоративни растения и цветя</w:t>
                  </w:r>
                </w:p>
              </w:tc>
              <w:tc>
                <w:tcPr>
                  <w:tcW w:w="1814"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183"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62"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690"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155" w:type="dxa"/>
                <w:tblCellMar>
                  <w:top w:w="15" w:type="dxa"/>
                  <w:left w:w="15" w:type="dxa"/>
                  <w:bottom w:w="15" w:type="dxa"/>
                  <w:right w:w="15" w:type="dxa"/>
                </w:tblCellMar>
                <w:tblLook w:val="05E0"/>
              </w:tblPrEx>
              <w:trPr>
                <w:trHeight w:val="330"/>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82</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55" w:type="dxa"/>
                <w:tblCellMar>
                  <w:top w:w="15" w:type="dxa"/>
                  <w:left w:w="15" w:type="dxa"/>
                  <w:bottom w:w="15" w:type="dxa"/>
                  <w:right w:w="15" w:type="dxa"/>
                </w:tblCellMar>
                <w:tblLook w:val="05E0"/>
              </w:tblPrEx>
              <w:trPr>
                <w:trHeight w:val="330"/>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3 289</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55" w:type="dxa"/>
                <w:tblCellMar>
                  <w:top w:w="15" w:type="dxa"/>
                  <w:left w:w="15" w:type="dxa"/>
                  <w:bottom w:w="15" w:type="dxa"/>
                  <w:right w:w="15" w:type="dxa"/>
                </w:tblCellMar>
                <w:tblLook w:val="05E0"/>
              </w:tblPrEx>
              <w:trPr>
                <w:trHeight w:val="654"/>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 в зеленчукопроизводството на открито + Средни прогнозни разходи на зает в оранжерийното зеленчукопроизводство + Средни прогнозни разходи на зает в овощарството)/ 3</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457</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55" w:type="dxa"/>
                <w:tblCellMar>
                  <w:top w:w="15" w:type="dxa"/>
                  <w:left w:w="15" w:type="dxa"/>
                  <w:bottom w:w="15" w:type="dxa"/>
                  <w:right w:w="15" w:type="dxa"/>
                </w:tblCellMar>
                <w:tblLook w:val="05E0"/>
              </w:tblPrEx>
              <w:trPr>
                <w:trHeight w:val="85"/>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до </w:t>
                  </w:r>
                  <w:r>
                    <w:rPr>
                      <w:rFonts w:ascii="Times New Roman" w:eastAsia="Times New Roman" w:hAnsi="Times New Roman" w:cs="Times New Roman"/>
                      <w:b/>
                      <w:bCs/>
                      <w:i w:val="0"/>
                      <w:iCs w:val="0"/>
                      <w:smallCaps w:val="0"/>
                      <w:color w:val="000000"/>
                      <w:szCs w:val="24"/>
                    </w:rPr>
                    <w:t>1</w:t>
                  </w:r>
                  <w:r>
                    <w:rPr>
                      <w:rFonts w:ascii="Times New Roman" w:eastAsia="Times New Roman" w:hAnsi="Times New Roman" w:cs="Times New Roman"/>
                      <w:b/>
                      <w:bCs/>
                      <w:i w:val="0"/>
                      <w:iCs w:val="0"/>
                      <w:smallCaps w:val="0"/>
                      <w:color w:val="000000"/>
                      <w:szCs w:val="24"/>
                    </w:rPr>
                    <w:t xml:space="preserve"> ха</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2 000</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1 023</w:t>
                  </w:r>
                </w:p>
              </w:tc>
            </w:tr>
            <w:tr>
              <w:tblPrEx>
                <w:tblW w:w="14155" w:type="dxa"/>
                <w:tblCellMar>
                  <w:top w:w="15" w:type="dxa"/>
                  <w:left w:w="15" w:type="dxa"/>
                  <w:bottom w:w="15" w:type="dxa"/>
                  <w:right w:w="15" w:type="dxa"/>
                </w:tblCellMar>
                <w:tblLook w:val="05E0"/>
              </w:tblPrEx>
              <w:trPr>
                <w:trHeight w:val="85"/>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8 000</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4 090</w:t>
                  </w:r>
                </w:p>
              </w:tc>
            </w:tr>
            <w:tr>
              <w:tblPrEx>
                <w:tblW w:w="14155" w:type="dxa"/>
                <w:tblCellMar>
                  <w:top w:w="15" w:type="dxa"/>
                  <w:left w:w="15" w:type="dxa"/>
                  <w:bottom w:w="15" w:type="dxa"/>
                  <w:right w:w="15" w:type="dxa"/>
                </w:tblCellMar>
                <w:tblLook w:val="05E0"/>
              </w:tblPrEx>
              <w:trPr>
                <w:trHeight w:val="85"/>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5– </w:t>
                  </w:r>
                  <w:r>
                    <w:rPr>
                      <w:rFonts w:ascii="Times New Roman" w:eastAsia="Times New Roman" w:hAnsi="Times New Roman" w:cs="Times New Roman"/>
                      <w:b/>
                      <w:bCs/>
                      <w:i w:val="0"/>
                      <w:iCs w:val="0"/>
                      <w:smallCaps w:val="0"/>
                      <w:color w:val="000000"/>
                      <w:szCs w:val="24"/>
                    </w:rPr>
                    <w:t>10</w:t>
                  </w:r>
                  <w:r>
                    <w:rPr>
                      <w:rFonts w:ascii="Times New Roman" w:eastAsia="Times New Roman" w:hAnsi="Times New Roman" w:cs="Times New Roman"/>
                      <w:b/>
                      <w:bCs/>
                      <w:i w:val="0"/>
                      <w:iCs w:val="0"/>
                      <w:smallCaps w:val="0"/>
                      <w:color w:val="000000"/>
                      <w:szCs w:val="24"/>
                    </w:rPr>
                    <w:t xml:space="preserve"> ха</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12 000</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6 136</w:t>
                  </w:r>
                </w:p>
              </w:tc>
            </w:tr>
            <w:tr>
              <w:tblPrEx>
                <w:tblW w:w="14155" w:type="dxa"/>
                <w:tblCellMar>
                  <w:top w:w="15" w:type="dxa"/>
                  <w:left w:w="15" w:type="dxa"/>
                  <w:bottom w:w="15" w:type="dxa"/>
                  <w:right w:w="15" w:type="dxa"/>
                </w:tblCellMar>
                <w:tblLook w:val="05E0"/>
              </w:tblPrEx>
              <w:trPr>
                <w:trHeight w:val="85"/>
              </w:trPr>
              <w:tc>
                <w:tcPr>
                  <w:tcW w:w="3430"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10 ха</w:t>
                  </w:r>
                </w:p>
              </w:tc>
              <w:tc>
                <w:tcPr>
                  <w:tcW w:w="1814"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183"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62"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690"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13. Други сектори</w:t>
            </w:r>
          </w:p>
          <w:tbl>
            <w:tblPr>
              <w:tblStyle w:val="Table"/>
              <w:tblW w:w="1417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479"/>
              <w:gridCol w:w="1859"/>
              <w:gridCol w:w="5319"/>
              <w:gridCol w:w="1734"/>
              <w:gridCol w:w="1739"/>
            </w:tblGrid>
            <w:tr>
              <w:tblPrEx>
                <w:tblW w:w="1417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579"/>
              </w:trPr>
              <w:tc>
                <w:tcPr>
                  <w:tcW w:w="3432"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други сектори</w:t>
                  </w:r>
                </w:p>
              </w:tc>
              <w:tc>
                <w:tcPr>
                  <w:tcW w:w="1815"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05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690"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Лева/Зает</w:t>
                  </w:r>
                </w:p>
              </w:tc>
              <w:tc>
                <w:tcPr>
                  <w:tcW w:w="1692"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Евро/Зает</w:t>
                  </w:r>
                </w:p>
              </w:tc>
            </w:tr>
            <w:tr>
              <w:tblPrEx>
                <w:tblW w:w="14170" w:type="dxa"/>
                <w:tblCellMar>
                  <w:top w:w="15" w:type="dxa"/>
                  <w:left w:w="15" w:type="dxa"/>
                  <w:bottom w:w="15" w:type="dxa"/>
                  <w:right w:w="15" w:type="dxa"/>
                </w:tblCellMar>
                <w:tblLook w:val="05E0"/>
              </w:tblPrEx>
              <w:trPr>
                <w:trHeight w:val="2196"/>
              </w:trPr>
              <w:tc>
                <w:tcPr>
                  <w:tcW w:w="3432"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зает </w:t>
                  </w:r>
                </w:p>
              </w:tc>
              <w:tc>
                <w:tcPr>
                  <w:tcW w:w="1815"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Остатъчен бюджет дистрибутиран за извънредна временна помощ за земеделие / Броя на заетите в други сектори</w:t>
                  </w:r>
                </w:p>
              </w:tc>
              <w:tc>
                <w:tcPr>
                  <w:tcW w:w="105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690"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30</w:t>
                  </w:r>
                </w:p>
              </w:tc>
              <w:tc>
                <w:tcPr>
                  <w:tcW w:w="1692"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15</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14. Малки и средни предприятия</w:t>
            </w:r>
          </w:p>
          <w:tbl>
            <w:tblPr>
              <w:tblStyle w:val="Table"/>
              <w:tblW w:w="1415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5012"/>
              <w:gridCol w:w="2682"/>
              <w:gridCol w:w="1773"/>
              <w:gridCol w:w="2684"/>
              <w:gridCol w:w="1964"/>
            </w:tblGrid>
            <w:tr>
              <w:tblPrEx>
                <w:tblW w:w="1415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896"/>
              </w:trPr>
              <w:tc>
                <w:tcPr>
                  <w:tcW w:w="3478"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преработвателните МСП</w:t>
                  </w:r>
                </w:p>
              </w:tc>
              <w:tc>
                <w:tcPr>
                  <w:tcW w:w="1839"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198"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840"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Резултат </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Лева/Зает</w:t>
                  </w:r>
                </w:p>
              </w:tc>
              <w:tc>
                <w:tcPr>
                  <w:tcW w:w="1328"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Евро/Зает</w:t>
                  </w:r>
                </w:p>
              </w:tc>
            </w:tr>
            <w:tr>
              <w:tblPrEx>
                <w:tblW w:w="14155" w:type="dxa"/>
                <w:tblCellMar>
                  <w:top w:w="15" w:type="dxa"/>
                  <w:left w:w="15" w:type="dxa"/>
                  <w:bottom w:w="15" w:type="dxa"/>
                  <w:right w:w="15" w:type="dxa"/>
                </w:tblCellMar>
                <w:tblLook w:val="05E0"/>
              </w:tblPrEx>
              <w:trPr>
                <w:trHeight w:val="561"/>
              </w:trPr>
              <w:tc>
                <w:tcPr>
                  <w:tcW w:w="347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МСП</w:t>
                  </w:r>
                </w:p>
              </w:tc>
              <w:tc>
                <w:tcPr>
                  <w:tcW w:w="183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19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84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1 489</w:t>
                  </w:r>
                </w:p>
              </w:tc>
              <w:tc>
                <w:tcPr>
                  <w:tcW w:w="132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55" w:type="dxa"/>
                <w:tblCellMar>
                  <w:top w:w="15" w:type="dxa"/>
                  <w:left w:w="15" w:type="dxa"/>
                  <w:bottom w:w="15" w:type="dxa"/>
                  <w:right w:w="15" w:type="dxa"/>
                </w:tblCellMar>
                <w:tblLook w:val="05E0"/>
              </w:tblPrEx>
              <w:trPr>
                <w:trHeight w:val="289"/>
              </w:trPr>
              <w:tc>
                <w:tcPr>
                  <w:tcW w:w="347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МСП</w:t>
                  </w:r>
                </w:p>
              </w:tc>
              <w:tc>
                <w:tcPr>
                  <w:tcW w:w="183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19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84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27 372</w:t>
                  </w:r>
                </w:p>
              </w:tc>
              <w:tc>
                <w:tcPr>
                  <w:tcW w:w="132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55" w:type="dxa"/>
                <w:tblCellMar>
                  <w:top w:w="15" w:type="dxa"/>
                  <w:left w:w="15" w:type="dxa"/>
                  <w:bottom w:w="15" w:type="dxa"/>
                  <w:right w:w="15" w:type="dxa"/>
                </w:tblCellMar>
                <w:tblLook w:val="05E0"/>
              </w:tblPrEx>
              <w:trPr>
                <w:trHeight w:val="148"/>
              </w:trPr>
              <w:tc>
                <w:tcPr>
                  <w:tcW w:w="3478"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839"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198"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840"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270</w:t>
                  </w:r>
                </w:p>
              </w:tc>
              <w:tc>
                <w:tcPr>
                  <w:tcW w:w="1328"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138</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Специфична информация за мярката</w:t>
      </w:r>
    </w:p>
    <w:p>
      <w:pPr>
        <w:pStyle w:val="Heading4"/>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По мярката е осигурена демаркация и допълняемост с ОПИК и други финансиращи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Един кандидат може да кандидатства и получи подпомагане само по една от подмерките от мярка Covid-19.</w:t>
            </w:r>
          </w:p>
          <w:tbl>
            <w:tblPr>
              <w:tblStyle w:val="Table"/>
              <w:jc w:val="center"/>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2838"/>
              <w:gridCol w:w="5794"/>
              <w:gridCol w:w="1788"/>
            </w:tblGrid>
            <w:tr>
              <w:tblPrEx>
                <w:jc w:val="center"/>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299"/>
                <w:jc w:val="center"/>
              </w:trPr>
              <w:tc>
                <w:tcPr>
                  <w:gridSpan w:val="3"/>
                  <w:tcBorders>
                    <w:bottom w:val="inset" w:sz="6" w:space="0" w:color="808080"/>
                  </w:tcBorders>
                  <w:noWrap w:val="0"/>
                  <w:tcMar>
                    <w:top w:w="25" w:type="dxa"/>
                    <w:left w:w="25" w:type="dxa"/>
                    <w:bottom w:w="22"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Подпомагани култури</w:t>
                  </w:r>
                  <w:r>
                    <w:rPr>
                      <w:rFonts w:ascii="Times New Roman" w:eastAsia="Times New Roman" w:hAnsi="Times New Roman" w:cs="Times New Roman"/>
                      <w:b/>
                      <w:bCs/>
                      <w:i w:val="0"/>
                      <w:iCs w:val="0"/>
                      <w:smallCaps w:val="0"/>
                      <w:color w:val="000000"/>
                      <w:szCs w:val="24"/>
                    </w:rPr>
                    <w:t xml:space="preserve"> по </w:t>
                  </w:r>
                  <w:r>
                    <w:rPr>
                      <w:rFonts w:ascii="Times New Roman" w:eastAsia="Times New Roman" w:hAnsi="Times New Roman" w:cs="Times New Roman"/>
                      <w:b/>
                      <w:bCs/>
                      <w:i w:val="0"/>
                      <w:iCs w:val="0"/>
                      <w:smallCaps w:val="0"/>
                      <w:color w:val="000000"/>
                      <w:szCs w:val="24"/>
                    </w:rPr>
                    <w:t>Подмярка 21.1</w:t>
                  </w:r>
                  <w:r>
                    <w:rPr>
                      <w:rFonts w:ascii="Times New Roman" w:eastAsia="Times New Roman" w:hAnsi="Times New Roman" w:cs="Times New Roman"/>
                      <w:b/>
                      <w:bCs/>
                      <w:i w:val="0"/>
                      <w:iCs w:val="0"/>
                      <w:smallCaps w:val="0"/>
                      <w:color w:val="000000"/>
                      <w:szCs w:val="24"/>
                    </w:rPr>
                    <w:t xml:space="preserve"> - </w:t>
                  </w:r>
                  <w:r>
                    <w:rPr>
                      <w:rFonts w:ascii="Times New Roman" w:eastAsia="Times New Roman" w:hAnsi="Times New Roman" w:cs="Times New Roman"/>
                      <w:b w:val="0"/>
                      <w:bCs w:val="0"/>
                      <w:i w:val="0"/>
                      <w:iCs w:val="0"/>
                      <w:smallCaps w:val="0"/>
                      <w:color w:val="000000"/>
                      <w:szCs w:val="24"/>
                    </w:rPr>
                    <w:t>Изключителна и временна подкрепа за земеделските стопани COVID 1</w:t>
                  </w:r>
                </w:p>
              </w:tc>
            </w:tr>
            <w:tr>
              <w:tblPrEx>
                <w:jc w:val="center"/>
                <w:tblCellMar>
                  <w:top w:w="15" w:type="dxa"/>
                  <w:left w:w="15" w:type="dxa"/>
                  <w:bottom w:w="15" w:type="dxa"/>
                  <w:right w:w="15" w:type="dxa"/>
                </w:tblCellMar>
                <w:tblLook w:val="05E0"/>
              </w:tblPrEx>
              <w:trPr>
                <w:trHeight w:val="913"/>
                <w:jc w:val="center"/>
              </w:trPr>
              <w:tc>
                <w:tcPr>
                  <w:tcBorders>
                    <w:top w:val="inset" w:sz="6" w:space="0" w:color="808080"/>
                    <w:bottom w:val="inset" w:sz="6" w:space="0" w:color="808080"/>
                    <w:right w:val="inset" w:sz="6" w:space="0" w:color="808080"/>
                  </w:tcBorders>
                  <w:shd w:val="clear" w:color="auto" w:fill="D9D9D9"/>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Код на културата</w:t>
                  </w:r>
                </w:p>
              </w:tc>
              <w:tc>
                <w:tcPr>
                  <w:tcBorders>
                    <w:top w:val="inset" w:sz="6" w:space="0" w:color="808080"/>
                    <w:left w:val="inset" w:sz="6" w:space="0" w:color="808080"/>
                    <w:bottom w:val="inset" w:sz="6" w:space="0" w:color="808080"/>
                    <w:right w:val="inset" w:sz="6" w:space="0" w:color="808080"/>
                  </w:tcBorders>
                  <w:shd w:val="clear" w:color="auto" w:fill="D9D9D9"/>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Група култури</w:t>
                  </w:r>
                </w:p>
              </w:tc>
              <w:tc>
                <w:tcPr>
                  <w:tcBorders>
                    <w:top w:val="inset" w:sz="6" w:space="0" w:color="808080"/>
                    <w:left w:val="inset" w:sz="6" w:space="0" w:color="808080"/>
                    <w:bottom w:val="inset" w:sz="6" w:space="0" w:color="808080"/>
                  </w:tcBorders>
                  <w:shd w:val="clear" w:color="auto" w:fill="D9D9D9"/>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Група култура по подмярка </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224010-ягоди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Ягодоплодни видове-ОВОЩНИ ВИДОВЕ</w:t>
                  </w:r>
                </w:p>
              </w:tc>
              <w:tc>
                <w:tcPr>
                  <w:vMerge w:val="restar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Плодове</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224020-малини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Ягодоплодни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221010-ябълки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Семкови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221020-круши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Семкови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222030-кайсии/зарзали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222040-череши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222050-вишни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222020-праскови/нектарини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222010-сливи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212000-Десертни лозя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Десертни-ЛОЗЯ</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150000-КАРТОФИ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Картофи</w:t>
                  </w:r>
                </w:p>
              </w:tc>
              <w:tc>
                <w:tcPr>
                  <w:vMerge w:val="restar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Зеленчуци на открито</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144010-лук</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Луковични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144020-чесън</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Луковични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143010-моркови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Кореноплодни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142010-главесто зеле</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Листностъблени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141070-дини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141080-пъпеши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141013-домати на открито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141043-краставици на открито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141045-корнишони на открито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141030-патладжан</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141023-пипер на открито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181010-домати - оранжерийно производство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култури-ОРАНЖЕРИЙНИ ПЛОЩИ</w:t>
                  </w:r>
                </w:p>
              </w:tc>
              <w:tc>
                <w:tcPr>
                  <w:vMerge w:val="restar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Оранжерийни зеленчуци</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181040-краставици - оранжерийно производство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култури-ОРАНЖЕРИЙНИ ПЛОЩИ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181030-пипер - оранжерийно производство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култури-ОРАНЖЕРИЙНИ ПЛОЩИ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231010-маслодайна роза</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Медицински и Ароматни култури-МНОГОГОДИШНИ МЕДИЦИНСКИ И АРОМАТНИ КУЛТУРИ</w:t>
                  </w:r>
                </w:p>
              </w:tc>
              <w:tc>
                <w:tcPr>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Маслодайна роза</w:t>
                  </w: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211000-Винени лозя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Винени-ЛОЗЯ</w:t>
                  </w:r>
                </w:p>
              </w:tc>
              <w:tc>
                <w:tcPr>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Винени лозя</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161000-Цветя,отглеждани за рязан цвят</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Цветя,отглеждани за рязан цвят-ЦВЕТЯ И ДЕКОРАТИВНИ РАСТЕНИЯ</w:t>
                  </w:r>
                </w:p>
              </w:tc>
              <w:tc>
                <w:tcPr>
                  <w:vMerge w:val="restart"/>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Декоративни растения</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162000-Цветя,отглеждани за луковици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Цветя,отглеждани за луковици-ЦВЕТЯ И ДЕКОРАТИВНИ РАСТЕНИЯ</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163000-Саксийни култури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Саксийни култури-ЦВЕТЯ И ДЕКОРАТИВНИ РАСТЕНИЯ</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164000-Декоративни храсти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Декоративни храсти-ЦВЕТЯ И ДЕКОРАТИВНИ РАСТЕНИЯ</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165000-Други декоративни растения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Други декоративни растения-ЦВЕТЯ И ДЕКОРАТИВНИ РАСТЕНИЯ</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176000-Цветя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Цветя-ПЛОЩИ ЗА ПРОИЗВОДСТВО НА ПОСЕВЕН И ПОСАДЪЧЕН МАТЕРИАЛ</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186100-цветя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Цветя и декоративни растения-ОРАНЖЕРИЙНИ ПЛОЩИ</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186000-Цветя и декоративни растения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Цветя и декоративни растения-ОРАНЖЕРИЙНИ ПЛОЩИ</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right w:val="inset" w:sz="6" w:space="0" w:color="808080"/>
                  </w:tcBorders>
                  <w:noWrap w:val="0"/>
                  <w:tcMar>
                    <w:top w:w="22" w:type="dxa"/>
                    <w:left w:w="25" w:type="dxa"/>
                    <w:bottom w:w="25"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243000-Разсадници за декоративни растения</w:t>
                  </w:r>
                </w:p>
              </w:tc>
              <w:tc>
                <w:tcPr>
                  <w:tcBorders>
                    <w:top w:val="inset" w:sz="6" w:space="0" w:color="808080"/>
                    <w:left w:val="inset" w:sz="6" w:space="0" w:color="808080"/>
                    <w:right w:val="inset" w:sz="6" w:space="0" w:color="808080"/>
                  </w:tcBorders>
                  <w:noWrap w:val="0"/>
                  <w:tcMar>
                    <w:top w:w="22" w:type="dxa"/>
                    <w:left w:w="22" w:type="dxa"/>
                    <w:bottom w:w="25"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Разсадници за декоративни растения-РАЗСАДНИЦИ</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34" w:name="_Toc256000134"/>
      <w:r>
        <w:rPr>
          <w:b w:val="0"/>
        </w:rPr>
        <w:t>M22 — Извънредно временно подпомагане за земеделските стопани и МСП, които са особено засегнати от последиците от руското нашествие в Украйна (член 39в)</w:t>
      </w:r>
      <w:bookmarkEnd w:id="134"/>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Чл. 39в от Регламент (ЕС) № 1305/2013 на Европейския парламент и Съвета от 17 декември 2013 г. относно подпомагане на развитието на селските райони от Европейският земеделски фонд за развитие на селските райони (ЕЗФРСР) и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2022/1033 на Европейския парламент и на Съвета от 29 юни 2022 година за изменение на Регламент (ЕС) № 1305/2013 във връзка със специална мярка за предоставяне на извънредно временно подпомагане от Европейския земеделски фонд за развитие на селските райони (ЕЗФРСР) в отговор на последиците от руското нашествие в Украйна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Руското нашествие в Украйна постави селското стопанство и предприятията от хранително-вкусовата промишленост пред значими предизвикателства, свързани с безпрецедентно нарастване на цените на основни производствени ресурси - енергия, торове, фуражи, и несигурност на земеделските пазари. Кризисната ситуация допълнително влошава традиционно ниската ликвидност на земеделските стопанства и малките и средни предприятия (МСП), преработващи селскостопански продукти. Съществува вероятност някои стопански оператори да преустановят своята дейност, което може да постави под риск стабилността на веригата на доставки на храни и като цяло да застраши продоволствената сигурност на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Нарушено е нормалното функциониране на цялата верига на доставка на храни, в резултат на което може да се стигне до затваряне на предприятия и освобождаване на работници. В тази връзка, на европейско ниво се въведе извънредна мярка за подкрепа на земеделските стопани и малки и средни предприятия, особено засегнати от руското нашествие в Украйна, със средства от ЕЗФРСР (5% от участието на Фонда в ПРСР за 2021 и 2022 година). Средствата са целеви и са предназначени за преодоляване на преките и косвените последици за селското стопанство и хранително-вкусовата промишленост в резултат на руското нашествие в Украйна.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е насочена към предоставяне на финансова помощ на земеделски стопани и МСП, които преработват селскостопански продукти. Подкрепата по тази мярка има за цел да се осигури непрекъснатост на стопанска дейност на земеделски стопани и МСП и се предоставя под формата на еднократно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мярката са включени две подмерки в зависимост от вида на допустимите кандидати – земеделски стопани и МСП. Подмярката, насочена към подпомагане на МСП, ще бъде разработена и включена в обхвата на М 22 на по-късен етап.</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22.1 Извънредно временно подпомагане за земеделските стопани, засегнати от последиците от руското нашествие в Украйна  (член 39в)</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527"/>
              </w:numPr>
              <w:rPr>
                <w:b w:val="0"/>
              </w:rPr>
            </w:pPr>
            <w:r>
              <w:rPr>
                <w:b w:val="0"/>
              </w:rPr>
              <w:t>22.1 Извънредна временна подкрепа за земеделските стопани и МСП, които са особено засегнати от последиците от нахлуването на Русия в Украйна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подмярка ще се подпомагат земеделски стопани, които осъществяват стопанска дейност на територията на цялата страна, в особено засегнати от руското нашествие в Украйна сектори. Подкрепата по тази подмярка има за цел да допринесе за продоволствената сигурност, за преодоляване на пазарните дисбаланси и непрекъснатост на стопанската дейност на земеделските стопани, като се предоставя под формата на еднократно платима сума.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е насочена към предоставяне на спешна безвъзмездна финансова помощ под формата на еднократно платима сума на земеделски стопани, извършващи дейност в секторите “Растениевъдство” и “Животновъдство”.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Бенефициери по подмярката са земеделски стопани, които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да са кандидатствали за подпомагане по схемата за плащане за селскостопански практики, които са благоприятни за климата и околната среда (зелени директни плащания) и схемите за обвързано с производството подпомагане по чл. 18, т. 9-15 от Наредба № 3 от 2015 г. за условията и реда за прилагане на схемите за директни плащания (ДВ, бр.16 от 2015 г.) (Наредба № 3 от 2015 г.) през кампания 2021 и кампания 2022;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да са кандидатствали за подпомагане по схемите за обвързано с производството подпомагане по чл. 18, т. 1-8 и чл. 35, т. 4 от Наредба № 3 от 2015 г. през кампания 2021 и кампания 2022;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да са кандидатствали за подпомагане по схемата за плащане за селскостопански практики, които са благоприятни за климата и околната среда (зелени директни плащания) и да са осъществявали дейност в направление „розопроизводство“ и/или „винени лозя“ и/или да са отглеждали „слънчоглед“ през кампания 2021 и кампания 2022;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да са регистрирани по Наредба № 3 от 1999 г. за създаване и поддържане на регистър на земеделските стопани за стопанската 2021 – 2022 г. с площи с култивирани гъби;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 да са регистрирани по Наредба № 3 от 1999 г. за създаване и поддържане на регистър на земеделските стопани за стопанската 2021 – 2022 г. и да са собственици на телета за угояване мъжки от 6 месеца до 24 месеца, отглеждани в животновъден обект по чл. 137 от Закона за ветеринарномедицинската дейност и регистрирани в Интегрираната информационна система на Българска агенция по безопасност на храните – ВетИс;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6. да са регистрирани по Наредба № 3 от 1999 г. за създаване и поддържане на регистър на земеделските стопани за стопанската 2021 – 2022 г. и да са собственици на телета за угояване от 6 месеца до 24 месеца, от месодайни породи, отглеждани в животновъден обект по чл. 137 от Закона за ветеринарномедицинската дейност и регистрирани в Интегрираната информационна система на Българска агенция по безопасност на храните – ВетИс;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7. да отглеждат малини или ягоди – оранжерийно производство и да са регистрирани по Наредба № 3 от 1999 г. за създаване и поддържане на регистър на земеделските стопани за стопанската година 2022 – 2023 г.;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8. да са регистрирани по Наредба № 3 от 1999 г. за създаване и поддържане на регистър на земеделските стопани за стопанската 2021 – 2022 г. и стопанската 2022 – 2023 г. и да са собственици/ползватели на пчелни семейства.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се предоставя на земеделски стопани, осъществяващи дейност в следните производствени направления: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плодове и зеленчуци;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розопроизводство;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винени лозя;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слънчоглед;</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култивирани гъби;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телета за угояване - мъжки от 6 месеца до 24 месеца;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телета за угояване от месодайни породи от 6 месеца до 24 месеца;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отглеждане на селскостопански животни /ЕПЖ и ДПЖ/.</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отглеждане на пчелни семейства;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малини или ягоди – оранжирийно 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Един земеделски стопанин може да кандидатства за подпомагане за повече от едно от изброените направления.</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на земеделски стопани, развиващи дейност в поне един от секторите “Растениевъдство” (за културите от списъка в секция „Друга важна информация, необходима за по-доброто разбиране и прилагане на мярката“ и култивирани гъби) и “Животновъдство” (ЕПЖ и ДПЖ). Финансовата компенсация представлява еднократно платима сума и се определя по следния начин: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по-малкият размер измежду размера на установената за допустима за подпомагане площ по схемата за плащане за селскостопански практики, които са благоприятни за климата и околната среда (зелени директни плащания) и по схемите по чл. 18, т. 9-15 от Наредба № 3 от 2015 г. за кампания 2021, но не повече от по-малкия размер измежду размера на заявените площи по схемата за плащане за селскостопански практики, които са благоприятни за климата и околната среда (зелени директни плащания) и по схемите по чл. 18, т. 9-15 от Наредба № 3 от 2015 г., през кампания 2022 г. Площите по схемата за плащане за селскостопански практики, които са благоприятни за климата и околната среда (зелени директни плащания) и по схемите по чл. 18, т. 9-15 от Наредба № 3 от 2015 г. трябва да са заети със съответната земеделска култура от списъка в секция „Друга важна информация, необходима за по-доброто разбиране и прилагане на мярката“;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броят на установените допустими за подпомагане животни от съответния вид за кампания 2021 по схемите по чл. 18, т. 1-8 и чл. 35, т. 4 от Наредба № 3 от 2015, но не повече от броя на заявените по схемите по чл. 18, т. 1-8 и чл. 35, т. 4 от Наредба № 3 от 2015 г. животни от същия вид за кампания 2022 г.;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размерът на установената за допустима за подпомагане по схемата за плащане за селскостопански практики, които са благоприятни за климата и околната среда (зелени директни плащания), площ с маслодайна роза или с винени лозя или със слънчоглед през кампания 2021, но не повече от размера на заявените площи с маслодайна роза или с винени лозя или със слънчоглед през кампания 2022 по схемата за плащане за селскостопански практики, които са благоприятни за климата и околната среда (зелени директни плащания);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установените при проверка на място площи в квадратни метри, заети с култивирани гъби;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 броят на наличните в стопанството към 30.06.2022 г. телета за угояване - мъжки от 6 месеца до 24 месеца, регистрирани в Интегрираната информационна система на Българска агенция по безопасност на храните – ВетИс, отглеждани в животновъден обект по чл. 137 от Закона за ветеринарномедицинската дейност и които не са заявени по схемите за обвързано с производството подпомагане за животни; или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броят на наличните в стопанството към 30.06.2022 г. телета за угояване от 6 месеца до 24 месеца, от месодайни породи, регистрирани в Интегрираната информационна система на Българска агенция по безопасност на храните – ВетИс, отглеждани в животновъден обект по чл. 137 от Закона за ветеринарномедицинската дейност и които не са заявени по схемите за обвързано с производството подпомагане за животни;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7. при установени площи, заети с малини или ягоди – оранжерийно производство;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8. броят на наличните в стопанството пчелни семейства, отглеждани в животновъден обект по чл. 137 от Закона за ветеринарномедицинската дейност и регистрирани в Интегрираната информационна система на Българската агенция по безопасност на храните - ВетИс.</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е под формата на еднократно платима сума, която трябва да бъде изплатена до 15 октомври 2023 г. въз основа на заявленията за подпомагане, които следва да бъдат одобрени до 31 март 2023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Ако плащанията по подмярката превишат предвидения бюджет, подпомагането се намалява пропорционално чрез прилагане на коефициент за намаление.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допустим размер на финансовата помощ по подмярката не може да надвишава левовата равностойност на 15 000 евро за един кандидат, в това число подпомагането, предоставяно - към деня на започване на приема на заявления по подмярката - по други инструменти за подпомагане на национално равнище или на равнището на Съюза. На територията на България Министерство на земеделието е приложило нотифицирана схема за държавна помощ „Помощ в подкрепа на ликвидността на земеделски стопани за преодоляване на негативното икономическо въздействие на руската агресия срещу Украйна“ и извънредна финансова помощ съгласно Делегиран регламент (ЕС) 2022/467 на Комисията от 23 март 2022 г. за предоставяне на извънредна помощ за приспособяване на производителите в селскостопанския сектор (ОВ, L 96, 24.3.2022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СЕКТОР „РАСТЕНИЕВЪДСТВО“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плодове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4, 99 ха –  450 лева (230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 ха до 9, 99 ха –  2 000 лева (1 023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ха до 19, 99 ха –  4 000 лева (2 045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 ха до 29, 99 ха – 7 000 лева (3 579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30 ха до 49, 99 ха – 11 000 лева (5 624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50 ха – 25 000  лева (12 782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зеленчуци полски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4, 99 ха –  400  лева (205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 ха до 9, 99 ха –  2 300  лева (1 176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ха до 19, 99 ха –  4 500 лева (2 301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 ха до 29, 99 ха – 8 000  лева (4 090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30 ха до 49, 99 ха – 12 500 лева (6 391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50 ха – 29 000  лева (14 827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зеленчуци оранжерийно производство</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Зеленчуци - оранжерийно производство, отглеждани в отопляеми оранжерии – 29 000 лева  (14 827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Зеленчуци - оранжерийно производство, отглеждани в неотопляеми оранжерии – 1 500 лева (767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маслодайна роза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4, 99 ха – 200 лева (102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 ха до 9, 99 ха – 900 лева (460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ха до 19, 99 ха –  1 800 лева (920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 ха до 29, 99 ха –  3 200  лева (1 636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30 ха до 49, 99 ха – 4 800 лева (2 454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50 ха – 11 000 лева (5 624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винени лозя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4, 99 ха – 300 лева (153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 ха до 9, 99 ха – 1 300 лева (665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ха до 19, 99 ха – 2 500 лева (1 278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 ха до 29, 99 ха – 4 500  лева (2 301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30 ха до 49,99 ха – 7 000 лева (3 579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50 ха – 20 000 лева (10 226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слънчоглед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0,5 ха до 4,99 ха – 150 лева (77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 ха до 9,99 ха – 350 лева (179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ха до 29, 99 ха – 850 лева (435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30 ха до 99, 99 ха – 2 800 лева (1 432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от 100 до 149, 99 ха – 6 000 лева (3 068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гъби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499, 9 кв.м. – 2 000 лева (1 023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500 кв.м. до 999, 99 кв.м. – 6 600 лева (3 375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1 000 кв.м. до 1499, 99 кв.м. – 11 600 лева (5 931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1500 кв.м. до 1999, 99 кв.м. – 16 400 лева (8 385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2000 кв. м. – 29 000 лева (14 827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ягоди или малини - оранжерийно производство</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представлява еднократно плащане за един кандидат в размер на 15 000 лева (7 669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СЕКТОР „ЖИВОТНОВЪДСТВО“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овце и кози</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бр. до 49 бр. – 650 лева (332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199 бр. – 2 150 лева (1 099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200 бр. до 499 бр. – 5 150 лева (2 633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500 бр. – 17 000 лева (8 692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биволи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бр. до 49 бр. – 2 000 лева (1 023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199 бр. – 7 000 лева (3 579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200 бр. до 499 бр. – 24 000 лева (12 271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 Финансовата помощ за млечни крави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 бр. до 9 бр. – 500 лева (256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бр. до 49 бр. – 1 500 лева (767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199 бр. – 4 500 лева (2 301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200 бр. до 499 бр. – 15 000 лева (7 669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500 бр. – 29 000 лева (14 827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 Финансовата помощ за месодайни крави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 бр. до 9 бр. – 400 лева (205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бр. до 49 бр. – 1 000 лева (511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199 бр. – 3 700 лева (1 892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200 бр. до 499 бр. – 12 500 лева (6 391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500 бр. – 29 000 лева (14 827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телета за угояване – мъжки от 6 месеца до 24 месеца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 бр. до 9 бр. –  1 000 лева (511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бр. до 49 бр. – 3 000 лева (1 534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99 бр. – 10 500 лева (5 369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100 до 149 бр. – 20 000 лева (10 226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със 150 бр. и повече броя – 29 000 лева (14 827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телета за угояване от 6 месеца до 24 месеца от месодайни породи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 бр. до 9 бр. –  2 000 лева (1 023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бр. до 49 бр. – 6 300 лева (3 221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99 бр. – 20 500 лева (10 481 EUR)</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със 100 бр. и повече броя – 29 000 лева (14 827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брой пчелни семейства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до 19 бр. - 100 лв. (51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от 20 бр. до 49 бр. - 300 лв. (153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от 50 бр. до 99 бр. - 680 лв. (348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от 100 до 149 бр. - 1200 лв. (614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 от 150 до 249 бр. - 1700 лв. (869 EUR);</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 със 250 бр. и повече броя  - 3650 лв. (1 866 EUR).</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неизплащане на финансовата помощ, поради липсата на разбиране на изискванията и информираност.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достатъчна информация на земеделските стопани по отношение на площите, културите и животните, които отговарят на условията за допустимост за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Информиране на бенефициериете, в случай на необходимост от предоставяне на съответните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Кандидатстването по подмярката е опростено, чрез подаване на заявление за подпомагане в Общинските служби по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Разплащателна агенция разполага с изграден административен капацитет.</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е контролируема и проверима. Прeди извършване на плащането ще се вземат предвид и данните и резултатите от проверките на място, приключили през кампания 2021, извършени съобразно Регламент за изпълнение (ЕС) № 809/2014 на Комисията от 17 юли 2014 година за определяне на правила за прилагането на Регламент (ЕС) № 1306/2013 на Европейския парламент и на Съвета по отношение на интегрираната система за администриране и контрол, мерките за развитие на селските райони и кръстосаното съответствие.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и размера на подпомагане са подробно описани в общата секция на мярката. Разработването на методологията и извършване на изчисленията за извънредното временно подпомагане за земеделските стопани е извършено съвместно между дирекция „Развитие на селските райони“, Министерство на земеделието, като Управляващ орган по ПРСР 2014 – 2020 г., и проф. Светлана Александрова, Университет за национално и световно стопанство, в качеството си на външен експерт, който осигурява методическа подкрепа и верифицира изчисленията.</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5"/>
        <w:jc w:val="left"/>
        <w:rPr>
          <w:b w:val="0"/>
        </w:rPr>
      </w:pPr>
      <w:r>
        <w:rPr>
          <w:b w:val="0"/>
        </w:rPr>
        <w:br w:type="page"/>
      </w:r>
      <w:r>
        <w:rPr>
          <w:b w:val="0"/>
        </w:rPr>
        <w:t>Подмярка 22.2 Извънредно временно подпомагане за МСП, засегнати от последиците от руското нашествие в Украйна  (член 39b)</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Значителните затруднения в резултат на руското нашествие в Украйна, по отношение на търговията със суровини и продукция, както и поскъпването на суровините и енергоносителите, доведоха до икономически сътресения в селскостопанския сектор и до проблеми с ликвидността и паричните потоци за малките и средни предприятия, занимаващи се с преработка, предлагане на пазара или развитие на селскостопански продукти. Предвид извънредната  ситуация и последиците от нея чрез подмярката се предоставя възможност за целева подкрепа на засегнатите оператори. Подкрепата е насочена към предоставяне на финансова помощ на МСП, извършващи дейност по преработка на селскостопански продукти в избрани производствени сектори, които традиционно се подкрепят по ПРСР, както и групи/организации на производители, които предлагат на пазара селскостопански продукти. По този начин ще се осигури достъп до финансиране на над 120 МСП и групи и организации на производители. Финансирането по подмярката е в съответствие с изискванията на Регламент (ЕС) №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ще бъде насочено към микро, малки и средни предприятия под формата на еднократна помощ за справяне с предизвикателствата, пред които е поставена преработвателната промишленост в резултат на руското нашествие в Украйна.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осигури ликвидни средства, предвид затрудненията в доставките на необходимите средства за преработката/маркетинга на селскостопански продукти, както и поради недостига и непрекъснато покачващите се цени на енергоносителите.</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се предоставя на територията на цялата страна под формата на еднократно платима сума за микро, малки и средни предприятия, преработватели на селскостопански продукти, включително и групи/организации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е насочено към дейности, свързани с преработка и/или маркетинг на продукти в обхвата на Приложение I към Договора за функциониране на Европейския съюз или на памук, с изключение на рибни продукти. Резултатът от преработката може да бъде продукт, който не е включен в Приложение I към Договора.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Бенефициери по подмярката са микро, малки и средни предприятия, отговарящи на дефиницията, посочена в чл. 2, точка 28 от Регламент (ЕС) № 1303/2013 на Европейския парламент и на Съвета от 17 декември 2013 година – преработващи селскостопански продукти, включени в Приложение I към ДФЕС, както и групи/организации на производители признати от министъра на земеделието.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Кандидатите трябва да са ангажирани в поне една от изброените дейности:</w:t>
            </w:r>
          </w:p>
          <w:p>
            <w:pPr>
              <w:numPr>
                <w:ilvl w:val="0"/>
                <w:numId w:val="52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кръгова икономика;</w:t>
            </w:r>
          </w:p>
          <w:p>
            <w:pPr>
              <w:numPr>
                <w:ilvl w:val="0"/>
                <w:numId w:val="5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управление на хранителните вещества;</w:t>
            </w:r>
          </w:p>
          <w:p>
            <w:pPr>
              <w:numPr>
                <w:ilvl w:val="0"/>
                <w:numId w:val="5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ефективно използване на ресурсите;</w:t>
            </w:r>
          </w:p>
          <w:p>
            <w:pPr>
              <w:numPr>
                <w:ilvl w:val="0"/>
                <w:numId w:val="52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екологични и щадящи климата методи за производство.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Кандидатите трябва да са: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2.1. регистрирани по Търговския закон или Закона за кооперациите,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2.2. регистрирани по Закона за данък върху добавената стойност 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2.3. извършвали дейност през 2021 и 2022 г.</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3. За кандидати предприятия, преработващи селскостопански продукти, условието по т. 1 се счита за изпълнено, когато притежават поне един от следните документи:</w:t>
            </w:r>
          </w:p>
          <w:p>
            <w:pPr>
              <w:numPr>
                <w:ilvl w:val="0"/>
                <w:numId w:val="52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договор, сключен през 2022 г. с лице, което притежава разрешение или разрешително за третиране на отпадъци по чл. 35, ал. 1 от Закона за управление на отпадъците;</w:t>
            </w:r>
          </w:p>
          <w:p>
            <w:pPr>
              <w:numPr>
                <w:ilvl w:val="0"/>
                <w:numId w:val="5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сертификат за биологично производство;</w:t>
            </w:r>
          </w:p>
          <w:p>
            <w:pPr>
              <w:numPr>
                <w:ilvl w:val="0"/>
                <w:numId w:val="5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документ за въвеждане в експлоатация/ползване на пречиствателни станции;</w:t>
            </w:r>
          </w:p>
          <w:p>
            <w:pPr>
              <w:numPr>
                <w:ilvl w:val="0"/>
                <w:numId w:val="5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документ за въвеждане в експлоатация/ползване на инсталации за производство на енергия от ВЕИ;</w:t>
            </w:r>
          </w:p>
          <w:p>
            <w:pPr>
              <w:numPr>
                <w:ilvl w:val="0"/>
                <w:numId w:val="5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международен стандарт за управление на енергия ISO5001:2018;</w:t>
            </w:r>
          </w:p>
          <w:p>
            <w:pPr>
              <w:numPr>
                <w:ilvl w:val="0"/>
                <w:numId w:val="5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международен стандарт за управление на околната среда ISO 14001;</w:t>
            </w:r>
          </w:p>
          <w:p>
            <w:pPr>
              <w:numPr>
                <w:ilvl w:val="0"/>
                <w:numId w:val="5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въведени системи за управление по отношение на околната среда;</w:t>
            </w:r>
          </w:p>
          <w:p>
            <w:pPr>
              <w:numPr>
                <w:ilvl w:val="0"/>
                <w:numId w:val="5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документ за налични рециклиращи или компостиращи машини или съоръжения;</w:t>
            </w:r>
          </w:p>
          <w:p>
            <w:pPr>
              <w:numPr>
                <w:ilvl w:val="0"/>
                <w:numId w:val="52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документи, доказващи съответствие с дейностите по т. 1.</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За кандидати групи/организации на производители условието по т. 1 се счита за изпълнено, когато: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4.1. над 51% от членовете на групата/организацията са: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получили подпомагане по схемата за плащане за селскостопански практики, които са благоприятни за климата и околната среда (зелени директни плащания) за кампания 2022 г.,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отглеждат животни в животновъден обект, регистриран по чл. 137 от Закона за ветеринарномедицинската дейност и са регистрирани в Интегрираната информационна система на Българска агенция по безопасност на храните – ВетИс,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4.2. групата/организацията на производители притежава някой от документите по т. 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 Всички членове на групата/организацията на производители трябва да са регистрирани по реда на Наредба № 3 от 1999 г. за създаване и поддържане на регистър на земеделските стопани.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6. За кандидати групи/организации на производители или кандидати, извършващи обработка/преработка на храни по чл. 1, т. 2 от Наредба № 26 от 14.10.2010 г. за специфичните изисквания за директни доставки на малки количества суровини и храни от животински произход (Наредба № 26 от 2010 г.), условието по т. 2.2 не е задължително.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Подпомагането се предоставя под формата на еднократно платима сума.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1. За кандидати, преработващи селскостопански продукти кода на основната икономическа дейност за 2021 г. и 2022 г., съгласно КИД 2008 трябва да съответства на кодовете на </w:t>
            </w:r>
            <w:r>
              <w:rPr>
                <w:rFonts w:ascii="Times New Roman" w:eastAsia="Times New Roman" w:hAnsi="Times New Roman" w:cs="Times New Roman"/>
                <w:b/>
                <w:bCs/>
                <w:szCs w:val="24"/>
                <w:u w:val="single"/>
              </w:rPr>
              <w:t>класовете</w:t>
            </w:r>
            <w:r>
              <w:rPr>
                <w:rFonts w:ascii="Times New Roman" w:eastAsia="Times New Roman" w:hAnsi="Times New Roman" w:cs="Times New Roman"/>
                <w:szCs w:val="24"/>
              </w:rPr>
              <w:t>, посочени в секция „Друга важна информация, необходима за по-доброто разбиране и прилагане на мярката“. Кандидатите, извършващи обработка/преработка на храни по чл. 1, т. 2 от Наредба № 26 от 2010 г. трябва да имат код на икономическа дейност  за 2021 г. и 2022 г. в класовете, посочени в секция „Друга важна информация, необходима за по-доброто разбиране и прилагане на 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Кандидатите групи на производители трябва да са признати в следните сектори: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2.1. зърнено-житни култури;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2.2. медицински и етерично-маслени култури;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2.3. картофи;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2.4. мляко;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2.5. мед;</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2.6. плодове;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2.7. зеленчуци.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Кандидатите организации на производители трябва да са признати в следните сектори: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3.1. зърнено-житни култури и маслодайни култури;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3.2. медицински и етерично-маслени култури;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3.3. картофи;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3.4. мляко и млечни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3.5. мед и пчелни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3.6. плодове и зеленчуци.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За кандидати, преработващи селскостопански продукти, размерът на финансовата помощ се определя въз основа на отрицателната разлика между приходите от оперативна дейност и разходите за оперативна дейност за 2022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За кандидати групи или организации на производители размерът на финансовата помощ се определя въз основа на отрицателната разлика между нетните приходи от продажби и разходите за оперативна дейност за 2022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Максималният допустим размер на финансовата помощ за един кандидат не може да надвишава 100 000 лева.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Финансовата помощ за предприятия, извършващи дейности по преработка на продукти от приложение № І от ДФЕС в продукти извън приложение № І от ДФЕС или памук се предоставя в съответствие с изискванията на Регламент (ЕС) № 1407/2013 на Комисията от 18 декември 2013 година (код 10.52 Производство на сладолед и код 20.53 Производство на етерични масла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 В случай, че допустимият размер на финансовата помощ по подадените заявления за подпомагане надхвърля разполагаемия бюджет за периода на прием, финансовата помощ по заявленията се намалява пропорционално в рамките на разполагаемия бюджет.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6. В съответствие с условието на чл. 39в,  т. 6 от Регламент 1305/2013, при предоставяне на подпомагането по подмярка 22.2 ще се взема предвид подпомагането на кандидата, предоставено по други инструменти за подпомагане на национално равнище или на равнището на Съюза, или по частни схеми в отговор на последиците от руското нашествие в Украйна, като общият размер не може да превишава 100 000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неизплащане на финансовата помощ, поради липсата на разбиране на изискванията и информираност.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При използване на механизма за оценка на допустимите дейности, където е приложимо ще се извършва насрещна проверка на предоставените от кандидатите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Информиране на кандидатите, в случай на необходимост от предоставяне на съответните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Кандидатстването по подмярката е опростено, чрез подаване на заявление за подпомагане в териториална служба на МЗм/ДФЗ.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Разплащателна агенция разполага с изграден административен капацитет.</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е контролируема и проверима. Прeди извършване на плащането ще се вземат предвид и данните и резултатите от проверките на място, приключили през кампания 2022, извършени съобразно Регламент за изпълнение (ЕС) № 809/2014 на Комисията от 17 юли 2014 година за определяне на правила за прилагането на Регламент (ЕС) № 1306/2013 на Европейския парламент и на Съвета по отношение на интегрираната система за администриране и контрол, мерките за развитие на селските райони и кръстосаното съответствие.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М 22.2 - за определяне на максималния размер на подпомагането за едно преработвателно предприятие, както и на най-засегнатите сектори от руското нашествие в Украйна са използвани следните официални данни от Националния статистически институт: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Данни за приходи от оперативна дейност и разходи за оперативна дейност за 2021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Индекси на цени на производител в промишлеността за трето тримесечие на 2022 г. спрямо 2021 г. по икономически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Индекси на цени на селскостопанска продукция за трето тримесечие на 2022 г. спрямо 2021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Индекси на цени на производител при производство и разпределение на електрическа и топлоенергия и газ за трето тримесечие на 2022 г. спрямо 2021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Средна брутна месечна работна заплата в преработващата промишленост за 2021 г. и 2022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Приходите  от оперативна дейност на предприятията за 2022 г. са изчислени въз основа  данните на НСИ за приходите за 2021 г. и индексите на цени на производител в промишлеността по икономически дейности за трето тримесечие на 2022 г. спрямо 2021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Разходите за оперативна дейност за 2022 г. са изчислени въз основа на данните на НСИ за разходите за 2021 г. и  индекса на разходите за оперативна дейност за трето тримесечие на 2022 г. спрямо 2021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Индексът на разходите за оперативна дейност за трето тримесечие на 2022 г. спрямо 2021 г. е определен като данните на НСИ за 2021 г. по разходни елементи (суровини и материали, електрическа енергия и газ, персонал) са индексирани с индексите на цените на селскостопанска продукция за трето тримесечие на 2022 г. спрямо 2021 г., индексите на цените на производител при производство и разпределение на електрическа енергия, топлоенергия и газ за трето тримесечие на 2022 г. спрямо 2021 г. и индекс на средната брутна месечна работна заплата в преработващата промишленост за 2022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4. Индексът на средната брутна месечна работна заплата в преработващата промишленост за 2022 г. е определен като отношение на средната брутна работна заплата за 2022 г. (деветмесечие) и средната брутна работна заплата за 2021 г. (деветмесечие).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За определяне  на максималния размер на подпомагането за групите/организациите за производители са използвани данни от проведено анкетно проучване за финансовите им показатели за 2021 г. и 2022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нуждите на изчисленията са взети предвид нетните приходи от продажби и разходите за оперативна дейност на ОП и ГП.</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Средният приход/разход на една ОП/ГР за отделен сектор представлява среднопретеглена стойност на приходите/разходите на всички ОП или ГП в съответния сектор. Така получените стойности са база за осредняване на приходите и разходите на една група/организация на производители общо от всички сектори.</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неизплащане на финансовата помощ, поради липсата на разбиране на изискванията и информираност.</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достатъчна информация на земеделските стопани по отношение на площите, културите и животните, които отговарят на условията за допустимост за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Информиране на бенефициерите, в случай на необходимост от предоставяне на съответните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Кандидатстването по подмярката е опростено, чрез подаване на заявление за подпомагане в Общинските служби по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Разплащателна агенция разполага с изграден административен капацитет.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достатъчна информация на МСП по отношение на условията за допустимост за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Информиране на кандидатите, в случай на необходимост от предоставяне на съответните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Кандидатстването по подмярката е опростено, чрез подаване на заявление за подпомагане в териториална служба на МЗм/ДФЗ.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е контролируема и проверима. Прeди извършване на плащането ще се вземат предвид и данните и резултатите от проверките на място, приключили през кампания 2021, извършени съобразно Регламент за изпълнение (ЕС) № 809/2014 на Комисията от 17 юли 2014 година за определяне на правила за прилагането на Регламент (ЕС) № 1306/2013 на Европейския парламент и на Съвета по отношение на интегрираната система за администриране и контрол, мерките за развитие на селските райони и кръстосаното съответствие.</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М22.1 е представена в отделно приложение.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М 22.2 е описана в т. 8.2.17.3.2.10.</w:t>
            </w:r>
          </w:p>
          <w:p>
            <w:pPr>
              <w:pStyle w:val="BodyText"/>
              <w:jc w:val="both"/>
              <w:rPr>
                <w:b w:val="0"/>
              </w:rPr>
            </w:pPr>
          </w:p>
        </w:tc>
      </w:tr>
    </w:tbl>
    <w:p>
      <w:pPr>
        <w:pStyle w:val="Heading4"/>
        <w:jc w:val="left"/>
        <w:rPr>
          <w:b w:val="0"/>
        </w:rPr>
      </w:pPr>
      <w:r>
        <w:rPr>
          <w:b w:val="0"/>
        </w:rPr>
        <w:t>Специфична информация за мярката</w:t>
      </w:r>
    </w:p>
    <w:p>
      <w:pPr>
        <w:pStyle w:val="Heading4"/>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tbl>
            <w:tblPr>
              <w:tblStyle w:val="Table"/>
              <w:jc w:val="center"/>
              <w:tblBorders>
                <w:top w:val="outset" w:sz="8" w:space="0" w:color="808080"/>
                <w:left w:val="outset" w:sz="8" w:space="0" w:color="808080"/>
                <w:bottom w:val="outset" w:sz="8" w:space="0" w:color="808080"/>
                <w:right w:val="outset" w:sz="8" w:space="0" w:color="808080"/>
              </w:tblBorders>
              <w:tblCellMar>
                <w:top w:w="15" w:type="dxa"/>
                <w:left w:w="15" w:type="dxa"/>
                <w:bottom w:w="15" w:type="dxa"/>
                <w:right w:w="15" w:type="dxa"/>
              </w:tblCellMar>
              <w:tblLook w:val="05E0"/>
            </w:tblPr>
            <w:tblGrid>
              <w:gridCol w:w="2855"/>
              <w:gridCol w:w="5783"/>
              <w:gridCol w:w="1782"/>
            </w:tblGrid>
            <w:tr>
              <w:tblPrEx>
                <w:jc w:val="center"/>
                <w:tblBorders>
                  <w:top w:val="outset" w:sz="8" w:space="0" w:color="808080"/>
                  <w:left w:val="outset" w:sz="8" w:space="0" w:color="808080"/>
                  <w:bottom w:val="outset" w:sz="8" w:space="0" w:color="808080"/>
                  <w:right w:val="outset" w:sz="8" w:space="0" w:color="808080"/>
                </w:tblBorders>
                <w:tblCellMar>
                  <w:top w:w="15" w:type="dxa"/>
                  <w:left w:w="15" w:type="dxa"/>
                  <w:bottom w:w="15" w:type="dxa"/>
                  <w:right w:w="15" w:type="dxa"/>
                </w:tblCellMar>
                <w:tblLook w:val="05E0"/>
              </w:tblPrEx>
              <w:trPr>
                <w:trHeight w:val="299"/>
                <w:jc w:val="center"/>
              </w:trPr>
              <w:tc>
                <w:tcPr>
                  <w:gridSpan w:val="3"/>
                  <w:noWrap w:val="0"/>
                  <w:tcMar>
                    <w:top w:w="25" w:type="dxa"/>
                    <w:left w:w="25" w:type="dxa"/>
                    <w:bottom w:w="20"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Подпомагани култури по Подмярка 2</w:t>
                  </w:r>
                  <w:r>
                    <w:rPr>
                      <w:rFonts w:ascii="Times New Roman" w:eastAsia="Times New Roman" w:hAnsi="Times New Roman" w:cs="Times New Roman"/>
                      <w:b/>
                      <w:bCs/>
                      <w:i w:val="0"/>
                      <w:iCs w:val="0"/>
                      <w:smallCaps w:val="0"/>
                      <w:color w:val="000000"/>
                      <w:szCs w:val="24"/>
                    </w:rPr>
                    <w:t>2.1.</w:t>
                  </w:r>
                  <w:r>
                    <w:rPr>
                      <w:rFonts w:ascii="Times New Roman" w:eastAsia="Times New Roman" w:hAnsi="Times New Roman" w:cs="Times New Roman"/>
                      <w:b/>
                      <w:bCs/>
                      <w:i w:val="0"/>
                      <w:iCs w:val="0"/>
                      <w:smallCaps w:val="0"/>
                      <w:color w:val="000000"/>
                      <w:szCs w:val="24"/>
                    </w:rPr>
                    <w:t xml:space="preserve"> </w:t>
                  </w:r>
                </w:p>
              </w:tc>
            </w:tr>
            <w:tr>
              <w:tblPrEx>
                <w:jc w:val="center"/>
                <w:tblCellMar>
                  <w:top w:w="15" w:type="dxa"/>
                  <w:left w:w="15" w:type="dxa"/>
                  <w:bottom w:w="15" w:type="dxa"/>
                  <w:right w:w="15" w:type="dxa"/>
                </w:tblCellMar>
                <w:tblLook w:val="05E0"/>
              </w:tblPrEx>
              <w:trPr>
                <w:trHeight w:val="913"/>
                <w:jc w:val="center"/>
              </w:trPr>
              <w:tc>
                <w:tcPr>
                  <w:shd w:val="clear" w:color="auto" w:fill="D9D9D9"/>
                  <w:noWrap w:val="0"/>
                  <w:tcMar>
                    <w:top w:w="20" w:type="dxa"/>
                    <w:left w:w="25"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Код на културата</w:t>
                  </w:r>
                </w:p>
              </w:tc>
              <w:tc>
                <w:tcPr>
                  <w:shd w:val="clear" w:color="auto" w:fill="D9D9D9"/>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Група култури</w:t>
                  </w:r>
                </w:p>
              </w:tc>
              <w:tc>
                <w:tcPr>
                  <w:shd w:val="clear" w:color="auto" w:fill="D9D9D9"/>
                  <w:noWrap w:val="0"/>
                  <w:tcMar>
                    <w:top w:w="20" w:type="dxa"/>
                    <w:left w:w="20" w:type="dxa"/>
                    <w:bottom w:w="20"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Група култура по подмярка </w:t>
                  </w: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224010-ягоди</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Ягодоплодни видове-ОВОЩНИ ВИДОВЕ</w:t>
                  </w:r>
                </w:p>
              </w:tc>
              <w:tc>
                <w:tcPr>
                  <w:vMerge w:val="restart"/>
                  <w:noWrap w:val="0"/>
                  <w:tcMar>
                    <w:top w:w="20" w:type="dxa"/>
                    <w:left w:w="20" w:type="dxa"/>
                    <w:bottom w:w="20"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Плодове</w:t>
                  </w: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224020-малини</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Ягодоплодни видове-ОВОЩНИ ВИДОВЕ</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221010-ябълки</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Семкови овощни видове-ОВОЩНИ ВИДОВЕ</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221020-круши</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Семкови овощни видове-ОВОЩНИ ВИДОВЕ</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222030-кайсии/зарзали</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222040-череши</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222050-вишни</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222020-праскови/нектарини</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222010-сливи</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212000-Десертни лозя</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Десертни-ЛОЗЯ</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150000-КАРТОФИ</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Картофи</w:t>
                  </w:r>
                </w:p>
              </w:tc>
              <w:tc>
                <w:tcPr>
                  <w:vMerge w:val="restart"/>
                  <w:noWrap w:val="0"/>
                  <w:tcMar>
                    <w:top w:w="20" w:type="dxa"/>
                    <w:left w:w="20" w:type="dxa"/>
                    <w:bottom w:w="20"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Зеленчуци на открито</w:t>
                  </w: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144010-лук</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Луковични зеленчукови култури-ПРЕСНИ ЗЕЛЕНЧУЦИ</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144020-чесън</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Луковични зеленчукови култури-ПРЕСНИ ЗЕЛЕНЧУЦИ</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143010-моркови</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Кореноплодни зеленчукови култури-ПРЕСНИ ЗЕЛЕНЧУЦИ</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142010-главесто зеле</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Листностъблени зеленчукови култури-ПРЕСНИ ЗЕЛЕНЧУЦИ</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141070-дини</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141080-пъпеши</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141013-домати на открито</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141043-краставици на открито</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141045-корнишони на открито</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141030-патладжан</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141023-пипер на открито</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181010-домати – оранжерийно производство</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култури-ОРАНЖЕРИЙНИ ПЛОЩИ</w:t>
                  </w:r>
                </w:p>
              </w:tc>
              <w:tc>
                <w:tcPr>
                  <w:vMerge w:val="restart"/>
                  <w:noWrap w:val="0"/>
                  <w:tcMar>
                    <w:top w:w="20" w:type="dxa"/>
                    <w:left w:w="20" w:type="dxa"/>
                    <w:bottom w:w="20"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Оранжерийни зеленчуци</w:t>
                  </w: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181040-краставици – оранжерийно производство</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култури-ОРАНЖЕРИЙНИ ПЛОЩИ</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181030-пипер – оранжерийно производство</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култури-ОРАНЖЕРИЙНИ ПЛОЩИ</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231010-маслодайна роза</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Медицински и Ароматни култури-МНОГОГОДИШНИ МЕДИЦИНСКИ И АРОМАТНИ КУЛТУРИ</w:t>
                  </w:r>
                </w:p>
              </w:tc>
              <w:tc>
                <w:tcPr>
                  <w:noWrap w:val="0"/>
                  <w:tcMar>
                    <w:top w:w="20" w:type="dxa"/>
                    <w:left w:w="20" w:type="dxa"/>
                    <w:bottom w:w="20"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Маслодайна роза</w:t>
                  </w:r>
                </w:p>
              </w:tc>
            </w:tr>
            <w:tr>
              <w:tblPrEx>
                <w:jc w:val="center"/>
                <w:tblCellMar>
                  <w:top w:w="15" w:type="dxa"/>
                  <w:left w:w="15" w:type="dxa"/>
                  <w:bottom w:w="15" w:type="dxa"/>
                  <w:right w:w="15" w:type="dxa"/>
                </w:tblCellMar>
                <w:tblLook w:val="05E0"/>
              </w:tblPrEx>
              <w:trPr>
                <w:trHeight w:val="314"/>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211000-Винени лозя</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Винени-ЛОЗЯ</w:t>
                  </w:r>
                </w:p>
              </w:tc>
              <w:tc>
                <w:tcPr>
                  <w:noWrap w:val="0"/>
                  <w:tcMar>
                    <w:top w:w="20" w:type="dxa"/>
                    <w:left w:w="20" w:type="dxa"/>
                    <w:bottom w:w="20"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Винени лозя</w:t>
                  </w:r>
                </w:p>
              </w:tc>
            </w:tr>
            <w:tr>
              <w:tblPrEx>
                <w:jc w:val="center"/>
                <w:tblCellMar>
                  <w:top w:w="15" w:type="dxa"/>
                  <w:left w:w="15" w:type="dxa"/>
                  <w:bottom w:w="15" w:type="dxa"/>
                  <w:right w:w="15" w:type="dxa"/>
                </w:tblCellMar>
                <w:tblLook w:val="05E0"/>
              </w:tblPrEx>
              <w:trPr>
                <w:trHeight w:val="314"/>
                <w:jc w:val="center"/>
              </w:trPr>
              <w:tc>
                <w:tcPr>
                  <w:noWrap w:val="0"/>
                  <w:tcMar>
                    <w:top w:w="20" w:type="dxa"/>
                    <w:left w:w="25" w:type="dxa"/>
                    <w:bottom w:w="25"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122010-слънчоглед</w:t>
                  </w:r>
                </w:p>
              </w:tc>
              <w:tc>
                <w:tcPr>
                  <w:noWrap w:val="0"/>
                  <w:tcMar>
                    <w:top w:w="20" w:type="dxa"/>
                    <w:left w:w="20" w:type="dxa"/>
                    <w:bottom w:w="25"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Маслодайни култури-ТЕХНИЧЕСКИ КУЛТУРИ</w:t>
                  </w:r>
                </w:p>
              </w:tc>
              <w:tc>
                <w:tcPr>
                  <w:noWrap w:val="0"/>
                  <w:tcMar>
                    <w:top w:w="20" w:type="dxa"/>
                    <w:left w:w="20"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Слънчоглед</w:t>
                  </w:r>
                </w:p>
              </w:tc>
            </w:tr>
          </w:tbl>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Производствени класове по КИД 2008 допустими за подпомагани по подмярка 22.2 :</w:t>
            </w:r>
          </w:p>
          <w:tbl>
            <w:tblPr>
              <w:tblStyle w:val="Table"/>
              <w:tblW w:w="9122" w:type="dxa"/>
              <w:tblCellMar>
                <w:top w:w="15" w:type="dxa"/>
                <w:left w:w="15" w:type="dxa"/>
                <w:bottom w:w="15" w:type="dxa"/>
                <w:right w:w="15" w:type="dxa"/>
              </w:tblCellMar>
              <w:tblLook w:val="05E0"/>
            </w:tblPr>
            <w:tblGrid>
              <w:gridCol w:w="2652"/>
              <w:gridCol w:w="2650"/>
              <w:gridCol w:w="3820"/>
            </w:tblGrid>
            <w:tr>
              <w:tblPrEx>
                <w:tblW w:w="9122" w:type="dxa"/>
                <w:tblCellMar>
                  <w:top w:w="15" w:type="dxa"/>
                  <w:left w:w="15" w:type="dxa"/>
                  <w:bottom w:w="15" w:type="dxa"/>
                  <w:right w:w="15" w:type="dxa"/>
                </w:tblCellMar>
                <w:tblLook w:val="05E0"/>
              </w:tblPrEx>
              <w:trPr>
                <w:trHeight w:val="327"/>
              </w:trPr>
              <w:tc>
                <w:tcPr>
                  <w:tcW w:w="9162" w:type="dxa"/>
                  <w:gridSpan w:val="3"/>
                  <w:shd w:val="clear" w:color="auto" w:fill="D8E4BC"/>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Класификация на икономическите дейности (КИД - 2008)</w:t>
                  </w:r>
                </w:p>
              </w:tc>
            </w:tr>
            <w:tr>
              <w:tblPrEx>
                <w:tblW w:w="9122" w:type="dxa"/>
                <w:tblCellMar>
                  <w:top w:w="15" w:type="dxa"/>
                  <w:left w:w="15" w:type="dxa"/>
                  <w:bottom w:w="15" w:type="dxa"/>
                  <w:right w:w="15" w:type="dxa"/>
                </w:tblCellMar>
                <w:tblLook w:val="05E0"/>
              </w:tblPrEx>
              <w:trPr>
                <w:trHeight w:val="327"/>
              </w:trPr>
              <w:tc>
                <w:tcPr>
                  <w:tcW w:w="9162" w:type="dxa"/>
                  <w:gridSpan w:val="3"/>
                  <w:shd w:val="clear" w:color="auto" w:fill="C5D9F1"/>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СЕКТОР С ПРЕРАБОТВАЩА ПРОМИШЛЕНОСТ</w:t>
                  </w:r>
                </w:p>
              </w:tc>
            </w:tr>
            <w:tr>
              <w:tblPrEx>
                <w:tblW w:w="9122" w:type="dxa"/>
                <w:tblCellMar>
                  <w:top w:w="15" w:type="dxa"/>
                  <w:left w:w="15" w:type="dxa"/>
                  <w:bottom w:w="15" w:type="dxa"/>
                  <w:right w:w="15" w:type="dxa"/>
                </w:tblCellMar>
                <w:tblLook w:val="05E0"/>
              </w:tblPrEx>
              <w:trPr>
                <w:trHeight w:val="327"/>
              </w:trPr>
              <w:tc>
                <w:tcPr>
                  <w:tcW w:w="2673" w:type="dxa"/>
                  <w:shd w:val="clear" w:color="auto" w:fill="D9D9D9"/>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Раздел</w:t>
                  </w:r>
                </w:p>
              </w:tc>
              <w:tc>
                <w:tcPr>
                  <w:tcW w:w="2673" w:type="dxa"/>
                  <w:shd w:val="clear" w:color="auto" w:fill="D9D9D9"/>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Група</w:t>
                  </w:r>
                </w:p>
              </w:tc>
              <w:tc>
                <w:tcPr>
                  <w:tcW w:w="3895" w:type="dxa"/>
                  <w:shd w:val="clear" w:color="auto" w:fill="D9D9D9"/>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Клас по КИД 2008</w:t>
                  </w:r>
                </w:p>
              </w:tc>
            </w:tr>
            <w:tr>
              <w:tblPrEx>
                <w:tblW w:w="9122" w:type="dxa"/>
                <w:tblCellMar>
                  <w:top w:w="15" w:type="dxa"/>
                  <w:left w:w="15" w:type="dxa"/>
                  <w:bottom w:w="15" w:type="dxa"/>
                  <w:right w:w="15" w:type="dxa"/>
                </w:tblCellMar>
                <w:tblLook w:val="05E0"/>
              </w:tblPrEx>
              <w:trPr>
                <w:trHeight w:val="610"/>
              </w:trPr>
              <w:tc>
                <w:tcPr>
                  <w:tcW w:w="2673" w:type="dxa"/>
                  <w:vMerge w:val="restart"/>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10</w:t>
                  </w:r>
                  <w:r>
                    <w:rPr>
                      <w:rFonts w:ascii="Times New Roman" w:eastAsia="Times New Roman" w:hAnsi="Times New Roman" w:cs="Times New Roman"/>
                      <w:b w:val="0"/>
                      <w:bCs w:val="0"/>
                      <w:i w:val="0"/>
                      <w:iCs w:val="0"/>
                      <w:smallCaps w:val="0"/>
                      <w:color w:val="000000"/>
                      <w:szCs w:val="24"/>
                    </w:rPr>
                    <w:t xml:space="preserve"> </w:t>
                  </w:r>
                  <w:r>
                    <w:rPr>
                      <w:rFonts w:ascii="Times New Roman" w:eastAsia="Times New Roman" w:hAnsi="Times New Roman" w:cs="Times New Roman"/>
                      <w:b/>
                      <w:bCs/>
                      <w:i/>
                      <w:iCs/>
                      <w:smallCaps w:val="0"/>
                      <w:color w:val="000000"/>
                      <w:szCs w:val="24"/>
                    </w:rPr>
                    <w:t>Производство на хранителни продукти</w:t>
                  </w:r>
                </w:p>
              </w:tc>
              <w:tc>
                <w:tcPr>
                  <w:tcW w:w="2673" w:type="dxa"/>
                  <w:vMerge w:val="restart"/>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10.1</w:t>
                  </w:r>
                  <w:r>
                    <w:rPr>
                      <w:rFonts w:ascii="Times New Roman" w:eastAsia="Times New Roman" w:hAnsi="Times New Roman" w:cs="Times New Roman"/>
                      <w:b w:val="0"/>
                      <w:bCs w:val="0"/>
                      <w:i/>
                      <w:iCs/>
                      <w:smallCaps w:val="0"/>
                      <w:color w:val="000000"/>
                      <w:szCs w:val="24"/>
                    </w:rPr>
                    <w:t xml:space="preserve"> Производство и преработка на месо; производство на месни продукти, без готови ястия</w:t>
                  </w:r>
                </w:p>
              </w:tc>
              <w:tc>
                <w:tcPr>
                  <w:tcW w:w="3895"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10.11 Производство и преработка на месо, без месо от домашни  птици</w:t>
                  </w:r>
                </w:p>
              </w:tc>
            </w:tr>
            <w:tr>
              <w:tblPrEx>
                <w:tblW w:w="9122" w:type="dxa"/>
                <w:tblCellMar>
                  <w:top w:w="15" w:type="dxa"/>
                  <w:left w:w="15" w:type="dxa"/>
                  <w:bottom w:w="15" w:type="dxa"/>
                  <w:right w:w="15" w:type="dxa"/>
                </w:tblCellMar>
                <w:tblLook w:val="05E0"/>
              </w:tblPrEx>
              <w:trPr>
                <w:trHeight w:val="625"/>
              </w:trPr>
              <w:tc>
                <w:tcPr>
                  <w:vMerge/>
                  <w:vAlign w:val="center"/>
                  <w:hideMark/>
                </w:tcPr>
                <w:p>
                  <w:pPr>
                    <w:rPr>
                      <w:rFonts w:ascii="Times New Roman" w:eastAsia="Times New Roman" w:hAnsi="Times New Roman" w:cs="Times New Roman"/>
                      <w:b w:val="0"/>
                      <w:bCs w:val="0"/>
                      <w:i w:val="0"/>
                      <w:iCs w:val="0"/>
                      <w:smallCaps w:val="0"/>
                      <w:color w:val="000000"/>
                      <w:szCs w:val="24"/>
                    </w:rPr>
                  </w:pPr>
                </w:p>
              </w:tc>
              <w:tc>
                <w:tcPr>
                  <w:vMerge/>
                  <w:vAlign w:val="center"/>
                  <w:hideMark/>
                </w:tcPr>
                <w:p>
                  <w:pPr>
                    <w:rPr>
                      <w:rFonts w:ascii="Times New Roman" w:eastAsia="Times New Roman" w:hAnsi="Times New Roman" w:cs="Times New Roman"/>
                      <w:b w:val="0"/>
                      <w:bCs w:val="0"/>
                      <w:i w:val="0"/>
                      <w:iCs w:val="0"/>
                      <w:smallCaps w:val="0"/>
                      <w:color w:val="000000"/>
                      <w:szCs w:val="24"/>
                    </w:rPr>
                  </w:pPr>
                </w:p>
              </w:tc>
              <w:tc>
                <w:tcPr>
                  <w:tcW w:w="3895" w:type="dxa"/>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10.12 Производство и преработка на месо от домашни птици</w:t>
                  </w:r>
                </w:p>
              </w:tc>
            </w:tr>
            <w:tr>
              <w:tblPrEx>
                <w:tblW w:w="9122" w:type="dxa"/>
                <w:tblCellMar>
                  <w:top w:w="15" w:type="dxa"/>
                  <w:left w:w="15" w:type="dxa"/>
                  <w:bottom w:w="15" w:type="dxa"/>
                  <w:right w:w="15" w:type="dxa"/>
                </w:tblCellMar>
                <w:tblLook w:val="05E0"/>
              </w:tblPrEx>
              <w:trPr>
                <w:trHeight w:val="491"/>
              </w:trPr>
              <w:tc>
                <w:tcPr>
                  <w:vMerge/>
                  <w:vAlign w:val="center"/>
                  <w:hideMark/>
                </w:tcPr>
                <w:p>
                  <w:pPr>
                    <w:rPr>
                      <w:rFonts w:ascii="Times New Roman" w:eastAsia="Times New Roman" w:hAnsi="Times New Roman" w:cs="Times New Roman"/>
                      <w:b w:val="0"/>
                      <w:bCs w:val="0"/>
                      <w:i w:val="0"/>
                      <w:iCs w:val="0"/>
                      <w:smallCaps w:val="0"/>
                      <w:color w:val="000000"/>
                      <w:szCs w:val="24"/>
                    </w:rPr>
                  </w:pPr>
                </w:p>
              </w:tc>
              <w:tc>
                <w:tcPr>
                  <w:vMerge/>
                  <w:vAlign w:val="center"/>
                  <w:hideMark/>
                </w:tcPr>
                <w:p>
                  <w:pPr>
                    <w:rPr>
                      <w:rFonts w:ascii="Times New Roman" w:eastAsia="Times New Roman" w:hAnsi="Times New Roman" w:cs="Times New Roman"/>
                      <w:b w:val="0"/>
                      <w:bCs w:val="0"/>
                      <w:i w:val="0"/>
                      <w:iCs w:val="0"/>
                      <w:smallCaps w:val="0"/>
                      <w:color w:val="000000"/>
                      <w:szCs w:val="24"/>
                    </w:rPr>
                  </w:pPr>
                </w:p>
              </w:tc>
              <w:tc>
                <w:tcPr>
                  <w:tcW w:w="3895" w:type="dxa"/>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10.13 Производство на месни продукти, без готови ястия</w:t>
                  </w:r>
                </w:p>
              </w:tc>
            </w:tr>
            <w:tr>
              <w:tblPrEx>
                <w:tblW w:w="9122" w:type="dxa"/>
                <w:tblCellMar>
                  <w:top w:w="15" w:type="dxa"/>
                  <w:left w:w="15" w:type="dxa"/>
                  <w:bottom w:w="15" w:type="dxa"/>
                  <w:right w:w="15" w:type="dxa"/>
                </w:tblCellMar>
                <w:tblLook w:val="05E0"/>
              </w:tblPrEx>
              <w:trPr>
                <w:trHeight w:val="491"/>
              </w:trPr>
              <w:tc>
                <w:tcPr>
                  <w:vMerge/>
                  <w:vAlign w:val="center"/>
                  <w:hideMark/>
                </w:tcPr>
                <w:p>
                  <w:pPr>
                    <w:rPr>
                      <w:rFonts w:ascii="Times New Roman" w:eastAsia="Times New Roman" w:hAnsi="Times New Roman" w:cs="Times New Roman"/>
                      <w:b w:val="0"/>
                      <w:bCs w:val="0"/>
                      <w:i w:val="0"/>
                      <w:iCs w:val="0"/>
                      <w:smallCaps w:val="0"/>
                      <w:color w:val="000000"/>
                      <w:szCs w:val="24"/>
                    </w:rPr>
                  </w:pPr>
                </w:p>
              </w:tc>
              <w:tc>
                <w:tcPr>
                  <w:tcW w:w="2673" w:type="dxa"/>
                  <w:vMerge w:val="restart"/>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xml:space="preserve">10.3 </w:t>
                  </w:r>
                  <w:r>
                    <w:rPr>
                      <w:rFonts w:ascii="Times New Roman" w:eastAsia="Times New Roman" w:hAnsi="Times New Roman" w:cs="Times New Roman"/>
                      <w:b w:val="0"/>
                      <w:bCs w:val="0"/>
                      <w:i/>
                      <w:iCs/>
                      <w:smallCaps w:val="0"/>
                      <w:color w:val="000000"/>
                      <w:szCs w:val="24"/>
                    </w:rPr>
                    <w:t>Преработка и консервиране на плодове и зеленчуци,</w:t>
                  </w:r>
                  <w:r>
                    <w:rPr>
                      <w:rFonts w:ascii="Times New Roman" w:eastAsia="Times New Roman" w:hAnsi="Times New Roman" w:cs="Times New Roman"/>
                      <w:b w:val="0"/>
                      <w:bCs w:val="0"/>
                      <w:i/>
                      <w:iCs/>
                      <w:smallCaps w:val="0"/>
                      <w:color w:val="000000"/>
                      <w:szCs w:val="24"/>
                    </w:rPr>
                    <w:br/>
                  </w:r>
                  <w:r>
                    <w:rPr>
                      <w:rFonts w:ascii="Times New Roman" w:eastAsia="Times New Roman" w:hAnsi="Times New Roman" w:cs="Times New Roman"/>
                      <w:b w:val="0"/>
                      <w:bCs w:val="0"/>
                      <w:i/>
                      <w:iCs/>
                      <w:smallCaps w:val="0"/>
                      <w:color w:val="000000"/>
                      <w:szCs w:val="24"/>
                    </w:rPr>
                    <w:t> без готови ястия</w:t>
                  </w:r>
                </w:p>
              </w:tc>
              <w:tc>
                <w:tcPr>
                  <w:tcW w:w="3895" w:type="dxa"/>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br/>
                  </w:r>
                  <w:r>
                    <w:rPr>
                      <w:rFonts w:ascii="Times New Roman" w:eastAsia="Times New Roman" w:hAnsi="Times New Roman" w:cs="Times New Roman"/>
                      <w:b w:val="0"/>
                      <w:bCs w:val="0"/>
                      <w:i w:val="0"/>
                      <w:iCs w:val="0"/>
                      <w:smallCaps w:val="0"/>
                      <w:color w:val="000000"/>
                      <w:szCs w:val="24"/>
                    </w:rPr>
                    <w:t>10.31 Преработка и консервиране на картофи</w:t>
                  </w:r>
                </w:p>
              </w:tc>
            </w:tr>
            <w:tr>
              <w:tblPrEx>
                <w:tblW w:w="9122" w:type="dxa"/>
                <w:tblCellMar>
                  <w:top w:w="15" w:type="dxa"/>
                  <w:left w:w="15" w:type="dxa"/>
                  <w:bottom w:w="15" w:type="dxa"/>
                  <w:right w:w="15" w:type="dxa"/>
                </w:tblCellMar>
                <w:tblLook w:val="05E0"/>
              </w:tblPrEx>
              <w:trPr>
                <w:trHeight w:val="491"/>
              </w:trPr>
              <w:tc>
                <w:tcPr>
                  <w:vMerge/>
                  <w:vAlign w:val="center"/>
                  <w:hideMark/>
                </w:tcPr>
                <w:p>
                  <w:pPr>
                    <w:rPr>
                      <w:rFonts w:ascii="Times New Roman" w:eastAsia="Times New Roman" w:hAnsi="Times New Roman" w:cs="Times New Roman"/>
                      <w:b w:val="0"/>
                      <w:bCs w:val="0"/>
                      <w:i w:val="0"/>
                      <w:iCs w:val="0"/>
                      <w:smallCaps w:val="0"/>
                      <w:color w:val="000000"/>
                      <w:szCs w:val="24"/>
                    </w:rPr>
                  </w:pPr>
                </w:p>
              </w:tc>
              <w:tc>
                <w:tcPr>
                  <w:vMerge/>
                  <w:vAlign w:val="center"/>
                  <w:hideMark/>
                </w:tcPr>
                <w:p>
                  <w:pPr>
                    <w:rPr>
                      <w:rFonts w:ascii="Times New Roman" w:eastAsia="Times New Roman" w:hAnsi="Times New Roman" w:cs="Times New Roman"/>
                      <w:b w:val="0"/>
                      <w:bCs w:val="0"/>
                      <w:i w:val="0"/>
                      <w:iCs w:val="0"/>
                      <w:smallCaps w:val="0"/>
                      <w:color w:val="000000"/>
                      <w:szCs w:val="24"/>
                    </w:rPr>
                  </w:pPr>
                </w:p>
              </w:tc>
              <w:tc>
                <w:tcPr>
                  <w:tcW w:w="3895" w:type="dxa"/>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10.32 Производство на плодови и зеленчукови сокове</w:t>
                  </w:r>
                </w:p>
              </w:tc>
            </w:tr>
            <w:tr>
              <w:tblPrEx>
                <w:tblW w:w="9122" w:type="dxa"/>
                <w:tblCellMar>
                  <w:top w:w="15" w:type="dxa"/>
                  <w:left w:w="15" w:type="dxa"/>
                  <w:bottom w:w="15" w:type="dxa"/>
                  <w:right w:w="15" w:type="dxa"/>
                </w:tblCellMar>
                <w:tblLook w:val="05E0"/>
              </w:tblPrEx>
              <w:trPr>
                <w:trHeight w:val="758"/>
              </w:trPr>
              <w:tc>
                <w:tcPr>
                  <w:vMerge/>
                  <w:vAlign w:val="center"/>
                  <w:hideMark/>
                </w:tcPr>
                <w:p>
                  <w:pPr>
                    <w:rPr>
                      <w:rFonts w:ascii="Times New Roman" w:eastAsia="Times New Roman" w:hAnsi="Times New Roman" w:cs="Times New Roman"/>
                      <w:b w:val="0"/>
                      <w:bCs w:val="0"/>
                      <w:i w:val="0"/>
                      <w:iCs w:val="0"/>
                      <w:smallCaps w:val="0"/>
                      <w:color w:val="000000"/>
                      <w:szCs w:val="24"/>
                    </w:rPr>
                  </w:pPr>
                </w:p>
              </w:tc>
              <w:tc>
                <w:tcPr>
                  <w:vMerge/>
                  <w:vAlign w:val="center"/>
                  <w:hideMark/>
                </w:tcPr>
                <w:p>
                  <w:pPr>
                    <w:rPr>
                      <w:rFonts w:ascii="Times New Roman" w:eastAsia="Times New Roman" w:hAnsi="Times New Roman" w:cs="Times New Roman"/>
                      <w:b w:val="0"/>
                      <w:bCs w:val="0"/>
                      <w:i w:val="0"/>
                      <w:iCs w:val="0"/>
                      <w:smallCaps w:val="0"/>
                      <w:color w:val="000000"/>
                      <w:szCs w:val="24"/>
                    </w:rPr>
                  </w:pPr>
                </w:p>
              </w:tc>
              <w:tc>
                <w:tcPr>
                  <w:tcW w:w="3895" w:type="dxa"/>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10.39 Преработка и консервиране на други плодове и зеленчуци,  без готови ястия</w:t>
                  </w:r>
                </w:p>
              </w:tc>
            </w:tr>
            <w:tr>
              <w:tblPrEx>
                <w:tblW w:w="9122" w:type="dxa"/>
                <w:tblCellMar>
                  <w:top w:w="15" w:type="dxa"/>
                  <w:left w:w="15" w:type="dxa"/>
                  <w:bottom w:w="15" w:type="dxa"/>
                  <w:right w:w="15" w:type="dxa"/>
                </w:tblCellMar>
                <w:tblLook w:val="05E0"/>
              </w:tblPrEx>
              <w:trPr>
                <w:trHeight w:val="758"/>
              </w:trPr>
              <w:tc>
                <w:tcPr>
                  <w:vMerge/>
                  <w:vAlign w:val="center"/>
                  <w:hideMark/>
                </w:tcPr>
                <w:p>
                  <w:pPr>
                    <w:rPr>
                      <w:rFonts w:ascii="Times New Roman" w:eastAsia="Times New Roman" w:hAnsi="Times New Roman" w:cs="Times New Roman"/>
                      <w:b w:val="0"/>
                      <w:bCs w:val="0"/>
                      <w:i w:val="0"/>
                      <w:iCs w:val="0"/>
                      <w:smallCaps w:val="0"/>
                      <w:color w:val="000000"/>
                      <w:szCs w:val="24"/>
                    </w:rPr>
                  </w:pPr>
                </w:p>
              </w:tc>
              <w:tc>
                <w:tcPr>
                  <w:tcW w:w="2673"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xml:space="preserve">10.4 </w:t>
                  </w:r>
                  <w:r>
                    <w:rPr>
                      <w:rFonts w:ascii="Times New Roman" w:eastAsia="Times New Roman" w:hAnsi="Times New Roman" w:cs="Times New Roman"/>
                      <w:b w:val="0"/>
                      <w:bCs w:val="0"/>
                      <w:i/>
                      <w:iCs/>
                      <w:smallCaps w:val="0"/>
                      <w:color w:val="000000"/>
                      <w:szCs w:val="24"/>
                    </w:rPr>
                    <w:t>Производство на растителни и животински масла и мазнини</w:t>
                  </w:r>
                </w:p>
              </w:tc>
              <w:tc>
                <w:tcPr>
                  <w:tcW w:w="3895"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10.41 Производство на растителни и животински масла</w:t>
                  </w:r>
                  <w:r>
                    <w:rPr>
                      <w:rFonts w:ascii="Times New Roman" w:eastAsia="Times New Roman" w:hAnsi="Times New Roman" w:cs="Times New Roman"/>
                      <w:b w:val="0"/>
                      <w:bCs w:val="0"/>
                      <w:i w:val="0"/>
                      <w:iCs w:val="0"/>
                      <w:smallCaps w:val="0"/>
                      <w:color w:val="000000"/>
                      <w:szCs w:val="24"/>
                    </w:rPr>
                    <w:br/>
                  </w:r>
                  <w:r>
                    <w:rPr>
                      <w:rFonts w:ascii="Times New Roman" w:eastAsia="Times New Roman" w:hAnsi="Times New Roman" w:cs="Times New Roman"/>
                      <w:b w:val="0"/>
                      <w:bCs w:val="0"/>
                      <w:i w:val="0"/>
                      <w:iCs w:val="0"/>
                      <w:smallCaps w:val="0"/>
                      <w:color w:val="000000"/>
                      <w:szCs w:val="24"/>
                    </w:rPr>
                    <w:t>и мазнини, без маргарин</w:t>
                  </w:r>
                </w:p>
              </w:tc>
            </w:tr>
            <w:tr>
              <w:tblPrEx>
                <w:tblW w:w="9122" w:type="dxa"/>
                <w:tblCellMar>
                  <w:top w:w="15" w:type="dxa"/>
                  <w:left w:w="15" w:type="dxa"/>
                  <w:bottom w:w="15" w:type="dxa"/>
                  <w:right w:w="15" w:type="dxa"/>
                </w:tblCellMar>
                <w:tblLook w:val="05E0"/>
              </w:tblPrEx>
              <w:trPr>
                <w:trHeight w:val="743"/>
              </w:trPr>
              <w:tc>
                <w:tcPr>
                  <w:vMerge/>
                  <w:vAlign w:val="center"/>
                  <w:hideMark/>
                </w:tcPr>
                <w:p>
                  <w:pPr>
                    <w:rPr>
                      <w:rFonts w:ascii="Times New Roman" w:eastAsia="Times New Roman" w:hAnsi="Times New Roman" w:cs="Times New Roman"/>
                      <w:b w:val="0"/>
                      <w:bCs w:val="0"/>
                      <w:i w:val="0"/>
                      <w:iCs w:val="0"/>
                      <w:smallCaps w:val="0"/>
                      <w:color w:val="000000"/>
                      <w:szCs w:val="24"/>
                    </w:rPr>
                  </w:pPr>
                </w:p>
              </w:tc>
              <w:tc>
                <w:tcPr>
                  <w:tcW w:w="2673" w:type="dxa"/>
                  <w:vMerge w:val="restart"/>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xml:space="preserve">10.5 </w:t>
                  </w:r>
                  <w:r>
                    <w:rPr>
                      <w:rFonts w:ascii="Times New Roman" w:eastAsia="Times New Roman" w:hAnsi="Times New Roman" w:cs="Times New Roman"/>
                      <w:b w:val="0"/>
                      <w:bCs w:val="0"/>
                      <w:i/>
                      <w:iCs/>
                      <w:smallCaps w:val="0"/>
                      <w:color w:val="000000"/>
                      <w:szCs w:val="24"/>
                    </w:rPr>
                    <w:t>Производство на мляко и млечни продукти</w:t>
                  </w:r>
                </w:p>
              </w:tc>
              <w:tc>
                <w:tcPr>
                  <w:tcW w:w="3895"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br/>
                  </w:r>
                  <w:r>
                    <w:rPr>
                      <w:rFonts w:ascii="Times New Roman" w:eastAsia="Times New Roman" w:hAnsi="Times New Roman" w:cs="Times New Roman"/>
                      <w:b w:val="0"/>
                      <w:bCs w:val="0"/>
                      <w:i w:val="0"/>
                      <w:iCs w:val="0"/>
                      <w:smallCaps w:val="0"/>
                      <w:color w:val="000000"/>
                      <w:szCs w:val="24"/>
                    </w:rPr>
                    <w:t>10.51 Производство на мляко и млечни продукти, без сладолед</w:t>
                  </w:r>
                </w:p>
              </w:tc>
            </w:tr>
            <w:tr>
              <w:tblPrEx>
                <w:tblW w:w="9122" w:type="dxa"/>
                <w:tblCellMar>
                  <w:top w:w="15" w:type="dxa"/>
                  <w:left w:w="15" w:type="dxa"/>
                  <w:bottom w:w="15" w:type="dxa"/>
                  <w:right w:w="15" w:type="dxa"/>
                </w:tblCellMar>
                <w:tblLook w:val="05E0"/>
              </w:tblPrEx>
              <w:trPr>
                <w:trHeight w:val="431"/>
              </w:trPr>
              <w:tc>
                <w:tcPr>
                  <w:vMerge/>
                  <w:vAlign w:val="center"/>
                  <w:hideMark/>
                </w:tcPr>
                <w:p>
                  <w:pPr>
                    <w:rPr>
                      <w:rFonts w:ascii="Times New Roman" w:eastAsia="Times New Roman" w:hAnsi="Times New Roman" w:cs="Times New Roman"/>
                      <w:b w:val="0"/>
                      <w:bCs w:val="0"/>
                      <w:i w:val="0"/>
                      <w:iCs w:val="0"/>
                      <w:smallCaps w:val="0"/>
                      <w:color w:val="000000"/>
                      <w:szCs w:val="24"/>
                    </w:rPr>
                  </w:pPr>
                </w:p>
              </w:tc>
              <w:tc>
                <w:tcPr>
                  <w:vMerge/>
                  <w:vAlign w:val="center"/>
                  <w:hideMark/>
                </w:tcPr>
                <w:p>
                  <w:pPr>
                    <w:rPr>
                      <w:rFonts w:ascii="Times New Roman" w:eastAsia="Times New Roman" w:hAnsi="Times New Roman" w:cs="Times New Roman"/>
                      <w:b w:val="0"/>
                      <w:bCs w:val="0"/>
                      <w:i w:val="0"/>
                      <w:iCs w:val="0"/>
                      <w:smallCaps w:val="0"/>
                      <w:color w:val="000000"/>
                      <w:szCs w:val="24"/>
                    </w:rPr>
                  </w:pPr>
                </w:p>
              </w:tc>
              <w:tc>
                <w:tcPr>
                  <w:tcW w:w="3895"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10.52 Производство на сладолед</w:t>
                  </w:r>
                </w:p>
              </w:tc>
            </w:tr>
            <w:tr>
              <w:tblPrEx>
                <w:tblW w:w="9122" w:type="dxa"/>
                <w:tblCellMar>
                  <w:top w:w="15" w:type="dxa"/>
                  <w:left w:w="15" w:type="dxa"/>
                  <w:bottom w:w="15" w:type="dxa"/>
                  <w:right w:w="15" w:type="dxa"/>
                </w:tblCellMar>
                <w:tblLook w:val="05E0"/>
              </w:tblPrEx>
              <w:trPr>
                <w:trHeight w:val="402"/>
              </w:trPr>
              <w:tc>
                <w:tcPr>
                  <w:vMerge/>
                  <w:vAlign w:val="center"/>
                  <w:hideMark/>
                </w:tcPr>
                <w:p>
                  <w:pPr>
                    <w:rPr>
                      <w:rFonts w:ascii="Times New Roman" w:eastAsia="Times New Roman" w:hAnsi="Times New Roman" w:cs="Times New Roman"/>
                      <w:b w:val="0"/>
                      <w:bCs w:val="0"/>
                      <w:i w:val="0"/>
                      <w:iCs w:val="0"/>
                      <w:smallCaps w:val="0"/>
                      <w:color w:val="000000"/>
                      <w:szCs w:val="24"/>
                    </w:rPr>
                  </w:pPr>
                </w:p>
              </w:tc>
              <w:tc>
                <w:tcPr>
                  <w:tcW w:w="2673" w:type="dxa"/>
                  <w:vMerge w:val="restart"/>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10.6</w:t>
                  </w:r>
                  <w:r>
                    <w:rPr>
                      <w:rFonts w:ascii="Times New Roman" w:eastAsia="Times New Roman" w:hAnsi="Times New Roman" w:cs="Times New Roman"/>
                      <w:b w:val="0"/>
                      <w:bCs w:val="0"/>
                      <w:i/>
                      <w:iCs/>
                      <w:smallCaps w:val="0"/>
                      <w:color w:val="000000"/>
                      <w:szCs w:val="24"/>
                    </w:rPr>
                    <w:t xml:space="preserve"> Производство на мелничарски продукти, нишесте</w:t>
                  </w:r>
                  <w:r>
                    <w:rPr>
                      <w:rFonts w:ascii="Times New Roman" w:eastAsia="Times New Roman" w:hAnsi="Times New Roman" w:cs="Times New Roman"/>
                      <w:b w:val="0"/>
                      <w:bCs w:val="0"/>
                      <w:i/>
                      <w:iCs/>
                      <w:smallCaps w:val="0"/>
                      <w:color w:val="000000"/>
                      <w:szCs w:val="24"/>
                    </w:rPr>
                    <w:br/>
                  </w:r>
                  <w:r>
                    <w:rPr>
                      <w:rFonts w:ascii="Times New Roman" w:eastAsia="Times New Roman" w:hAnsi="Times New Roman" w:cs="Times New Roman"/>
                      <w:b w:val="0"/>
                      <w:bCs w:val="0"/>
                      <w:i/>
                      <w:iCs/>
                      <w:smallCaps w:val="0"/>
                      <w:color w:val="000000"/>
                      <w:szCs w:val="24"/>
                    </w:rPr>
                    <w:t> и нишестени продукти</w:t>
                  </w:r>
                </w:p>
              </w:tc>
              <w:tc>
                <w:tcPr>
                  <w:tcW w:w="3895"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10.61 Производство на мелничарски продукти</w:t>
                  </w:r>
                </w:p>
              </w:tc>
            </w:tr>
            <w:tr>
              <w:tblPrEx>
                <w:tblW w:w="9122" w:type="dxa"/>
                <w:tblCellMar>
                  <w:top w:w="15" w:type="dxa"/>
                  <w:left w:w="15" w:type="dxa"/>
                  <w:bottom w:w="15" w:type="dxa"/>
                  <w:right w:w="15" w:type="dxa"/>
                </w:tblCellMar>
                <w:tblLook w:val="05E0"/>
              </w:tblPrEx>
              <w:trPr>
                <w:trHeight w:val="550"/>
              </w:trPr>
              <w:tc>
                <w:tcPr>
                  <w:vMerge/>
                  <w:vAlign w:val="center"/>
                  <w:hideMark/>
                </w:tcPr>
                <w:p>
                  <w:pPr>
                    <w:rPr>
                      <w:rFonts w:ascii="Times New Roman" w:eastAsia="Times New Roman" w:hAnsi="Times New Roman" w:cs="Times New Roman"/>
                      <w:b w:val="0"/>
                      <w:bCs w:val="0"/>
                      <w:i w:val="0"/>
                      <w:iCs w:val="0"/>
                      <w:smallCaps w:val="0"/>
                      <w:color w:val="000000"/>
                      <w:szCs w:val="24"/>
                    </w:rPr>
                  </w:pPr>
                </w:p>
              </w:tc>
              <w:tc>
                <w:tcPr>
                  <w:vMerge/>
                  <w:vAlign w:val="center"/>
                  <w:hideMark/>
                </w:tcPr>
                <w:p>
                  <w:pPr>
                    <w:rPr>
                      <w:rFonts w:ascii="Times New Roman" w:eastAsia="Times New Roman" w:hAnsi="Times New Roman" w:cs="Times New Roman"/>
                      <w:b w:val="0"/>
                      <w:bCs w:val="0"/>
                      <w:i w:val="0"/>
                      <w:iCs w:val="0"/>
                      <w:smallCaps w:val="0"/>
                      <w:color w:val="000000"/>
                      <w:szCs w:val="24"/>
                    </w:rPr>
                  </w:pPr>
                </w:p>
              </w:tc>
              <w:tc>
                <w:tcPr>
                  <w:tcW w:w="3895" w:type="dxa"/>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10.62 Производство на нишесте и нишестени продукти</w:t>
                  </w:r>
                </w:p>
              </w:tc>
            </w:tr>
            <w:tr>
              <w:tblPrEx>
                <w:tblW w:w="9122" w:type="dxa"/>
                <w:tblCellMar>
                  <w:top w:w="15" w:type="dxa"/>
                  <w:left w:w="15" w:type="dxa"/>
                  <w:bottom w:w="15" w:type="dxa"/>
                  <w:right w:w="15" w:type="dxa"/>
                </w:tblCellMar>
                <w:tblLook w:val="05E0"/>
              </w:tblPrEx>
              <w:trPr>
                <w:trHeight w:val="847"/>
              </w:trPr>
              <w:tc>
                <w:tcPr>
                  <w:vMerge/>
                  <w:vAlign w:val="center"/>
                  <w:hideMark/>
                </w:tcPr>
                <w:p>
                  <w:pPr>
                    <w:rPr>
                      <w:rFonts w:ascii="Times New Roman" w:eastAsia="Times New Roman" w:hAnsi="Times New Roman" w:cs="Times New Roman"/>
                      <w:b w:val="0"/>
                      <w:bCs w:val="0"/>
                      <w:i w:val="0"/>
                      <w:iCs w:val="0"/>
                      <w:smallCaps w:val="0"/>
                      <w:color w:val="000000"/>
                      <w:szCs w:val="24"/>
                    </w:rPr>
                  </w:pPr>
                </w:p>
              </w:tc>
              <w:tc>
                <w:tcPr>
                  <w:tcW w:w="2673"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xml:space="preserve">10.9 </w:t>
                  </w:r>
                  <w:r>
                    <w:rPr>
                      <w:rFonts w:ascii="Times New Roman" w:eastAsia="Times New Roman" w:hAnsi="Times New Roman" w:cs="Times New Roman"/>
                      <w:b w:val="0"/>
                      <w:bCs w:val="0"/>
                      <w:i/>
                      <w:iCs/>
                      <w:smallCaps w:val="0"/>
                      <w:color w:val="000000"/>
                      <w:szCs w:val="24"/>
                    </w:rPr>
                    <w:t>Производство на готови храни за животни</w:t>
                  </w:r>
                </w:p>
              </w:tc>
              <w:tc>
                <w:tcPr>
                  <w:tcW w:w="3895"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br/>
                  </w:r>
                  <w:r>
                    <w:rPr>
                      <w:rFonts w:ascii="Times New Roman" w:eastAsia="Times New Roman" w:hAnsi="Times New Roman" w:cs="Times New Roman"/>
                      <w:b w:val="0"/>
                      <w:bCs w:val="0"/>
                      <w:i w:val="0"/>
                      <w:iCs w:val="0"/>
                      <w:smallCaps w:val="0"/>
                      <w:color w:val="000000"/>
                      <w:szCs w:val="24"/>
                    </w:rPr>
                    <w:t>10.91 Производство на готови храни (фуражи) за селскостопански животни</w:t>
                  </w:r>
                </w:p>
              </w:tc>
            </w:tr>
            <w:tr>
              <w:tblPrEx>
                <w:tblW w:w="9122" w:type="dxa"/>
                <w:tblCellMar>
                  <w:top w:w="15" w:type="dxa"/>
                  <w:left w:w="15" w:type="dxa"/>
                  <w:bottom w:w="15" w:type="dxa"/>
                  <w:right w:w="15" w:type="dxa"/>
                </w:tblCellMar>
                <w:tblLook w:val="05E0"/>
              </w:tblPrEx>
              <w:trPr>
                <w:trHeight w:val="327"/>
              </w:trPr>
              <w:tc>
                <w:tcPr>
                  <w:tcW w:w="2673"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11 </w:t>
                  </w:r>
                  <w:r>
                    <w:rPr>
                      <w:rFonts w:ascii="Times New Roman" w:eastAsia="Times New Roman" w:hAnsi="Times New Roman" w:cs="Times New Roman"/>
                      <w:b/>
                      <w:bCs/>
                      <w:i/>
                      <w:iCs/>
                      <w:smallCaps w:val="0"/>
                      <w:color w:val="000000"/>
                      <w:szCs w:val="24"/>
                    </w:rPr>
                    <w:t>Производство на напитки</w:t>
                  </w:r>
                </w:p>
              </w:tc>
              <w:tc>
                <w:tcPr>
                  <w:tcW w:w="2673" w:type="dxa"/>
                  <w:noWrap w:val="0"/>
                  <w:tcMar>
                    <w:top w:w="20" w:type="dxa"/>
                    <w:left w:w="20" w:type="dxa"/>
                    <w:bottom w:w="20" w:type="dxa"/>
                    <w:right w:w="2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3895" w:type="dxa"/>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11.02 Производство на вина от грозде</w:t>
                  </w:r>
                </w:p>
              </w:tc>
            </w:tr>
            <w:tr>
              <w:tblPrEx>
                <w:tblW w:w="9122" w:type="dxa"/>
                <w:tblCellMar>
                  <w:top w:w="15" w:type="dxa"/>
                  <w:left w:w="15" w:type="dxa"/>
                  <w:bottom w:w="15" w:type="dxa"/>
                  <w:right w:w="15" w:type="dxa"/>
                </w:tblCellMar>
                <w:tblLook w:val="05E0"/>
              </w:tblPrEx>
              <w:trPr>
                <w:trHeight w:val="734"/>
              </w:trPr>
              <w:tc>
                <w:tcPr>
                  <w:tcW w:w="2673"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20 </w:t>
                  </w:r>
                  <w:r>
                    <w:rPr>
                      <w:rFonts w:ascii="Times New Roman" w:eastAsia="Times New Roman" w:hAnsi="Times New Roman" w:cs="Times New Roman"/>
                      <w:b/>
                      <w:bCs/>
                      <w:i/>
                      <w:iCs/>
                      <w:smallCaps w:val="0"/>
                      <w:color w:val="000000"/>
                      <w:szCs w:val="24"/>
                    </w:rPr>
                    <w:t>Производство на химични продукти</w:t>
                  </w:r>
                </w:p>
              </w:tc>
              <w:tc>
                <w:tcPr>
                  <w:tcW w:w="2673"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xml:space="preserve">20.5 </w:t>
                  </w:r>
                  <w:r>
                    <w:rPr>
                      <w:rFonts w:ascii="Times New Roman" w:eastAsia="Times New Roman" w:hAnsi="Times New Roman" w:cs="Times New Roman"/>
                      <w:b w:val="0"/>
                      <w:bCs w:val="0"/>
                      <w:i/>
                      <w:iCs/>
                      <w:smallCaps w:val="0"/>
                      <w:color w:val="000000"/>
                      <w:szCs w:val="24"/>
                    </w:rPr>
                    <w:t>Производство на други химични продукти</w:t>
                  </w:r>
                </w:p>
              </w:tc>
              <w:tc>
                <w:tcPr>
                  <w:tcW w:w="3895" w:type="dxa"/>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20.53 Производство на етерични масла</w:t>
                  </w:r>
                </w:p>
              </w:tc>
            </w:tr>
          </w:tbl>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sectPr>
          <w:pgMar w:top="900" w:right="900" w:bottom="900" w:left="900" w:header="720" w:footer="720"/>
          <w:cols w:space="720"/>
        </w:sectPr>
      </w:pPr>
    </w:p>
    <w:p>
      <w:pPr>
        <w:pStyle w:val="Heading1"/>
      </w:pPr>
      <w:bookmarkStart w:id="135" w:name="_Toc256000135"/>
      <w:r>
        <w:t>План за оценка</w:t>
      </w:r>
      <w:bookmarkEnd w:id="135"/>
    </w:p>
    <w:p>
      <w:pPr>
        <w:pStyle w:val="Heading2"/>
      </w:pPr>
      <w:bookmarkStart w:id="136" w:name="_Toc256000136"/>
      <w:r>
        <w:t>Цели и задачи</w:t>
      </w:r>
      <w:bookmarkEnd w:id="136"/>
    </w:p>
    <w:p>
      <w:r>
        <w:t>Описание на целта и задачите на плана за оценка, въз основа на необходимостта да се гарантира, че предприетите действия за оценка са достатъчни и целесъобразни, по-специално с цел осигуряване на необходимата за управлението на програмата информация, за годишните доклади за изпълнението през 2017 г. и 2019 г. и последващата оценка, както и с цел осигуряване на данните, необходими за оценката на ПРСР.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 План за оценки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програмен период 2007-2013 извън задължителното отчитане, не беше обърнато необходимото внимание на процеса на оценяване и наблюдение, което повлия негативно на качеството на оценките на ПРСР, като инструмент за вземане на навременни решения. Основната причина за това се състои в събирането на актуална, изчерпателна и свързана информация за прилагането на Програмата и за индикаторите за мониторинг, въз основа на които се извършва оценяването. Липсата на подходяща информационна система, която да предоставя навременни и точни данни за прилагането и индикаторите за наблюдение , затрудняваше значително обмена на информация между УО и РА. Наред с това, не бяха определени експерти, с функции по оценяване, които да  участват редовно в Комитетите  за оценки, като следят и внедряват добрите практики в оценяването на европейско ниво.  Това са научени уроци за пропуски през периода 2007-2013, които се цели да бъдат предоляни с предвидените мерки и действия в Плана за оценки.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9.1. Задачи и цели на Плана за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Предназначението на </w:t>
            </w:r>
            <w:r>
              <w:rPr>
                <w:rFonts w:ascii="Times New Roman" w:eastAsia="Times New Roman" w:hAnsi="Times New Roman" w:cs="Times New Roman"/>
                <w:b/>
                <w:bCs/>
                <w:szCs w:val="24"/>
              </w:rPr>
              <w:t>Плана за оценка</w:t>
            </w:r>
            <w:r>
              <w:rPr>
                <w:rFonts w:ascii="Times New Roman" w:eastAsia="Times New Roman" w:hAnsi="Times New Roman" w:cs="Times New Roman"/>
                <w:szCs w:val="24"/>
              </w:rPr>
              <w:t>:</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гарантира, че ще бъдат предприети достатъчни и подходящи действия по оценяването;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осигури достатъчни и подходящи ресурси, необходими за оценяването;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се предостави необходимата информация на всички заинтересовани страни за оптимизиране на прилагането и администрирането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предостави информация за изготвянето на разширен Годишен доклад за изпълнение през 2017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демонстрира междинния напредък по отношение на целите и да предостави информация за разширения Годишен доклад за изпълнение през 2019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гарантира, че необходимите данни за целите на оценяването ще бъдат осигурени навреме и в подходящ формат.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Специфични цели и задачи на Плана за оценка: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Представяне на необходимата обратна връзка към УО и РА за резултата от техните действия, както и да им даде препоръки за подобряване на усвояването на средствата и резултатите от тяхната работа по време на прилагане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на процеса на събиране на информация за целите на наблюдението, включително и за данни за индикаторите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на процеса на комуникация и разпространение на констатациите от оценяването, така че те да достигнат до отговорните органи по вземането на решения, както и до заинтересованите страни.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прозрачност на процеса на оценяване и достигане на всеобщо разбиране на ползите от провеждането на политики, свързани с развитието на селските райони, от всички, които са ангажирани с изготвянето, управлението и прилагането на ПРСР, от бенефициентите по Програмата и от широката общественост.</w:t>
            </w:r>
          </w:p>
          <w:p>
            <w:pPr>
              <w:pStyle w:val="BodyText"/>
              <w:jc w:val="both"/>
            </w:pPr>
          </w:p>
        </w:tc>
      </w:tr>
    </w:tbl>
    <w:p>
      <w:pPr>
        <w:pStyle w:val="Heading2"/>
      </w:pPr>
      <w:bookmarkStart w:id="137" w:name="_Toc256000137"/>
      <w:r>
        <w:t>Управление и координация</w:t>
      </w:r>
      <w:bookmarkEnd w:id="137"/>
    </w:p>
    <w:p>
      <w:r>
        <w:t>Кратко описание на договореностите за мониторинг и оценка на програмата за развитие на селските райони, като се посочат основните органи, участващи в тези процеси, и техните отговорности. Обяснение за това как дейностите за оценка са свързани с изпълнението на програмата за РСР по отношение на съдържанието и на графика.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9.2. Управление и координация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Наблюдението и оценките ще се основават на ръководството, включено в Индикаторния план за наблюдение и оценка на Европейската комисия и ще отчитат напредъка в прилагането на Програмата чрез базовите индикатори, индикаторите за продукт/дейност и индикаторите за резултати и въздействие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Системата за наблюдение и оценка има за цел да обезпечи надеждна информация за бюджетните параметри, резултатите и въздействията на Програмата за институциите и партньорите, ангажирани в управлението на ПРСР (2014-2020) така че тези институции да могат да вземат правилни управленски решения.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наблюдението ще се събира информация за договорените средства, финансираните дейности/инвестиции и непосредствените резултати от изпълнението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Наблюдението и оценките на Програмата ще се извършват от дирекция РСР, определена за Управляващ орган на ПРСР (2014-2020) и отговаряща за работата на Комитета по наблюдение на ПРСР (2014-2020). Комитетът по наблюдение ще разглежда оценките на Програмата и ще дава препоръки на Управляващия орган за подобряване, както на нейното изпълнение, така и за подобряване на процеса на оценяване и резултатите от него. В КН ще бъдат представени социално-икономическите партньори и заинтересованите страни, което гарантира тяхното участие в процеса на наблюдение и оценка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Напредъкът в прилагането на Програмата ще се докладва на Европейската комисия ежегодно, чрез годишен доклад, изготвен от Управляващия орган и одобрен от Комитета по наблюдение.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създадените при ПРСР (2007-2013) системи за наблюдение и оценка ще бъде разширен и допълнен, и системите ще бъдат променени за нуждите на ПРСР (2014-2020). Те ще отразят по-стратегическата насоченост на Плана за индикаторите и промените в самата рамка на програмиране на ПРСР (2014-2020). Разплащателната агенция ще събира оперативни данни за напредъка в прилагането на мерките и проектите (използвайки финансови и физически индикатори) и данни за икономическото състояние на бенефициентите, които ще представя на Управляващия орган при поискване, в указания формат и срок, за извършване на необходимия мониторинг.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Заедно с разработването на информационната система на ДФЗ-РА за периода 2014-2020, Разплащателната агенция, съгласувано с УО, ще разработи информационен модул за мониторинг. Разплащателната агенция следва да подсигури коректно и качествено въвеждане на информацията в базата данни. Информационният модул трябва да позволява отчитане в реално време на: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всички индикатори по индикаторен план и мониторинговите таблици към годишния доклад за изпълнението, съгласно указанията на ЕК,</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напредъка в договарянето и разплащането на средствата,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остатъчните бюджети по мерките,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резултата от изпълнението на мерките така че да е възможно автоматичното извеждане на достоверни стойности за индикаторите по индикаторен план, включително индикаторите за резултат, индикаторите за продукт, финансовите индикатори, целевите индикатори и индикаторите от рамката за изпълнение.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наблюдението, на Управляващия орган ще бъде предоставен потребителски достъп до всички модули на информационната система, касаещи пряко или косвено изпълнението на ПРСР (2014-2020). Събирането и обработването на информацията за напредъка в усвояването на средствата и индикаторите ще се извършва от отдел „Програмиране и техническа помощ” в Управляващия орган.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изпълнение на функцията си по наблюдение, Управляващият орган следва да търси начини за разширяване обхвата на системата с оглед набиране на данни за паралелното развитие на различните сектори – включително чрез информация от наблюдението/оценката на постигнатия напредък (изпълнени проекти и получени резултати) от прилагането на различните Оперативни програми, финансирани по Структурните и Инвестиционни фондове на ЕС (ЕСИФ) и управлявани от съответните министерства. Интервенциите, финансирани чрез тези програми, ще повлияят върху икономика в селските райони и трябва да се вземат предвид при управлението на ПРСР (2014-2020). За тази цел се предвижда и участие на Управляващия орган в комитетите по наблюдение на останалите оперативни програми, където освен останалите теми, ще бъдат разглеждани и оценките на оперативните програми. В работата си, Управляващият орган на ПРСР сътрудничи и с Управляващите органи на оперативните програми, финансирани от ЕСИФ. Предвидените координационни механизми включват участие в Комитета по наблюдение на Споразумението за партньорство и участие в работните групи и периодичните срещи за наблюдение, които се организират от Централното координационно звено, и на които се отчита напредъка по изпълнението на всички оперативни програми.Предвижда се инвестиционните мерки на програмата да бъдат управлявани чрез ИСУН 2020, като в системата ще бъдат отразени процесите, използвани за управление на средствата по оперативните програми. Това ще позволи получаване на текуща информация за мониторинг на ПРСР от Централно координационно звено. Освен това, достъпа до информацията в ИСУН на широката общественост ще спомогне за подобряване на публичността и прозрачността на ПРСР и ще предостави възможност за по-широк обществен мониторинг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предвидените оценки ще се събира информация за резултатите и въздействието на Програмата въз основа на индикаторите и въпросите за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Програмата трябва да предоставят данни за наблюдение при попълване на заявленията за кандидатстване.[1] За тази цел, от Разплащателна агенция, съгласувано с УО, ще бъдат подготвени специални форми за наблюдение за всяка мярка, които са задължителна част от заявлението за кандидатстване, и които позволяват извеждане на стойности за индикаторния план. Данните, представени от бенефициента, които подлежат на наблюдение, трябва да бъдат попълнени от Разплащателна Агенция в унифициран електронен формат, позволяващ автоматизирано окрупняване на информацията и извеждане на справки и отчети по електронен път за целите на мониторинга. Данните следва да бъдат актуализирани от Разплащателната Агенция на етап сключване на договор и плащане. Събраната информация трябва да бъде въвеждана от РА във формат, съответстващ на системата за наблюдение, където данните ще бъдат автоматично обобщени в таблиците с индикаторите за наблюдение. Ще бъде предвидена възможност за корекции на очевидни грешки в реално време. Управляващият орган инструктира РА относно периодичността на подаване на данните, като РА носи отговорност за коректността, достоверността и навременното въвеждане в информационната система на предоставените данни за целите на мониторинга.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Оценките на Програмата служат като важен управленски и контролен инструмент за по-добро насочване на програмирането към нуждите на обхванатите сектори/райони, по-добро идентифициране на програмния процес и нуждите от промени в него.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Работата по оценките се организира като непрекъснат процес в съответствие с индикаторния план и Плана за оценки. Организацията за осъществяване на оценките ще се извършва от отдел „Програмиране и техническа помощ” в Управляващия орган, включително разработване на техническо задание и стартиране на проектите по оценяване. Стартирането на избор на изпълнител е предвидено да започне поне 1 година преди крайния срок за изпълнение на оценка. Също така, се предвижда всеки оценител да разполага с поне 2 месеца след приключване на периода, който ще се оценява, за събиране на необходимите данни за оценката. Всички планирани оценки ще се осъществяват и управляват като отделен проект, финансиран по мярка Техническа помощ. За всеки проект ще се назначава Комисия за управление и контрол, която да подпомага работата на оценителите. За да се гарантира подкрепа на високо ниво, председател на Комисията ще е директорът на дирекция РСР в Управляващия орган. В членовете на Комисията могат да бъдат включени и представители на РА. Резюме на доклада за оценка, съдържащо основните изводи и препоръки, следва да бъде представен на ресорен заместник министър.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[1] Събирането на данни ще започне при етапа на кандидатстване и впоследствие данните ще бъдат актуализирани на етап одобрение на подкрепата и плащане(ия), включително при последно такова.</w:t>
            </w:r>
          </w:p>
          <w:p>
            <w:pPr>
              <w:pStyle w:val="BodyText"/>
              <w:jc w:val="both"/>
            </w:pPr>
          </w:p>
        </w:tc>
      </w:tr>
    </w:tbl>
    <w:p>
      <w:pPr>
        <w:pStyle w:val="Heading2"/>
      </w:pPr>
      <w:bookmarkStart w:id="138" w:name="_Toc256000138"/>
      <w:r>
        <w:t>Предмет на оценката и дейности</w:t>
      </w:r>
      <w:bookmarkEnd w:id="138"/>
    </w:p>
    <w:p>
      <w:r>
        <w:t>Примерно описание на предмета и очакваните дейности на оценката, включително, но не само, изпълнението на изисквания за оценяване, предвидени в Регламент (ЕС) № 1303/2013 и в Регламент (ЕС) № 1305/2013. То обхваща: а) дейности, необходими за оценка на приноса на всеки приоритет на Съюза по ПРСР, както е посочено в член 5 от Регламент (ЕС) № 1305/2013, за целите на развитието на селските райони, предвидени в член 4 от посочения регламент, оценка на резултатите и въздействието на стойностите на показателите, анализ на нетните ефекти, тематични въпроси, включително подпрограми, междусекторни въпроси, Национална мрежа за селските райони, принос на стратегиите за ВОМР; б) подкрепа, планирана за оценка на равнището на местните групи за действие; в)    специфични за програмата елементи, като например разработване на методики или действия, насочени към конкретни области на политиката.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9.3. Теми и дейности за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извършва оценка на ефективността, ефикасността и въздействието на Програмата. Оценките, извършени през програмния период, следва да оценяват логиката на интервенцията по Програмата и нейното изпълнение, включително допълването и взаимодействието с други инструменти като Първи стълб на ОСП и фондовете на ЕС от Общата стратегическа рамка. Планираните оценки през програмния период ще бъдат: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Цялостна оценка на ефективността, ефикасността и въздействието от прилагането на ПРСР (2014-2020) за периода от началото на прилагане на Програмата до края на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Цялостна оценка на ефективността, ефикасността и въздействието от прилагането на ПРСР (2014-2020) за периода от началото на прилагане на Програмата до края на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Темите за оценка в тях включват: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прогреса при постигане на целите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резултатите от интервенциите на ПРСР и приноса към областите на въздействие по приоритетите на ПРСР (2014-2020);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изпълнението на подпрограмата за малки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изпълнението на ВОМР, включително мулти-фондовото прилагане.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ключовата информация за изпълнението на Програмата и нейните приоритети по отношение на финансовите данни, общите и специфичните индикатори и количествени целеви стойности, включително промени в стойността на индикаторите за резултат, когато е подходящо, на ключовите цели, определени в рамката на изпълнението и потенциалния риск от загуба на резерв за изпълнение. Предаваните данни се отнасят за стойностите на показателите за изцяло изпълнени действия и също, където е възможно, като се вземе предвид етапа на изпълнението - за избрани действия;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финансовите ангажименти и разходите по мерки, както и усвояването на средствата във връзка с потенциалния риск от отчисляване на средства (decommitment);</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действията, предприети за изпълнение на предварителните условия, които не са изпълнени към момента на приемане на програмите;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изпълнението на действия, които да вземат под внимание принципите, определени в членове 7 и 8 от Регламент (ЕС) 1303/2013 , включително резултатите от интервенциите на ПРСР за опазване на околната среда, преодоляване на последствията от промените в климата и иновациите;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ролята на партньорите, посочени в член 5 от Регламента, постановяващ общите условия за фондовете, при прилагането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подкрепата, използвана за целите на изменението на климата, приноса на ПРСР към намаляване на емисиите на въглероден диоксид, дела на използваната възобновяема енергия и увеличаването на енергийна ефективност, до степента, в която е възможно събирането на надеждни данни на национално ниво.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всякакви въпроси, които оказват влияние върху изпълнението на Програмата, както и предприетите мерки;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използването на средствата по мярка „Техническа помощ“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наличието на достатъчен административен капацитет за управление и прилагане на ПРСР 2014-2020 и резултата от предприетите мерки за изграждането му. Анализ на управлението на човешките ресурси, в това число на нуждите от обучение, анализ на тежестта на процедурите на работа.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следва да се оценят следните теми: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напредъка по постигане на целите на Програмата и нейният принос за постигане на целите на ЕС 2020 и стратегията на Съюза, включително тематичните цели по ОСР, взаимодействието и допълването с оперативните програми, финансирани от Европейските структурни и инвестиционни фондове (ЕСИФ);</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постигнатия напредък в осигуряването на интегриран подход за използване на ЕЗФРСР и други финансови инструменти на ЕС за подпомагане на териториалното развитие на селските райони, включително чрез стратегии за местно развитие;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приноса за постигане на общите цели на ОСП при взаимодействието и допълването с Първи стълб на ОСП;</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принос на ПРСР за постигане на междусекторните цели за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Последваща оценка на ПРСР (2007-2013).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Последващата оценка ще включва следните теми за оценка: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степен на използване на ресурсите по ПРСР (2007-2013);</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резултатност и ефективност от програмирането;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социално-икономическо въздействие от прилагането на ПРСР (2007-2013);</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изваждане на поуки от провеждането на политиката за развитие на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идентифициране на факторите, които допринасят за успеха/ неуспеха на Програмата, включително устойчивост и идентифициране на най-добрите практики.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Предварителна оценка на ПРСР (2021-2027). Темите в тази оценка ще бъдат определени съгласно Указания на ЕК и нормативни актове относно следващия програмен период 2021 – 2027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допълнение към посочените до тук теми, се предвиждат и следните допълнителни теми за оценка: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 xml:space="preserve">  Тема: </w:t>
            </w:r>
            <w:r>
              <w:rPr>
                <w:rFonts w:ascii="Times New Roman" w:eastAsia="Times New Roman" w:hAnsi="Times New Roman" w:cs="Times New Roman"/>
                <w:szCs w:val="24"/>
              </w:rPr>
              <w:t>Прилагане на финансови инструменти. Следва да се оцени въздействието от прилагането на финансови инструменти и приноса им за постигане на целите на ПРСР (2014-2020).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Тема</w:t>
            </w:r>
            <w:r>
              <w:rPr>
                <w:rFonts w:ascii="Times New Roman" w:eastAsia="Times New Roman" w:hAnsi="Times New Roman" w:cs="Times New Roman"/>
                <w:szCs w:val="24"/>
              </w:rPr>
              <w:t>: Оценка на информационните системи за наблюдение и за индикатори. Следва да се оцени степента на готовност на системите за предоставяне на данни за индикаторите и напредъка при усвояването на средствата по ПРСР (2014-2020). Предмет на тази оценка ще бъде и достоверността, навременността и актуалността на предоставяната от тези системи информация.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 xml:space="preserve">Тема: </w:t>
            </w:r>
            <w:r>
              <w:rPr>
                <w:rFonts w:ascii="Times New Roman" w:eastAsia="Times New Roman" w:hAnsi="Times New Roman" w:cs="Times New Roman"/>
                <w:szCs w:val="24"/>
              </w:rPr>
              <w:t>Качество на работата на НСМ. Следва да се оцени въздействието от работата на НСМ (2014 -2020) върху прилагането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Тема</w:t>
            </w:r>
            <w:r>
              <w:rPr>
                <w:rFonts w:ascii="Times New Roman" w:eastAsia="Times New Roman" w:hAnsi="Times New Roman" w:cs="Times New Roman"/>
                <w:szCs w:val="24"/>
              </w:rPr>
              <w:t>: Оценка на ефективността от прилагането на Комуникационния план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които ще се извършват по отношение на подготовката на всяка една оценка за програмни периоди 2014-2020 г. и 2021 – 2027 г., включват: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Преглед на научените уроци при мониторинг и оценка и на основните предизвикателствата пред прилагането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Преглед на общите въпроси за оценка и връзки с индикатори;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Разработване на специфични за Програмата въпроси за оценка, базирани на основа на научените уроци и основните предизвикателства в изпълнението на Програмата. Когато е възможно, определяне на критерии за преценка и връзки към показатели;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Изготвяне на фишове за специфичните програмни показатели, ако е необходимо;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Идентифициране на допълнителни видове данни, които трябва да се събират и преглед на източниците на информация;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Споразумение с доставчиците на данни, за предоставяне на данни;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Запълване на пропуските и отстраняването на установените слабости в събирането на данни;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Подготовка на техническо задание и последващо стартиране провеждането на процедура за възлагане на обществена поръчка за избор на изпълнител за подготовка на съответната оценка;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Регистриране на проект по мярка „Техническа помощ“ за съответната оценка и назначаване на Комисия за управление и контрол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pStyle w:val="Heading2"/>
      </w:pPr>
      <w:bookmarkStart w:id="139" w:name="_Toc256000139"/>
      <w:r>
        <w:t>Данни и информация</w:t>
      </w:r>
      <w:bookmarkEnd w:id="139"/>
    </w:p>
    <w:p>
      <w:r>
        <w:t>Кратко описание на системата за записване, поддържане, управление и отчитане на статистическа информация относно изпълнението на програмата за развитие на селските райони и предоставяне на данни от наблюдението за целите на оценката. Определяне на източниците на данни, които ще бъдат използвани, пропуските в данните, евентуалните институционални въпроси, свързани с предоставянето на данни, както и решения на набелязаните аспекти. Информацията в този раздел трябва да покаже, че съответните системи за управление на данните ще започнат да функционират в срок.</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9.4. Данни и информация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Основният проблем с мониторинга и оценките през периода 2007-2013 беше наличието на липси/пропуски в данните от заявленията за подпомагане, идващи от информационната система ИСАК на ДФЗ. Например, непопълнени полета, некоректни данни, въведен текст в цифрови полета и т.н. Тези слабости, възпрепятстваха създаването на адекватно работеща система, която автоматично да извежда данните за мониторинга. Посочените проблеми практически лишиха УО от адекватни данни за мониторинг и значително влошиха качеството на оценките на ПРСР 2007-2013. Това ще е основната пречка пред мониторинга през новия програмен период, в случай че при разработването на софтуера за информационната система на ДФЗ за ПРСР 2014-2020, не бъдат въведени съответните рестрикции при въвеждането и редакцията на входящи данни – избор на категории от номенклатури вместо ръчното им изписване, задаване на ясни и точни параметри съобразени с логиката и разпоредбите на ПРСР, невъзможност за оставяне на невъведени данни, където се изискват такива, вътрешни контроли за въведени грешни данни, синтаксис и т.н. Следователно, ДФЗ-РА следва да подобри организацията на базата данни в информационната система на ДФЗ за периода 2014-2020. Въвеждането на данни от заявленията за подпомагане и организацията на базата данни в информационната система на ДФЗ-РА, следва да отговарят на изискванията на мониторинга, като основна предпоставка за качеството на данните и необходимо условие за ефективни наблюдение и оценяване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Поради опростяването на показателите от Плана за индикатори, голяма част от информацията за тях се базира на индикаторите за продукт и на финансовите индикатори. Повечето от целевите индикатори се получават, като индикаторите за продукт се отнесат към индикаторите за контекст, които са посочени в Програмата. Следователно, източник на основната част от информацията за Плана за индикатори ще бъде информационната система на ДФЗ-РА, която събира оперативни данни за бенефициентите. Индикаторите за продукт и финансовите индикатори ще се получават от информационен модул за наблюдение, който следва да бъде изграден заедно с информационната система на ДФЗ-РА за периода 2014-2020. Информационният модул за наблюдение ще ползва за източник информационната система на ДФЗ-РА и ще обобщи информацията от заявленията за кандидатстване и заявките за плащане в изисквания формат за индикаторите. По този начин, информационният модул за наблюдение ще може да извежда цялостна информация за всички показатели от мониторинговите таблици към Годишния доклад за изпълнението и Плана за индикатори, включително целевите индикатори и рамката за изпълнение. Предвижда се информационният модул за наблюдение да започне да работи заедно с информационната система на ДФЗ-РА, но не по-късно една година след одобрение на ПРСР . С цел да се гарантира ефикасен и ефективен електронен обмен на информация </w:t>
            </w:r>
            <w:r>
              <w:rPr>
                <w:rFonts w:ascii="Times New Roman" w:eastAsia="Times New Roman" w:hAnsi="Times New Roman" w:cs="Times New Roman"/>
                <w:b/>
                <w:bCs/>
                <w:szCs w:val="24"/>
              </w:rPr>
              <w:t xml:space="preserve">информационният модул за наблюдение </w:t>
            </w:r>
            <w:r>
              <w:rPr>
                <w:rFonts w:ascii="Times New Roman" w:eastAsia="Times New Roman" w:hAnsi="Times New Roman" w:cs="Times New Roman"/>
                <w:szCs w:val="24"/>
              </w:rPr>
              <w:t>трябва да има следните характеристики: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интерактивни формуляри или предварително попълнени от системата формуляри въз основа на данни, които предварително са записани в системата;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автоматични изчисления, когато те намаляват усилията за въвеждане на данни от страна на потребителите;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вградени автоматични средства за контрол, които проверяват вътрешната съгласуваност на предаваните данни и съгласуваността им с приложимите правила;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генерирани от системата сигнали, които предупреждават потребителите на информационния модул за наблюдение, че определени действия могат или не могат да бъдат извършени;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онлайн проследяване на състоянието на обработката на информацията, въведена в системата;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наличност на данни за минали периоди по отношение на цялата информация, въведена за дадена оперативна 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за контекст индикаторите и индикаторите за въздействие ще се събира основно от Националния статистически институт, в изпълнение на ангажимента по предварителното условие за наличие на статистическа система, необходима за оценка на ефективността и въздействието на програмите. Данни за структурата на земеделските стопанства ще се черпят от регулярно провежданото национално проучване „Преброяване на земеделските стопанства”. Дирекция “Агростатистика” към МЗХГ, включително чрез Системата за земеделска счетоводна информация – СЗСИ,  ще съдейства и подпомага Управляващия орган при събиране на информация за базовите индикатори, индикаторите за въздействие и данните за икономическото развитие на отделните сектори в национален/регионален план, както и социално-икономическите характеристики на селските райони. Информацията от СЗСИ ще помогне да се оценяват резултатите от помощта по ПРСР (2014-2020) за земеделските производители и да се събере информация за допълнителните индикатори за резултат. Информацията от Националния статистически институт за социално-икономическата ситуация в селските райони би могла да се допълни от изследвания, финансирани в рамките на предвидените оценки през програмния период. В резултат, чрез дейността си по наблюдение, Управляващият орган ще може да използва изградената база данни за селските райони, обхващаща ключови статистически данни като: определяне на селските райони (% от територията; % от населението на страната; гъстота на населението), брутна добавена стойност в селските райони, % безработица в селските райони, % заети в земеделието, % заети в горското стопанство, % заети в преработвателния сектор, % заети в сектора на услугите, образователно ниво и възрастова структура на селското население, % обработваема площ, % горски площи, % естествени зони, % постоянни култури и пасища и т.н.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УО може да наема (чрез сключване на договор/и) отделни експерти или екип от експерти, включително и статистици, които да прегледат индикаторите, за които липсват или е нужно да се опреснят данни, да проверят възможните източници на данни и да установят какво е нужно, по отношение на допълнително събиране или обработване на наличните данни, с цел да се набави липсващата информация в хода на проучванията на оценките на ПРСР (2014-2020).</w:t>
            </w:r>
          </w:p>
          <w:p>
            <w:pPr>
              <w:pStyle w:val="BodyText"/>
              <w:jc w:val="both"/>
            </w:pPr>
          </w:p>
        </w:tc>
      </w:tr>
    </w:tbl>
    <w:p>
      <w:pPr>
        <w:pStyle w:val="Heading2"/>
      </w:pPr>
      <w:bookmarkStart w:id="140" w:name="_Toc256000140"/>
      <w:r>
        <w:t>График</w:t>
      </w:r>
      <w:bookmarkEnd w:id="140"/>
    </w:p>
    <w:p>
      <w:r>
        <w:t>Основни етапни цели през програмния период и примерен план на необходимото време, за да се гарантира, че резултатите ще бъдат готови в необходимия момент.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9.5. График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Графикът на Плана за оценка на Програмата, включва всички планирани оценки, като поставя акцент върху основните дейности в началото, средата и края на провеждането на всяка оценка. Указани са само основните дейности, с цел упоменатите за тях срокове да служат като индикатори за ранно предупреждение срещу евентуално забавяне на оценките от планирания график. Сроковете между дейностите са предвидени така, че евентуалното изоставане при дадена дейност да може да бъде компенсирано до настъпването на срока за следващата планирана дейност, т.е. предвидени са известни времеви буфери. Проектът за изготвяне на всека оценка следва да стартира приблизително 1 (една) година преди настъпване на крайния срок на оценката, за да се осигури нейното навременно изпълнение.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1.Последваща оценка на ПРСР (2007-2013)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Подготовка на техническо задание и стартиране на тръжната процедурата</w:t>
            </w:r>
            <w:r>
              <w:rPr>
                <w:rFonts w:ascii="Times New Roman" w:eastAsia="Times New Roman" w:hAnsi="Times New Roman" w:cs="Times New Roman"/>
                <w:szCs w:val="24"/>
              </w:rPr>
              <w:t xml:space="preserve"> - 30 октомври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Fonts w:ascii="Times New Roman" w:eastAsia="Times New Roman" w:hAnsi="Times New Roman" w:cs="Times New Roman"/>
                <w:szCs w:val="24"/>
              </w:rPr>
              <w:t>- 30 октомври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Идентифициране и събиране на необходимите данни и информация </w:t>
            </w:r>
            <w:r>
              <w:rPr>
                <w:rFonts w:ascii="Times New Roman" w:eastAsia="Times New Roman" w:hAnsi="Times New Roman" w:cs="Times New Roman"/>
                <w:szCs w:val="24"/>
              </w:rPr>
              <w:t>- 31 януари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Изпращане на доклад за оценка на КН за коментари - </w:t>
            </w:r>
            <w:r>
              <w:rPr>
                <w:rFonts w:ascii="Times New Roman" w:eastAsia="Times New Roman" w:hAnsi="Times New Roman" w:cs="Times New Roman"/>
                <w:szCs w:val="24"/>
              </w:rPr>
              <w:t>30 април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Предаване на окончателен доклад за оценката</w:t>
            </w:r>
            <w:r>
              <w:rPr>
                <w:rFonts w:ascii="Times New Roman" w:eastAsia="Times New Roman" w:hAnsi="Times New Roman" w:cs="Times New Roman"/>
                <w:szCs w:val="24"/>
              </w:rPr>
              <w:t xml:space="preserve"> – 30 юни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2</w:t>
            </w:r>
            <w:r>
              <w:rPr>
                <w:rFonts w:ascii="Times New Roman" w:eastAsia="Times New Roman" w:hAnsi="Times New Roman" w:cs="Times New Roman"/>
                <w:i/>
                <w:iCs/>
                <w:szCs w:val="24"/>
              </w:rPr>
              <w:t>.Извършване на цялостна оценка на ПРСР (2014-2020) за периода от одобрение на ПРСР до края на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Подготовка на техническо задание и стартиране на тръжната процедурата </w:t>
            </w:r>
            <w:r>
              <w:rPr>
                <w:rFonts w:ascii="Times New Roman" w:eastAsia="Times New Roman" w:hAnsi="Times New Roman" w:cs="Times New Roman"/>
                <w:szCs w:val="24"/>
              </w:rPr>
              <w:t>- 30 януари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Fonts w:ascii="Times New Roman" w:eastAsia="Times New Roman" w:hAnsi="Times New Roman" w:cs="Times New Roman"/>
                <w:szCs w:val="24"/>
              </w:rPr>
              <w:t>- 30 ноември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Идентифициране и събиране на необходимите данни и информация </w:t>
            </w:r>
            <w:r>
              <w:rPr>
                <w:rFonts w:ascii="Times New Roman" w:eastAsia="Times New Roman" w:hAnsi="Times New Roman" w:cs="Times New Roman"/>
                <w:szCs w:val="24"/>
              </w:rPr>
              <w:t>- 28 януари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Изпращане на доклад за оценка на КН за коментари </w:t>
            </w:r>
            <w:r>
              <w:rPr>
                <w:rFonts w:ascii="Times New Roman" w:eastAsia="Times New Roman" w:hAnsi="Times New Roman" w:cs="Times New Roman"/>
                <w:szCs w:val="24"/>
              </w:rPr>
              <w:t>- 30 април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Предаване на окончателен доклад за оценката </w:t>
            </w:r>
            <w:r>
              <w:rPr>
                <w:rFonts w:ascii="Times New Roman" w:eastAsia="Times New Roman" w:hAnsi="Times New Roman" w:cs="Times New Roman"/>
                <w:szCs w:val="24"/>
              </w:rPr>
              <w:t>– 30 май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3</w:t>
            </w:r>
            <w:r>
              <w:rPr>
                <w:rFonts w:ascii="Times New Roman" w:eastAsia="Times New Roman" w:hAnsi="Times New Roman" w:cs="Times New Roman"/>
                <w:i/>
                <w:iCs/>
                <w:szCs w:val="24"/>
              </w:rPr>
              <w:t>.Предварителна оценка на ПРСР (2021-2027)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Подготовка на техническо задание и стартиране на тръжната процедурата </w:t>
            </w:r>
            <w:r>
              <w:rPr>
                <w:rFonts w:ascii="Times New Roman" w:eastAsia="Times New Roman" w:hAnsi="Times New Roman" w:cs="Times New Roman"/>
                <w:szCs w:val="24"/>
              </w:rPr>
              <w:t>- 30 януари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Fonts w:ascii="Times New Roman" w:eastAsia="Times New Roman" w:hAnsi="Times New Roman" w:cs="Times New Roman"/>
                <w:szCs w:val="24"/>
              </w:rPr>
              <w:t>- 30 ноември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Идентифициране и събиране на необходимите данни и информация </w:t>
            </w:r>
            <w:r>
              <w:rPr>
                <w:rFonts w:ascii="Times New Roman" w:eastAsia="Times New Roman" w:hAnsi="Times New Roman" w:cs="Times New Roman"/>
                <w:szCs w:val="24"/>
              </w:rPr>
              <w:t>- 30 април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Изпращане на доклад за оценка на КН за коментари </w:t>
            </w:r>
            <w:r>
              <w:rPr>
                <w:rFonts w:ascii="Times New Roman" w:eastAsia="Times New Roman" w:hAnsi="Times New Roman" w:cs="Times New Roman"/>
                <w:szCs w:val="24"/>
              </w:rPr>
              <w:t>– 30 юли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Предаване на окончателен доклад за оценката </w:t>
            </w:r>
            <w:r>
              <w:rPr>
                <w:rFonts w:ascii="Times New Roman" w:eastAsia="Times New Roman" w:hAnsi="Times New Roman" w:cs="Times New Roman"/>
                <w:szCs w:val="24"/>
              </w:rPr>
              <w:t>– до одобрение на ПРСР от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pStyle w:val="Heading2"/>
      </w:pPr>
      <w:bookmarkStart w:id="141" w:name="_Toc256000141"/>
      <w:r>
        <w:t>Комуникация</w:t>
      </w:r>
      <w:bookmarkEnd w:id="141"/>
    </w:p>
    <w:p>
      <w:r>
        <w:t>Описание на начина, по който резултатите от оценката ще бъдат разпространени до целевите получатели, включително описание на механизмите, разработени с цел проследяване на начина, по който се използват резултатите от оценката.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9.6. Комуникации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Настоящият раздел се отнася специално за разпространението на информацията относно заключенията от направената оценка, както и описание на механизмите, разработени с цел проследяване на начина, по който ще се използват резултатите от оценката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Канали за разпространение на информацията от оценките: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Национална селска мрежа (НСМ) – на територията на цялата страна, чрез 28-те областни звена на НСМ и Централния офис на територията на гр. София;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Интернет – публикуване на констатациите от оценките на Интернет страницата на МЗХГ и на Интернет страницата на ПРСР (2014-2020), както и на единния информационен портал http://www.eufunds.bg/</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Комитет по наблюдение (КН) – запознаване на членовете на КН – представители на основните заинтересовани страни с изводите и препоръките от оценките;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Икономическите и социални партньори, представени в Комитета по наблюдение, включително Търговско-промишлена палата, представители на гражданското общество, природозащитни организации, неправителствени организации в сферата на равенството и защита срещу дискриминацията и др. Повечето от организациите в КН имат широка членска маса и представляват други организации в тяхната сфера на действие. Използвайки мрежата от свои членовe, те, ще служат, също така, за информационен канал, по който ще се разпространява информацията. По този начин информацията и изводите от оценките ще бъдат разпространени сред широката общественост.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Механизъм, по който ще се използват резултатите от оценката за подобряване на прилагането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КН ще се формират фокус групи с широкото участие на партньорите по конкретни проблемни области, констатирани от оценките, които ще обсъждат резултатите от оценките и ще разработват план за действие за преодоляване на проблемите и подобряване на прилагането на Програмата. На заседанията на КН ще се проследява изпълнението на препоръките от оценката, както и изпълнението на препоръките на КН.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Целеви групи, към които да се насочи информацията/ констатациите от оценките: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Всички заинтересовани страни в областта на развитието на селските райони – бенефициенти на Програмата, широката общественост, потенциални бенефициенти на Програмата, администрация (местна и централна), социално икономическите партньори, неправителствените организации и др.</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pStyle w:val="Heading2"/>
      </w:pPr>
      <w:bookmarkStart w:id="142" w:name="_Toc256000142"/>
      <w:r>
        <w:t>Ресурси</w:t>
      </w:r>
      <w:bookmarkEnd w:id="142"/>
    </w:p>
    <w:p>
      <w:r>
        <w:t>Описание на предвидените ресурсите, необходими за изпълнението на плана, включително информация за потребностите, свързани с административния капацитет, данните, финансовите средства и информационните технологии. Описание на предвидените дейности за изграждане на капацитет, чрез които да се гарантира, че планът за оценка може да бъде изцяло изпълнен.</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9.7.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Човешки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Адекватните човешките ресурси са от решаващо значение за ефективното наблюдение, управление, контрол и оценка. Служителите, отговарящи за наблюдението и оценката, трябва да притежават достатъчно технически и експертни познания.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Планирано е провеждането на обществени поръчки, чийто предмет е свързан с идентифициране на потребностите и в резултат на това – извеждане на предложения за обучения, както и тяхното последващо организиране и провеждане. Обученията ще са за нуждите на персонала, пряко ангажиран с наблюдението, управлението, контрола и оценките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Администрирането на оценките ще се осъществява от отдел „Програмиране и техническа помощ“ в Управляващия орган. За да се постигне необходимото ниво на компетентност и специализация, както и да се гарантира, че необходимият човешки ресурс за координация на оценките на ПРСР е осигурен, ще бъде определен държавен / главен експерт от отдел ПТП в УО, чиито основни функции ще са свързани с координация и подпомагане на процеса по подготовка и реализация на оценките. По сходен начин ще бъде определен и експерт отговорен за мониторинга (включително бюджетиране и индикатори на програмата). Работата на двамата водещи експерти за оценки и мониторинг ще се подпомага от двама старши / младши експерти. В допълнение, участие в оцените и мониторинга ще вземат и останалите служители на отдел „Програмиране и техническа помощ”. Те ще участват в подготовката на техническите задания и в Комисиите за управление и контрол на проектите за изготвяне на оценките.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Изграждането на административен капацитет за оценяване ще се извършва, чрез редовно присъствие и участие в заседанията на Експертния комитет за оценка на Програмите за развитие на селските райони от страна на служителите от УО, както и запознаване с документи (указания, материали, доклади от участниците от УО) от заседанията на Комитета за развитие на селските райони към ЕК. Това е научен урок от програмен период 2007-2013 г., когато представители на УО и РА взеха участие в малка част от проведените заседания на Експертния комитет за оценка. Това доведе до установяване на известни пречки при изграждането на административен капацитет за оценяване, включващи и липса на съществена информация по отношение на оценките на програмите за развитие на селските райони, която е била представяна и обсъждана по време тези заседания. Но най-важния фактор за наличие на необходимия административен капацитет не са мерките за неговото изграждане. От по-голямо значение са мерките за запазване на човешките ресурси, които са носители на необходимия капацитет за изпълнение на плана за оценка. Характерна особеност на всяка компетенция е, че е необходимо дълго време за нейното изграждане. Това се отнася и за компетенциите, свързани с оценки и мониторинг. Следователно, основна цел на УО на ПРСР ще бъде запазване на изградения капацитет за оценки.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Финансови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Планираните оценки ще бъдат финансирани, като дейности по мярка „Техническата помощ“. Планирането на всички дейности по мярка „Техническа помощ се извършва на годишна база. Ежегодно се съставя списък с планираните през годината обществени поръчки с индикативен бюджет за всяка от тях. Всяка оценка от Плана за оценки задължително ще залегне в списъка с предварителни обявления на процедурите за възлагане на обществени поръчки (или рамкови споразумения), които МЗХГ планира да открие през съответната календарна година. По този начин УО гарантира, че за оценките ще има осигурен необходимия финансов ресурс.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ИТ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 се РА, съгласувано с УО, да изгради горепосочения модул за наблюдение, който ще дава възможност да се извежда информация за индикаторите във формата от Плана за индикатори и таблиците за наблюдение към Годишния доклад за изпълнение.</w:t>
            </w:r>
          </w:p>
          <w:p>
            <w:pPr>
              <w:pStyle w:val="BodyText"/>
              <w:jc w:val="both"/>
            </w:pPr>
          </w:p>
        </w:tc>
      </w:tr>
    </w:tbl>
    <w:p>
      <w:pPr>
        <w:sectPr>
          <w:pgMar w:top="900" w:right="900" w:bottom="900" w:left="900" w:header="720" w:footer="720"/>
          <w:cols w:space="720"/>
        </w:sectPr>
      </w:pPr>
    </w:p>
    <w:p>
      <w:pPr>
        <w:pStyle w:val="Heading1"/>
      </w:pPr>
      <w:bookmarkStart w:id="143" w:name="_Toc256000143"/>
      <w:r>
        <w:t>Финансов план</w:t>
      </w:r>
      <w:bookmarkEnd w:id="143"/>
    </w:p>
    <w:p>
      <w:pPr>
        <w:pStyle w:val="Heading2"/>
      </w:pPr>
      <w:r>
        <w:t xml:space="preserve"> </w:t>
      </w:r>
      <w:bookmarkStart w:id="144" w:name="_Toc256000144"/>
      <w:r>
        <w:t>Годишно участие на ЕЗФРСР в (в евро)</w:t>
      </w:r>
      <w:bookmarkEnd w:id="14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200"/>
        <w:gridCol w:w="200"/>
        <w:gridCol w:w="200"/>
        <w:gridCol w:w="200"/>
        <w:gridCol w:w="200"/>
        <w:gridCol w:w="200"/>
        <w:gridCol w:w="200"/>
        <w:gridCol w:w="200"/>
        <w:gridCol w:w="200"/>
        <w:gridCol w:w="200"/>
        <w:gridCol w:w="2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200" w:type="dxa"/>
            <w:shd w:val="clear" w:color="auto" w:fill="C0C0C0"/>
            <w:noWrap w:val="0"/>
            <w:tcMar>
              <w:top w:w="60" w:type="dxa"/>
            </w:tcMar>
            <w:vAlign w:val="top"/>
          </w:tcPr>
          <w:p>
            <w:pPr>
              <w:jc w:val="center"/>
              <w:rPr>
                <w:b/>
                <w:i w:val="0"/>
              </w:rPr>
            </w:pPr>
            <w:r>
              <w:rPr>
                <w:b/>
                <w:i w:val="0"/>
              </w:rPr>
              <w:t>Видове региони и допълнително разпределени средства</w:t>
            </w:r>
          </w:p>
        </w:tc>
        <w:tc>
          <w:tcPr>
            <w:tcW w:w="200" w:type="dxa"/>
            <w:shd w:val="clear" w:color="auto" w:fill="C0C0C0"/>
            <w:noWrap w:val="0"/>
            <w:tcMar>
              <w:top w:w="60" w:type="dxa"/>
            </w:tcMar>
            <w:vAlign w:val="top"/>
          </w:tcPr>
          <w:p>
            <w:pPr>
              <w:jc w:val="center"/>
              <w:rPr>
                <w:b/>
                <w:i w:val="0"/>
              </w:rPr>
            </w:pPr>
            <w:r>
              <w:rPr>
                <w:b/>
                <w:i w:val="0"/>
              </w:rPr>
              <w:t>2014</w:t>
            </w:r>
          </w:p>
        </w:tc>
        <w:tc>
          <w:tcPr>
            <w:tcW w:w="200" w:type="dxa"/>
            <w:shd w:val="clear" w:color="auto" w:fill="C0C0C0"/>
            <w:noWrap w:val="0"/>
            <w:tcMar>
              <w:top w:w="60" w:type="dxa"/>
            </w:tcMar>
            <w:vAlign w:val="top"/>
          </w:tcPr>
          <w:p>
            <w:pPr>
              <w:jc w:val="center"/>
              <w:rPr>
                <w:b/>
                <w:i w:val="0"/>
              </w:rPr>
            </w:pPr>
            <w:r>
              <w:rPr>
                <w:b/>
                <w:i w:val="0"/>
              </w:rPr>
              <w:t>2015</w:t>
            </w:r>
          </w:p>
        </w:tc>
        <w:tc>
          <w:tcPr>
            <w:tcW w:w="200" w:type="dxa"/>
            <w:shd w:val="clear" w:color="auto" w:fill="C0C0C0"/>
            <w:noWrap w:val="0"/>
            <w:tcMar>
              <w:top w:w="60" w:type="dxa"/>
            </w:tcMar>
            <w:vAlign w:val="top"/>
          </w:tcPr>
          <w:p>
            <w:pPr>
              <w:jc w:val="center"/>
              <w:rPr>
                <w:b/>
                <w:i w:val="0"/>
              </w:rPr>
            </w:pPr>
            <w:r>
              <w:rPr>
                <w:b/>
                <w:i w:val="0"/>
              </w:rPr>
              <w:t>2016</w:t>
            </w:r>
          </w:p>
        </w:tc>
        <w:tc>
          <w:tcPr>
            <w:tcW w:w="200" w:type="dxa"/>
            <w:shd w:val="clear" w:color="auto" w:fill="C0C0C0"/>
            <w:noWrap w:val="0"/>
            <w:tcMar>
              <w:top w:w="60" w:type="dxa"/>
            </w:tcMar>
            <w:vAlign w:val="top"/>
          </w:tcPr>
          <w:p>
            <w:pPr>
              <w:jc w:val="center"/>
              <w:rPr>
                <w:b/>
                <w:i w:val="0"/>
              </w:rPr>
            </w:pPr>
            <w:r>
              <w:rPr>
                <w:b/>
                <w:i w:val="0"/>
              </w:rPr>
              <w:t>2017</w:t>
            </w:r>
          </w:p>
        </w:tc>
        <w:tc>
          <w:tcPr>
            <w:tcW w:w="200" w:type="dxa"/>
            <w:shd w:val="clear" w:color="auto" w:fill="C0C0C0"/>
            <w:noWrap w:val="0"/>
            <w:tcMar>
              <w:top w:w="60" w:type="dxa"/>
            </w:tcMar>
            <w:vAlign w:val="top"/>
          </w:tcPr>
          <w:p>
            <w:pPr>
              <w:jc w:val="center"/>
              <w:rPr>
                <w:b/>
                <w:i w:val="0"/>
              </w:rPr>
            </w:pPr>
            <w:r>
              <w:rPr>
                <w:b/>
                <w:i w:val="0"/>
              </w:rPr>
              <w:t>2018</w:t>
            </w:r>
          </w:p>
        </w:tc>
        <w:tc>
          <w:tcPr>
            <w:tcW w:w="200" w:type="dxa"/>
            <w:shd w:val="clear" w:color="auto" w:fill="C0C0C0"/>
            <w:noWrap w:val="0"/>
            <w:tcMar>
              <w:top w:w="60" w:type="dxa"/>
            </w:tcMar>
            <w:vAlign w:val="top"/>
          </w:tcPr>
          <w:p>
            <w:pPr>
              <w:jc w:val="center"/>
              <w:rPr>
                <w:b/>
                <w:i w:val="0"/>
              </w:rPr>
            </w:pPr>
            <w:r>
              <w:rPr>
                <w:b/>
                <w:i w:val="0"/>
              </w:rPr>
              <w:t>2019</w:t>
            </w:r>
          </w:p>
        </w:tc>
        <w:tc>
          <w:tcPr>
            <w:tcW w:w="200" w:type="dxa"/>
            <w:shd w:val="clear" w:color="auto" w:fill="C0C0C0"/>
            <w:noWrap w:val="0"/>
            <w:tcMar>
              <w:top w:w="60" w:type="dxa"/>
            </w:tcMar>
            <w:vAlign w:val="top"/>
          </w:tcPr>
          <w:p>
            <w:pPr>
              <w:jc w:val="center"/>
              <w:rPr>
                <w:b/>
                <w:i w:val="0"/>
              </w:rPr>
            </w:pPr>
            <w:r>
              <w:rPr>
                <w:b/>
                <w:i w:val="0"/>
              </w:rPr>
              <w:t>2020</w:t>
            </w:r>
          </w:p>
        </w:tc>
        <w:tc>
          <w:tcPr>
            <w:tcW w:w="200" w:type="dxa"/>
            <w:shd w:val="clear" w:color="auto" w:fill="C0C0C0"/>
            <w:noWrap w:val="0"/>
            <w:tcMar>
              <w:top w:w="60" w:type="dxa"/>
            </w:tcMar>
            <w:vAlign w:val="top"/>
          </w:tcPr>
          <w:p>
            <w:pPr>
              <w:jc w:val="center"/>
              <w:rPr>
                <w:b/>
                <w:i w:val="0"/>
              </w:rPr>
            </w:pPr>
            <w:r>
              <w:rPr>
                <w:b/>
                <w:i w:val="0"/>
              </w:rPr>
              <w:t>2021</w:t>
            </w:r>
          </w:p>
        </w:tc>
        <w:tc>
          <w:tcPr>
            <w:tcW w:w="200" w:type="dxa"/>
            <w:shd w:val="clear" w:color="auto" w:fill="C0C0C0"/>
            <w:noWrap w:val="0"/>
            <w:tcMar>
              <w:top w:w="60" w:type="dxa"/>
            </w:tcMar>
            <w:vAlign w:val="top"/>
          </w:tcPr>
          <w:p>
            <w:pPr>
              <w:jc w:val="center"/>
              <w:rPr>
                <w:b/>
                <w:i w:val="0"/>
              </w:rPr>
            </w:pPr>
            <w:r>
              <w:rPr>
                <w:b/>
                <w:i w:val="0"/>
              </w:rPr>
              <w:t>2022</w:t>
            </w:r>
          </w:p>
        </w:tc>
        <w:tc>
          <w:tcPr>
            <w:tcW w:w="200" w:type="dxa"/>
            <w:shd w:val="clear" w:color="auto" w:fill="C0C0C0"/>
            <w:noWrap w:val="0"/>
            <w:tcMar>
              <w:top w:w="60" w:type="dxa"/>
            </w:tcMar>
            <w:vAlign w:val="top"/>
          </w:tcPr>
          <w:p>
            <w:pPr>
              <w:jc w:val="center"/>
              <w:rPr>
                <w:b w:val="0"/>
                <w:i w:val="0"/>
              </w:rPr>
            </w:pPr>
            <w:r>
              <w:rPr>
                <w:b/>
                <w:i w:val="0"/>
              </w:rPr>
              <w:t>Total</w:t>
            </w:r>
          </w:p>
        </w:tc>
      </w:tr>
      <w:tr>
        <w:tblPrEx>
          <w:tblW w:w="5000" w:type="pct"/>
          <w:tblCellMar>
            <w:left w:w="108" w:type="dxa"/>
            <w:right w:w="108" w:type="dxa"/>
          </w:tblCellMar>
        </w:tblPrEx>
        <w:tc>
          <w:tcPr>
            <w:tcW w:w="200" w:type="dxa"/>
            <w:shd w:val="clear" w:color="auto" w:fill="FFFFFF"/>
            <w:noWrap w:val="0"/>
            <w:tcMar>
              <w:top w:w="60" w:type="dxa"/>
            </w:tcMar>
            <w:vAlign w:val="top"/>
          </w:tcPr>
          <w:p>
            <w:pPr>
              <w:jc w:val="left"/>
              <w:rPr>
                <w:b w:val="0"/>
                <w:i w:val="0"/>
                <w:sz w:val="16"/>
              </w:rPr>
            </w:pPr>
            <w:r>
              <w:rPr>
                <w:b w:val="0"/>
                <w:i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00" w:type="dxa"/>
            <w:shd w:val="clear" w:color="auto" w:fill="FFFFFF"/>
            <w:noWrap w:val="0"/>
            <w:tcMar>
              <w:top w:w="60" w:type="dxa"/>
            </w:tcMar>
            <w:vAlign w:val="top"/>
          </w:tcPr>
          <w:p>
            <w:pPr>
              <w:jc w:val="right"/>
              <w:rPr>
                <w:b w:val="0"/>
                <w:i w:val="0"/>
                <w:sz w:val="16"/>
              </w:rPr>
            </w:pPr>
            <w:r>
              <w:rPr>
                <w:b w:val="0"/>
                <w:i w:val="0"/>
                <w:sz w:val="16"/>
              </w:rPr>
              <w:t>0,00</w:t>
            </w:r>
          </w:p>
        </w:tc>
        <w:tc>
          <w:tcPr>
            <w:tcW w:w="200" w:type="dxa"/>
            <w:shd w:val="clear" w:color="auto" w:fill="FFFFFF"/>
            <w:noWrap w:val="0"/>
            <w:tcMar>
              <w:top w:w="60" w:type="dxa"/>
            </w:tcMar>
            <w:vAlign w:val="top"/>
          </w:tcPr>
          <w:p>
            <w:pPr>
              <w:jc w:val="right"/>
              <w:rPr>
                <w:b w:val="0"/>
                <w:i w:val="0"/>
                <w:sz w:val="16"/>
              </w:rPr>
            </w:pPr>
            <w:r>
              <w:rPr>
                <w:b w:val="0"/>
                <w:i w:val="0"/>
                <w:sz w:val="16"/>
              </w:rPr>
              <w:t>502 807 341,00</w:t>
            </w:r>
          </w:p>
        </w:tc>
        <w:tc>
          <w:tcPr>
            <w:tcW w:w="200" w:type="dxa"/>
            <w:shd w:val="clear" w:color="auto" w:fill="FFFFFF"/>
            <w:noWrap w:val="0"/>
            <w:tcMar>
              <w:top w:w="60" w:type="dxa"/>
            </w:tcMar>
            <w:vAlign w:val="top"/>
          </w:tcPr>
          <w:p>
            <w:pPr>
              <w:jc w:val="right"/>
              <w:rPr>
                <w:b w:val="0"/>
                <w:i w:val="0"/>
                <w:sz w:val="16"/>
              </w:rPr>
            </w:pPr>
            <w:r>
              <w:rPr>
                <w:b w:val="0"/>
                <w:i w:val="0"/>
                <w:sz w:val="16"/>
              </w:rPr>
              <w:t>502 357 057,00</w:t>
            </w:r>
          </w:p>
        </w:tc>
        <w:tc>
          <w:tcPr>
            <w:tcW w:w="200" w:type="dxa"/>
            <w:shd w:val="clear" w:color="auto" w:fill="FFFFFF"/>
            <w:noWrap w:val="0"/>
            <w:tcMar>
              <w:top w:w="60" w:type="dxa"/>
            </w:tcMar>
            <w:vAlign w:val="top"/>
          </w:tcPr>
          <w:p>
            <w:pPr>
              <w:jc w:val="right"/>
              <w:rPr>
                <w:b w:val="0"/>
                <w:i w:val="0"/>
                <w:sz w:val="16"/>
              </w:rPr>
            </w:pPr>
            <w:r>
              <w:rPr>
                <w:b w:val="0"/>
                <w:i w:val="0"/>
                <w:sz w:val="16"/>
              </w:rPr>
              <w:t>334 147 994,00</w:t>
            </w:r>
          </w:p>
        </w:tc>
        <w:tc>
          <w:tcPr>
            <w:tcW w:w="200" w:type="dxa"/>
            <w:shd w:val="clear" w:color="auto" w:fill="FFFFFF"/>
            <w:noWrap w:val="0"/>
            <w:tcMar>
              <w:top w:w="60" w:type="dxa"/>
            </w:tcMar>
            <w:vAlign w:val="top"/>
          </w:tcPr>
          <w:p>
            <w:pPr>
              <w:jc w:val="right"/>
              <w:rPr>
                <w:b w:val="0"/>
                <w:i w:val="0"/>
                <w:sz w:val="16"/>
              </w:rPr>
            </w:pPr>
            <w:r>
              <w:rPr>
                <w:b w:val="0"/>
                <w:i w:val="0"/>
                <w:sz w:val="16"/>
              </w:rPr>
              <w:t>333 680 052,00</w:t>
            </w:r>
          </w:p>
        </w:tc>
        <w:tc>
          <w:tcPr>
            <w:tcW w:w="200" w:type="dxa"/>
            <w:shd w:val="clear" w:color="auto" w:fill="FFFFFF"/>
            <w:noWrap w:val="0"/>
            <w:tcMar>
              <w:top w:w="60" w:type="dxa"/>
            </w:tcMar>
            <w:vAlign w:val="top"/>
          </w:tcPr>
          <w:p>
            <w:pPr>
              <w:jc w:val="right"/>
              <w:rPr>
                <w:b w:val="0"/>
                <w:i w:val="0"/>
                <w:sz w:val="16"/>
              </w:rPr>
            </w:pPr>
            <w:r>
              <w:rPr>
                <w:b w:val="0"/>
                <w:i w:val="0"/>
                <w:sz w:val="16"/>
              </w:rPr>
              <w:t>333 187 306,00</w:t>
            </w:r>
          </w:p>
        </w:tc>
        <w:tc>
          <w:tcPr>
            <w:tcW w:w="200" w:type="dxa"/>
            <w:shd w:val="clear" w:color="auto" w:fill="FFFFFF"/>
            <w:noWrap w:val="0"/>
            <w:tcMar>
              <w:top w:w="60" w:type="dxa"/>
            </w:tcMar>
            <w:vAlign w:val="top"/>
          </w:tcPr>
          <w:p>
            <w:pPr>
              <w:jc w:val="right"/>
              <w:rPr>
                <w:b w:val="0"/>
                <w:i w:val="0"/>
                <w:sz w:val="16"/>
              </w:rPr>
            </w:pPr>
            <w:r>
              <w:rPr>
                <w:b w:val="0"/>
                <w:i w:val="0"/>
                <w:sz w:val="16"/>
              </w:rPr>
              <w:t>332 604 216,00</w:t>
            </w:r>
          </w:p>
        </w:tc>
        <w:tc>
          <w:tcPr>
            <w:tcW w:w="200" w:type="dxa"/>
            <w:shd w:val="clear" w:color="auto" w:fill="FFFFFF"/>
            <w:noWrap w:val="0"/>
            <w:tcMar>
              <w:top w:w="60" w:type="dxa"/>
            </w:tcMar>
            <w:vAlign w:val="top"/>
          </w:tcPr>
          <w:p>
            <w:pPr>
              <w:jc w:val="right"/>
              <w:rPr>
                <w:b w:val="0"/>
                <w:i w:val="0"/>
                <w:sz w:val="16"/>
              </w:rPr>
            </w:pPr>
            <w:r>
              <w:rPr>
                <w:b w:val="0"/>
                <w:i w:val="0"/>
                <w:sz w:val="16"/>
              </w:rPr>
              <w:t>261 989 408,99</w:t>
            </w:r>
          </w:p>
        </w:tc>
        <w:tc>
          <w:tcPr>
            <w:tcW w:w="200" w:type="dxa"/>
            <w:shd w:val="clear" w:color="auto" w:fill="FFFFFF"/>
            <w:noWrap w:val="0"/>
            <w:tcMar>
              <w:top w:w="60" w:type="dxa"/>
            </w:tcMar>
            <w:vAlign w:val="top"/>
          </w:tcPr>
          <w:p>
            <w:pPr>
              <w:jc w:val="right"/>
              <w:rPr>
                <w:b/>
                <w:i w:val="0"/>
                <w:sz w:val="16"/>
              </w:rPr>
            </w:pPr>
            <w:r>
              <w:rPr>
                <w:b w:val="0"/>
                <w:i w:val="0"/>
                <w:sz w:val="16"/>
              </w:rPr>
              <w:t>282 162 644,00</w:t>
            </w:r>
          </w:p>
        </w:tc>
        <w:tc>
          <w:tcPr>
            <w:tcW w:w="200" w:type="dxa"/>
            <w:shd w:val="clear" w:color="auto" w:fill="FFFFFF"/>
            <w:noWrap w:val="0"/>
            <w:tcMar>
              <w:top w:w="60" w:type="dxa"/>
            </w:tcMar>
            <w:vAlign w:val="top"/>
          </w:tcPr>
          <w:p>
            <w:pPr>
              <w:jc w:val="right"/>
              <w:rPr>
                <w:b w:val="0"/>
                <w:i w:val="0"/>
                <w:sz w:val="16"/>
              </w:rPr>
            </w:pPr>
            <w:r>
              <w:rPr>
                <w:b/>
                <w:i w:val="0"/>
                <w:sz w:val="16"/>
              </w:rPr>
              <w:t>2 882 936 018,99</w:t>
            </w:r>
          </w:p>
        </w:tc>
      </w:tr>
      <w:tr>
        <w:tblPrEx>
          <w:tblW w:w="5000" w:type="pct"/>
          <w:tblCellMar>
            <w:left w:w="108" w:type="dxa"/>
            <w:right w:w="108" w:type="dxa"/>
          </w:tblCellMar>
        </w:tblPrEx>
        <w:tc>
          <w:tcPr>
            <w:tcW w:w="200" w:type="dxa"/>
            <w:shd w:val="clear" w:color="auto" w:fill="FFFFFF"/>
            <w:noWrap w:val="0"/>
            <w:tcMar>
              <w:top w:w="60" w:type="dxa"/>
            </w:tcMar>
            <w:vAlign w:val="top"/>
          </w:tcPr>
          <w:p>
            <w:pPr>
              <w:jc w:val="left"/>
              <w:rPr>
                <w:b w:val="0"/>
                <w:i w:val="0"/>
                <w:sz w:val="16"/>
              </w:rPr>
            </w:pPr>
            <w:r>
              <w:rPr>
                <w:b w:val="0"/>
                <w:i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00" w:type="dxa"/>
            <w:shd w:val="clear" w:color="auto" w:fill="FFFFFF"/>
            <w:noWrap w:val="0"/>
            <w:tcMar>
              <w:top w:w="60" w:type="dxa"/>
            </w:tcMar>
            <w:vAlign w:val="top"/>
          </w:tcPr>
          <w:p>
            <w:pPr>
              <w:jc w:val="right"/>
              <w:rPr>
                <w:b w:val="0"/>
                <w:i w:val="0"/>
                <w:sz w:val="16"/>
              </w:rPr>
            </w:pPr>
            <w:r>
              <w:rPr>
                <w:b w:val="0"/>
                <w:i w:val="0"/>
                <w:sz w:val="16"/>
              </w:rPr>
              <w:t>0,00</w:t>
            </w:r>
          </w:p>
        </w:tc>
        <w:tc>
          <w:tcPr>
            <w:tcW w:w="200" w:type="dxa"/>
            <w:shd w:val="clear" w:color="auto" w:fill="FFFFFF"/>
            <w:noWrap w:val="0"/>
            <w:tcMar>
              <w:top w:w="60" w:type="dxa"/>
            </w:tcMar>
            <w:vAlign w:val="top"/>
          </w:tcPr>
          <w:p>
            <w:pPr>
              <w:jc w:val="right"/>
              <w:rPr>
                <w:b w:val="0"/>
                <w:i w:val="0"/>
                <w:sz w:val="16"/>
              </w:rPr>
            </w:pPr>
            <w:r>
              <w:rPr>
                <w:b w:val="0"/>
                <w:i w:val="0"/>
                <w:sz w:val="16"/>
              </w:rPr>
              <w:t>0,00</w:t>
            </w:r>
          </w:p>
        </w:tc>
        <w:tc>
          <w:tcPr>
            <w:tcW w:w="200" w:type="dxa"/>
            <w:shd w:val="clear" w:color="auto" w:fill="FFFFFF"/>
            <w:noWrap w:val="0"/>
            <w:tcMar>
              <w:top w:w="60" w:type="dxa"/>
            </w:tcMar>
            <w:vAlign w:val="top"/>
          </w:tcPr>
          <w:p>
            <w:pPr>
              <w:jc w:val="right"/>
              <w:rPr>
                <w:b w:val="0"/>
                <w:i w:val="0"/>
                <w:sz w:val="16"/>
              </w:rPr>
            </w:pPr>
            <w:r>
              <w:rPr>
                <w:b w:val="0"/>
                <w:i w:val="0"/>
                <w:sz w:val="16"/>
              </w:rPr>
              <w:t>2 663 000,00</w:t>
            </w:r>
          </w:p>
        </w:tc>
        <w:tc>
          <w:tcPr>
            <w:tcW w:w="200" w:type="dxa"/>
            <w:shd w:val="clear" w:color="auto" w:fill="FFFFFF"/>
            <w:noWrap w:val="0"/>
            <w:tcMar>
              <w:top w:w="60" w:type="dxa"/>
            </w:tcMar>
            <w:vAlign w:val="top"/>
          </w:tcPr>
          <w:p>
            <w:pPr>
              <w:jc w:val="right"/>
              <w:rPr>
                <w:b w:val="0"/>
                <w:i w:val="0"/>
                <w:sz w:val="16"/>
              </w:rPr>
            </w:pPr>
            <w:r>
              <w:rPr>
                <w:b w:val="0"/>
                <w:i w:val="0"/>
                <w:sz w:val="16"/>
              </w:rPr>
              <w:t>6 262 000,00</w:t>
            </w:r>
          </w:p>
        </w:tc>
        <w:tc>
          <w:tcPr>
            <w:tcW w:w="200" w:type="dxa"/>
            <w:shd w:val="clear" w:color="auto" w:fill="FFFFFF"/>
            <w:noWrap w:val="0"/>
            <w:tcMar>
              <w:top w:w="60" w:type="dxa"/>
            </w:tcMar>
            <w:vAlign w:val="top"/>
          </w:tcPr>
          <w:p>
            <w:pPr>
              <w:jc w:val="right"/>
              <w:rPr>
                <w:b w:val="0"/>
                <w:i w:val="0"/>
                <w:sz w:val="16"/>
              </w:rPr>
            </w:pPr>
            <w:r>
              <w:rPr>
                <w:b w:val="0"/>
                <w:i w:val="0"/>
                <w:sz w:val="16"/>
              </w:rPr>
              <w:t>6 286 000,00</w:t>
            </w:r>
          </w:p>
        </w:tc>
        <w:tc>
          <w:tcPr>
            <w:tcW w:w="200" w:type="dxa"/>
            <w:shd w:val="clear" w:color="auto" w:fill="FFFFFF"/>
            <w:noWrap w:val="0"/>
            <w:tcMar>
              <w:top w:w="60" w:type="dxa"/>
            </w:tcMar>
            <w:vAlign w:val="top"/>
          </w:tcPr>
          <w:p>
            <w:pPr>
              <w:jc w:val="right"/>
              <w:rPr>
                <w:b w:val="0"/>
                <w:i w:val="0"/>
                <w:sz w:val="16"/>
              </w:rPr>
            </w:pPr>
            <w:r>
              <w:rPr>
                <w:b w:val="0"/>
                <w:i w:val="0"/>
                <w:sz w:val="16"/>
              </w:rPr>
              <w:t>6 336 000,00</w:t>
            </w:r>
          </w:p>
        </w:tc>
        <w:tc>
          <w:tcPr>
            <w:tcW w:w="200" w:type="dxa"/>
            <w:shd w:val="clear" w:color="auto" w:fill="FFFFFF"/>
            <w:noWrap w:val="0"/>
            <w:tcMar>
              <w:top w:w="60" w:type="dxa"/>
            </w:tcMar>
            <w:vAlign w:val="top"/>
          </w:tcPr>
          <w:p>
            <w:pPr>
              <w:jc w:val="right"/>
              <w:rPr>
                <w:b w:val="0"/>
                <w:i w:val="0"/>
                <w:sz w:val="16"/>
              </w:rPr>
            </w:pPr>
            <w:r>
              <w:rPr>
                <w:b w:val="0"/>
                <w:i w:val="0"/>
                <w:sz w:val="16"/>
              </w:rPr>
              <w:t>6 386 000,00</w:t>
            </w:r>
          </w:p>
        </w:tc>
        <w:tc>
          <w:tcPr>
            <w:tcW w:w="200" w:type="dxa"/>
            <w:shd w:val="clear" w:color="auto" w:fill="FFFFFF"/>
            <w:noWrap w:val="0"/>
            <w:tcMar>
              <w:top w:w="60" w:type="dxa"/>
            </w:tcMar>
            <w:vAlign w:val="top"/>
          </w:tcPr>
          <w:p>
            <w:pPr>
              <w:jc w:val="right"/>
              <w:rPr>
                <w:b w:val="0"/>
                <w:i w:val="0"/>
                <w:sz w:val="16"/>
              </w:rPr>
            </w:pPr>
            <w:r>
              <w:rPr>
                <w:b w:val="0"/>
                <w:i w:val="0"/>
                <w:sz w:val="16"/>
              </w:rPr>
              <w:t>0,00</w:t>
            </w:r>
          </w:p>
        </w:tc>
        <w:tc>
          <w:tcPr>
            <w:tcW w:w="200" w:type="dxa"/>
            <w:shd w:val="clear" w:color="auto" w:fill="FFFFFF"/>
            <w:noWrap w:val="0"/>
            <w:tcMar>
              <w:top w:w="60" w:type="dxa"/>
            </w:tcMar>
            <w:vAlign w:val="top"/>
          </w:tcPr>
          <w:p>
            <w:pPr>
              <w:jc w:val="right"/>
              <w:rPr>
                <w:b/>
                <w:i w:val="0"/>
                <w:sz w:val="16"/>
              </w:rPr>
            </w:pPr>
            <w:r>
              <w:rPr>
                <w:b w:val="0"/>
                <w:i w:val="0"/>
                <w:sz w:val="16"/>
              </w:rPr>
              <w:t>1 866 000,00</w:t>
            </w:r>
          </w:p>
        </w:tc>
        <w:tc>
          <w:tcPr>
            <w:tcW w:w="200" w:type="dxa"/>
            <w:shd w:val="clear" w:color="auto" w:fill="FFFFFF"/>
            <w:noWrap w:val="0"/>
            <w:tcMar>
              <w:top w:w="60" w:type="dxa"/>
            </w:tcMar>
            <w:vAlign w:val="top"/>
          </w:tcPr>
          <w:p>
            <w:pPr>
              <w:jc w:val="right"/>
              <w:rPr>
                <w:b/>
                <w:i w:val="0"/>
                <w:sz w:val="16"/>
              </w:rPr>
            </w:pPr>
            <w:r>
              <w:rPr>
                <w:b/>
                <w:i w:val="0"/>
                <w:sz w:val="16"/>
              </w:rPr>
              <w:t>29 799 000,00</w:t>
            </w:r>
          </w:p>
        </w:tc>
      </w:tr>
      <w:tr>
        <w:tblPrEx>
          <w:tblW w:w="5000" w:type="pct"/>
          <w:tblCellMar>
            <w:left w:w="108" w:type="dxa"/>
            <w:right w:w="108" w:type="dxa"/>
          </w:tblCellMar>
        </w:tblPrEx>
        <w:tc>
          <w:tcPr>
            <w:tcW w:w="200" w:type="dxa"/>
            <w:shd w:val="clear" w:color="auto" w:fill="C0C0C0"/>
            <w:noWrap w:val="0"/>
            <w:tcMar>
              <w:top w:w="60" w:type="dxa"/>
            </w:tcMar>
            <w:vAlign w:val="top"/>
          </w:tcPr>
          <w:p>
            <w:pPr>
              <w:jc w:val="left"/>
              <w:rPr>
                <w:b/>
                <w:i w:val="0"/>
                <w:sz w:val="16"/>
              </w:rPr>
            </w:pPr>
            <w:r>
              <w:rPr>
                <w:b/>
                <w:i w:val="0"/>
                <w:sz w:val="16"/>
              </w:rPr>
              <w:t>Общо средства по линия на ЕЗФРСР (без тези по линия на EURI)</w:t>
            </w:r>
          </w:p>
        </w:tc>
        <w:tc>
          <w:tcPr>
            <w:tcW w:w="200" w:type="dxa"/>
            <w:shd w:val="clear" w:color="auto" w:fill="C0C0C0"/>
            <w:noWrap w:val="0"/>
            <w:tcMar>
              <w:top w:w="60" w:type="dxa"/>
            </w:tcMar>
            <w:vAlign w:val="top"/>
          </w:tcPr>
          <w:p>
            <w:pPr>
              <w:jc w:val="right"/>
              <w:rPr>
                <w:b/>
                <w:i w:val="0"/>
                <w:sz w:val="16"/>
              </w:rPr>
            </w:pPr>
            <w:r>
              <w:rPr>
                <w:b/>
                <w:i w:val="0"/>
                <w:sz w:val="16"/>
              </w:rPr>
              <w:t>0,00</w:t>
            </w:r>
          </w:p>
        </w:tc>
        <w:tc>
          <w:tcPr>
            <w:tcW w:w="200" w:type="dxa"/>
            <w:shd w:val="clear" w:color="auto" w:fill="C0C0C0"/>
            <w:noWrap w:val="0"/>
            <w:tcMar>
              <w:top w:w="60" w:type="dxa"/>
            </w:tcMar>
            <w:vAlign w:val="top"/>
          </w:tcPr>
          <w:p>
            <w:pPr>
              <w:jc w:val="right"/>
              <w:rPr>
                <w:b/>
                <w:i w:val="0"/>
                <w:sz w:val="16"/>
              </w:rPr>
            </w:pPr>
            <w:r>
              <w:rPr>
                <w:b/>
                <w:i w:val="0"/>
                <w:sz w:val="16"/>
              </w:rPr>
              <w:t>502 807 341,00</w:t>
            </w:r>
          </w:p>
        </w:tc>
        <w:tc>
          <w:tcPr>
            <w:tcW w:w="200" w:type="dxa"/>
            <w:shd w:val="clear" w:color="auto" w:fill="C0C0C0"/>
            <w:noWrap w:val="0"/>
            <w:tcMar>
              <w:top w:w="60" w:type="dxa"/>
            </w:tcMar>
            <w:vAlign w:val="top"/>
          </w:tcPr>
          <w:p>
            <w:pPr>
              <w:jc w:val="right"/>
              <w:rPr>
                <w:b/>
                <w:i w:val="0"/>
                <w:sz w:val="16"/>
              </w:rPr>
            </w:pPr>
            <w:r>
              <w:rPr>
                <w:b/>
                <w:i w:val="0"/>
                <w:sz w:val="16"/>
              </w:rPr>
              <w:t>505 020 057,00</w:t>
            </w:r>
          </w:p>
        </w:tc>
        <w:tc>
          <w:tcPr>
            <w:tcW w:w="200" w:type="dxa"/>
            <w:shd w:val="clear" w:color="auto" w:fill="C0C0C0"/>
            <w:noWrap w:val="0"/>
            <w:tcMar>
              <w:top w:w="60" w:type="dxa"/>
            </w:tcMar>
            <w:vAlign w:val="top"/>
          </w:tcPr>
          <w:p>
            <w:pPr>
              <w:jc w:val="right"/>
              <w:rPr>
                <w:b/>
                <w:i w:val="0"/>
                <w:sz w:val="16"/>
              </w:rPr>
            </w:pPr>
            <w:r>
              <w:rPr>
                <w:b/>
                <w:i w:val="0"/>
                <w:sz w:val="16"/>
              </w:rPr>
              <w:t>340 409 994,00</w:t>
            </w:r>
          </w:p>
        </w:tc>
        <w:tc>
          <w:tcPr>
            <w:tcW w:w="200" w:type="dxa"/>
            <w:shd w:val="clear" w:color="auto" w:fill="C0C0C0"/>
            <w:noWrap w:val="0"/>
            <w:tcMar>
              <w:top w:w="60" w:type="dxa"/>
            </w:tcMar>
            <w:vAlign w:val="top"/>
          </w:tcPr>
          <w:p>
            <w:pPr>
              <w:jc w:val="right"/>
              <w:rPr>
                <w:b/>
                <w:i w:val="0"/>
                <w:sz w:val="16"/>
              </w:rPr>
            </w:pPr>
            <w:r>
              <w:rPr>
                <w:b/>
                <w:i w:val="0"/>
                <w:sz w:val="16"/>
              </w:rPr>
              <w:t>339 966 052,00</w:t>
            </w:r>
          </w:p>
        </w:tc>
        <w:tc>
          <w:tcPr>
            <w:tcW w:w="200" w:type="dxa"/>
            <w:shd w:val="clear" w:color="auto" w:fill="C0C0C0"/>
            <w:noWrap w:val="0"/>
            <w:tcMar>
              <w:top w:w="60" w:type="dxa"/>
            </w:tcMar>
            <w:vAlign w:val="top"/>
          </w:tcPr>
          <w:p>
            <w:pPr>
              <w:jc w:val="right"/>
              <w:rPr>
                <w:b/>
                <w:i w:val="0"/>
                <w:sz w:val="16"/>
              </w:rPr>
            </w:pPr>
            <w:r>
              <w:rPr>
                <w:b/>
                <w:i w:val="0"/>
                <w:sz w:val="16"/>
              </w:rPr>
              <w:t>339 523 306,00</w:t>
            </w:r>
          </w:p>
        </w:tc>
        <w:tc>
          <w:tcPr>
            <w:tcW w:w="200" w:type="dxa"/>
            <w:shd w:val="clear" w:color="auto" w:fill="C0C0C0"/>
            <w:noWrap w:val="0"/>
            <w:tcMar>
              <w:top w:w="60" w:type="dxa"/>
            </w:tcMar>
            <w:vAlign w:val="top"/>
          </w:tcPr>
          <w:p>
            <w:pPr>
              <w:jc w:val="right"/>
              <w:rPr>
                <w:b/>
                <w:i w:val="0"/>
                <w:sz w:val="16"/>
              </w:rPr>
            </w:pPr>
            <w:r>
              <w:rPr>
                <w:b/>
                <w:i w:val="0"/>
                <w:sz w:val="16"/>
              </w:rPr>
              <w:t>338 990 216,00</w:t>
            </w:r>
          </w:p>
        </w:tc>
        <w:tc>
          <w:tcPr>
            <w:tcW w:w="200" w:type="dxa"/>
            <w:shd w:val="clear" w:color="auto" w:fill="C0C0C0"/>
            <w:noWrap w:val="0"/>
            <w:tcMar>
              <w:top w:w="60" w:type="dxa"/>
            </w:tcMar>
            <w:vAlign w:val="top"/>
          </w:tcPr>
          <w:p>
            <w:pPr>
              <w:jc w:val="right"/>
              <w:rPr>
                <w:b/>
                <w:i w:val="0"/>
                <w:sz w:val="16"/>
              </w:rPr>
            </w:pPr>
            <w:r>
              <w:rPr>
                <w:b/>
                <w:i w:val="0"/>
                <w:sz w:val="16"/>
              </w:rPr>
              <w:t>261 989 408,99</w:t>
            </w:r>
          </w:p>
        </w:tc>
        <w:tc>
          <w:tcPr>
            <w:tcW w:w="200" w:type="dxa"/>
            <w:shd w:val="clear" w:color="auto" w:fill="C0C0C0"/>
            <w:noWrap w:val="0"/>
            <w:tcMar>
              <w:top w:w="60" w:type="dxa"/>
            </w:tcMar>
            <w:vAlign w:val="top"/>
          </w:tcPr>
          <w:p>
            <w:pPr>
              <w:jc w:val="right"/>
              <w:rPr>
                <w:b/>
                <w:i w:val="0"/>
                <w:sz w:val="16"/>
              </w:rPr>
            </w:pPr>
            <w:r>
              <w:rPr>
                <w:b/>
                <w:i w:val="0"/>
                <w:sz w:val="16"/>
              </w:rPr>
              <w:t>284 028 644,00</w:t>
            </w:r>
          </w:p>
        </w:tc>
        <w:tc>
          <w:tcPr>
            <w:tcW w:w="200" w:type="dxa"/>
            <w:shd w:val="clear" w:color="auto" w:fill="C0C0C0"/>
            <w:noWrap w:val="0"/>
            <w:tcMar>
              <w:top w:w="60" w:type="dxa"/>
            </w:tcMar>
            <w:vAlign w:val="top"/>
          </w:tcPr>
          <w:p>
            <w:pPr>
              <w:jc w:val="right"/>
              <w:rPr>
                <w:b/>
                <w:i w:val="0"/>
                <w:sz w:val="16"/>
              </w:rPr>
            </w:pPr>
            <w:r>
              <w:rPr>
                <w:b/>
                <w:i w:val="0"/>
                <w:sz w:val="16"/>
              </w:rPr>
              <w:t>2 912 735 018,99</w:t>
            </w:r>
          </w:p>
        </w:tc>
      </w:tr>
      <w:tr>
        <w:tblPrEx>
          <w:tblW w:w="5000" w:type="pct"/>
          <w:tblCellMar>
            <w:left w:w="108" w:type="dxa"/>
            <w:right w:w="108" w:type="dxa"/>
          </w:tblCellMar>
        </w:tblPrEx>
        <w:tc>
          <w:tcPr>
            <w:tcW w:w="200" w:type="dxa"/>
            <w:shd w:val="clear" w:color="auto" w:fill="FFFFFF"/>
            <w:noWrap w:val="0"/>
            <w:tcMar>
              <w:top w:w="60" w:type="dxa"/>
            </w:tcMar>
            <w:vAlign w:val="top"/>
          </w:tcPr>
          <w:p>
            <w:pPr>
              <w:jc w:val="left"/>
              <w:rPr>
                <w:b/>
                <w:i w:val="0"/>
                <w:sz w:val="16"/>
              </w:rPr>
            </w:pPr>
            <w:r>
              <w:rPr>
                <w:b/>
                <w:i w:val="0"/>
                <w:sz w:val="16"/>
              </w:rPr>
              <w:t>От които резерв за изпълнението (член 20 от Регламент (ЕС) № 1303/2013)</w:t>
            </w:r>
          </w:p>
        </w:tc>
        <w:tc>
          <w:tcPr>
            <w:tcW w:w="200" w:type="dxa"/>
            <w:shd w:val="clear" w:color="auto" w:fill="FFFFFF"/>
            <w:noWrap w:val="0"/>
            <w:tcMar>
              <w:top w:w="60" w:type="dxa"/>
            </w:tcMar>
            <w:vAlign w:val="top"/>
          </w:tcPr>
          <w:p>
            <w:pPr>
              <w:jc w:val="right"/>
              <w:rPr>
                <w:b/>
                <w:i w:val="0"/>
                <w:sz w:val="16"/>
              </w:rPr>
            </w:pPr>
            <w:r>
              <w:rPr>
                <w:b/>
                <w:i w:val="0"/>
                <w:sz w:val="16"/>
              </w:rPr>
              <w:t>0,00</w:t>
            </w:r>
          </w:p>
        </w:tc>
        <w:tc>
          <w:tcPr>
            <w:tcW w:w="200" w:type="dxa"/>
            <w:shd w:val="clear" w:color="auto" w:fill="FFFFFF"/>
            <w:noWrap w:val="0"/>
            <w:tcMar>
              <w:top w:w="60" w:type="dxa"/>
            </w:tcMar>
            <w:vAlign w:val="top"/>
          </w:tcPr>
          <w:p>
            <w:pPr>
              <w:jc w:val="right"/>
              <w:rPr>
                <w:b/>
                <w:i w:val="0"/>
                <w:sz w:val="16"/>
              </w:rPr>
            </w:pPr>
            <w:r>
              <w:rPr>
                <w:b/>
                <w:i w:val="0"/>
                <w:sz w:val="16"/>
              </w:rPr>
              <w:t>30 168 440,46</w:t>
            </w:r>
          </w:p>
        </w:tc>
        <w:tc>
          <w:tcPr>
            <w:tcW w:w="200" w:type="dxa"/>
            <w:shd w:val="clear" w:color="auto" w:fill="FFFFFF"/>
            <w:noWrap w:val="0"/>
            <w:tcMar>
              <w:top w:w="60" w:type="dxa"/>
            </w:tcMar>
            <w:vAlign w:val="top"/>
          </w:tcPr>
          <w:p>
            <w:pPr>
              <w:jc w:val="right"/>
              <w:rPr>
                <w:b/>
                <w:i w:val="0"/>
                <w:sz w:val="16"/>
              </w:rPr>
            </w:pPr>
            <w:r>
              <w:rPr>
                <w:b/>
                <w:i w:val="0"/>
                <w:sz w:val="16"/>
              </w:rPr>
              <w:t>30 141 423,42</w:t>
            </w:r>
          </w:p>
        </w:tc>
        <w:tc>
          <w:tcPr>
            <w:tcW w:w="200" w:type="dxa"/>
            <w:shd w:val="clear" w:color="auto" w:fill="FFFFFF"/>
            <w:noWrap w:val="0"/>
            <w:tcMar>
              <w:top w:w="60" w:type="dxa"/>
            </w:tcMar>
            <w:vAlign w:val="top"/>
          </w:tcPr>
          <w:p>
            <w:pPr>
              <w:jc w:val="right"/>
              <w:rPr>
                <w:b/>
                <w:i w:val="0"/>
                <w:sz w:val="16"/>
              </w:rPr>
            </w:pPr>
            <w:r>
              <w:rPr>
                <w:b/>
                <w:i w:val="0"/>
                <w:sz w:val="16"/>
              </w:rPr>
              <w:t>20 048 879,64</w:t>
            </w:r>
          </w:p>
        </w:tc>
        <w:tc>
          <w:tcPr>
            <w:tcW w:w="200" w:type="dxa"/>
            <w:shd w:val="clear" w:color="auto" w:fill="FFFFFF"/>
            <w:noWrap w:val="0"/>
            <w:tcMar>
              <w:top w:w="60" w:type="dxa"/>
            </w:tcMar>
            <w:vAlign w:val="top"/>
          </w:tcPr>
          <w:p>
            <w:pPr>
              <w:jc w:val="right"/>
              <w:rPr>
                <w:b/>
                <w:i w:val="0"/>
                <w:sz w:val="16"/>
              </w:rPr>
            </w:pPr>
            <w:r>
              <w:rPr>
                <w:b/>
                <w:i w:val="0"/>
                <w:sz w:val="16"/>
              </w:rPr>
              <w:t>20 020 803,12</w:t>
            </w:r>
          </w:p>
        </w:tc>
        <w:tc>
          <w:tcPr>
            <w:tcW w:w="200" w:type="dxa"/>
            <w:shd w:val="clear" w:color="auto" w:fill="FFFFFF"/>
            <w:noWrap w:val="0"/>
            <w:tcMar>
              <w:top w:w="60" w:type="dxa"/>
            </w:tcMar>
            <w:vAlign w:val="top"/>
          </w:tcPr>
          <w:p>
            <w:pPr>
              <w:jc w:val="right"/>
              <w:rPr>
                <w:b/>
                <w:i w:val="0"/>
                <w:sz w:val="16"/>
              </w:rPr>
            </w:pPr>
            <w:r>
              <w:rPr>
                <w:b/>
                <w:i w:val="0"/>
                <w:sz w:val="16"/>
              </w:rPr>
              <w:t>19 991 238,36</w:t>
            </w:r>
          </w:p>
        </w:tc>
        <w:tc>
          <w:tcPr>
            <w:tcW w:w="200" w:type="dxa"/>
            <w:shd w:val="clear" w:color="auto" w:fill="FFFFFF"/>
            <w:noWrap w:val="0"/>
            <w:tcMar>
              <w:top w:w="60" w:type="dxa"/>
            </w:tcMar>
            <w:vAlign w:val="top"/>
          </w:tcPr>
          <w:p>
            <w:pPr>
              <w:jc w:val="right"/>
              <w:rPr>
                <w:b/>
                <w:i w:val="0"/>
                <w:sz w:val="16"/>
              </w:rPr>
            </w:pPr>
            <w:r>
              <w:rPr>
                <w:b/>
                <w:i w:val="0"/>
                <w:sz w:val="16"/>
              </w:rPr>
              <w:t>19 956 252,96</w:t>
            </w:r>
          </w:p>
        </w:tc>
        <w:tc>
          <w:tcPr>
            <w:tcW w:w="200" w:type="dxa"/>
            <w:shd w:val="clear" w:color="auto" w:fill="FFFFFF"/>
            <w:noWrap w:val="0"/>
            <w:tcMar>
              <w:top w:w="60" w:type="dxa"/>
            </w:tcMar>
            <w:vAlign w:val="top"/>
          </w:tcPr>
          <w:p>
            <w:pPr>
              <w:jc w:val="right"/>
              <w:rPr>
                <w:b/>
                <w:i w:val="0"/>
                <w:sz w:val="16"/>
              </w:rPr>
            </w:pPr>
            <w:r>
              <w:rPr>
                <w:b/>
                <w:i w:val="0"/>
                <w:sz w:val="16"/>
              </w:rPr>
              <w:t>0,00</w:t>
            </w:r>
          </w:p>
        </w:tc>
        <w:tc>
          <w:tcPr>
            <w:tcW w:w="200" w:type="dxa"/>
            <w:shd w:val="clear" w:color="auto" w:fill="FFFFFF"/>
            <w:noWrap w:val="0"/>
            <w:tcMar>
              <w:top w:w="60" w:type="dxa"/>
            </w:tcMar>
            <w:vAlign w:val="top"/>
          </w:tcPr>
          <w:p>
            <w:pPr>
              <w:jc w:val="right"/>
              <w:rPr>
                <w:b/>
                <w:i w:val="0"/>
                <w:sz w:val="16"/>
              </w:rPr>
            </w:pPr>
            <w:r>
              <w:rPr>
                <w:b/>
                <w:i w:val="0"/>
                <w:sz w:val="16"/>
              </w:rPr>
              <w:t>0,00</w:t>
            </w:r>
          </w:p>
        </w:tc>
        <w:tc>
          <w:tcPr>
            <w:tcW w:w="200" w:type="dxa"/>
            <w:shd w:val="clear" w:color="auto" w:fill="FFFFFF"/>
            <w:noWrap w:val="0"/>
            <w:tcMar>
              <w:top w:w="60" w:type="dxa"/>
            </w:tcMar>
            <w:vAlign w:val="top"/>
          </w:tcPr>
          <w:p>
            <w:pPr>
              <w:jc w:val="right"/>
              <w:rPr>
                <w:b w:val="0"/>
                <w:i w:val="0"/>
                <w:sz w:val="16"/>
              </w:rPr>
            </w:pPr>
            <w:r>
              <w:rPr>
                <w:b/>
                <w:i w:val="0"/>
                <w:sz w:val="16"/>
              </w:rPr>
              <w:t>140 327 037,96</w:t>
            </w:r>
          </w:p>
        </w:tc>
      </w:tr>
      <w:tr>
        <w:tblPrEx>
          <w:tblW w:w="5000" w:type="pct"/>
          <w:tblCellMar>
            <w:left w:w="108" w:type="dxa"/>
            <w:right w:w="108" w:type="dxa"/>
          </w:tblCellMar>
        </w:tblPrEx>
        <w:tc>
          <w:tcPr>
            <w:tcW w:w="200" w:type="dxa"/>
            <w:shd w:val="clear" w:color="auto" w:fill="FFFFFF"/>
            <w:noWrap w:val="0"/>
            <w:tcMar>
              <w:top w:w="60" w:type="dxa"/>
            </w:tcMar>
            <w:vAlign w:val="top"/>
          </w:tcPr>
          <w:p>
            <w:pPr>
              <w:jc w:val="left"/>
              <w:rPr>
                <w:b w:val="0"/>
                <w:i w:val="0"/>
                <w:sz w:val="16"/>
              </w:rPr>
            </w:pPr>
            <w:r>
              <w:rPr>
                <w:b w:val="0"/>
                <w:i w:val="0"/>
                <w:sz w:val="16"/>
              </w:rPr>
              <w:t>Член 59, параграф 4, буква да) от Регламент (ЕС) № 1305/2013 - EURI(NGEU)/Операции, финансирани от допълнителните средства, посочени в член 58а, параграф 1</w:t>
            </w:r>
          </w:p>
        </w:tc>
        <w:tc>
          <w:tcPr>
            <w:tcW w:w="200" w:type="dxa"/>
            <w:shd w:val="clear" w:color="auto" w:fill="FFFFFF"/>
            <w:noWrap w:val="0"/>
            <w:tcMar>
              <w:top w:w="60" w:type="dxa"/>
            </w:tcMar>
            <w:vAlign w:val="top"/>
          </w:tcPr>
          <w:p>
            <w:pPr>
              <w:jc w:val="right"/>
              <w:rPr>
                <w:b w:val="0"/>
                <w:i w:val="0"/>
                <w:sz w:val="16"/>
              </w:rPr>
            </w:pPr>
          </w:p>
        </w:tc>
        <w:tc>
          <w:tcPr>
            <w:tcW w:w="200" w:type="dxa"/>
            <w:shd w:val="clear" w:color="auto" w:fill="FFFFFF"/>
            <w:noWrap w:val="0"/>
            <w:tcMar>
              <w:top w:w="60" w:type="dxa"/>
            </w:tcMar>
            <w:vAlign w:val="top"/>
          </w:tcPr>
          <w:p>
            <w:pPr>
              <w:jc w:val="right"/>
              <w:rPr>
                <w:b w:val="0"/>
                <w:i w:val="0"/>
                <w:sz w:val="16"/>
              </w:rPr>
            </w:pPr>
          </w:p>
        </w:tc>
        <w:tc>
          <w:tcPr>
            <w:tcW w:w="200" w:type="dxa"/>
            <w:shd w:val="clear" w:color="auto" w:fill="FFFFFF"/>
            <w:noWrap w:val="0"/>
            <w:tcMar>
              <w:top w:w="60" w:type="dxa"/>
            </w:tcMar>
            <w:vAlign w:val="top"/>
          </w:tcPr>
          <w:p>
            <w:pPr>
              <w:jc w:val="right"/>
              <w:rPr>
                <w:b w:val="0"/>
                <w:i w:val="0"/>
                <w:sz w:val="16"/>
              </w:rPr>
            </w:pPr>
          </w:p>
        </w:tc>
        <w:tc>
          <w:tcPr>
            <w:tcW w:w="200" w:type="dxa"/>
            <w:shd w:val="clear" w:color="auto" w:fill="FFFFFF"/>
            <w:noWrap w:val="0"/>
            <w:tcMar>
              <w:top w:w="60" w:type="dxa"/>
            </w:tcMar>
            <w:vAlign w:val="top"/>
          </w:tcPr>
          <w:p>
            <w:pPr>
              <w:jc w:val="right"/>
              <w:rPr>
                <w:b w:val="0"/>
                <w:i w:val="0"/>
                <w:sz w:val="16"/>
              </w:rPr>
            </w:pPr>
          </w:p>
        </w:tc>
        <w:tc>
          <w:tcPr>
            <w:tcW w:w="200" w:type="dxa"/>
            <w:shd w:val="clear" w:color="auto" w:fill="FFFFFF"/>
            <w:noWrap w:val="0"/>
            <w:tcMar>
              <w:top w:w="60" w:type="dxa"/>
            </w:tcMar>
            <w:vAlign w:val="top"/>
          </w:tcPr>
          <w:p>
            <w:pPr>
              <w:jc w:val="right"/>
              <w:rPr>
                <w:b w:val="0"/>
                <w:i w:val="0"/>
                <w:sz w:val="16"/>
              </w:rPr>
            </w:pPr>
          </w:p>
        </w:tc>
        <w:tc>
          <w:tcPr>
            <w:tcW w:w="200" w:type="dxa"/>
            <w:shd w:val="clear" w:color="auto" w:fill="FFFFFF"/>
            <w:noWrap w:val="0"/>
            <w:tcMar>
              <w:top w:w="60" w:type="dxa"/>
            </w:tcMar>
            <w:vAlign w:val="top"/>
          </w:tcPr>
          <w:p>
            <w:pPr>
              <w:jc w:val="right"/>
              <w:rPr>
                <w:b w:val="0"/>
                <w:i w:val="0"/>
                <w:sz w:val="16"/>
              </w:rPr>
            </w:pPr>
          </w:p>
        </w:tc>
        <w:tc>
          <w:tcPr>
            <w:tcW w:w="200" w:type="dxa"/>
            <w:shd w:val="clear" w:color="auto" w:fill="FFFFFF"/>
            <w:noWrap w:val="0"/>
            <w:tcMar>
              <w:top w:w="60" w:type="dxa"/>
            </w:tcMar>
            <w:vAlign w:val="top"/>
          </w:tcPr>
          <w:p>
            <w:pPr>
              <w:jc w:val="right"/>
              <w:rPr>
                <w:b w:val="0"/>
                <w:i w:val="0"/>
                <w:sz w:val="16"/>
              </w:rPr>
            </w:pPr>
          </w:p>
        </w:tc>
        <w:tc>
          <w:tcPr>
            <w:tcW w:w="200" w:type="dxa"/>
            <w:shd w:val="clear" w:color="auto" w:fill="FFFFFF"/>
            <w:noWrap w:val="0"/>
            <w:tcMar>
              <w:top w:w="60" w:type="dxa"/>
            </w:tcMar>
            <w:vAlign w:val="top"/>
          </w:tcPr>
          <w:p>
            <w:pPr>
              <w:jc w:val="right"/>
              <w:rPr>
                <w:b w:val="0"/>
                <w:i w:val="0"/>
                <w:sz w:val="16"/>
              </w:rPr>
            </w:pPr>
            <w:r>
              <w:rPr>
                <w:b w:val="0"/>
                <w:i w:val="0"/>
                <w:sz w:val="16"/>
              </w:rPr>
              <w:t>59 744 633,00</w:t>
            </w:r>
          </w:p>
        </w:tc>
        <w:tc>
          <w:tcPr>
            <w:tcW w:w="200" w:type="dxa"/>
            <w:shd w:val="clear" w:color="auto" w:fill="FFFFFF"/>
            <w:noWrap w:val="0"/>
            <w:tcMar>
              <w:top w:w="60" w:type="dxa"/>
            </w:tcMar>
            <w:vAlign w:val="top"/>
          </w:tcPr>
          <w:p>
            <w:pPr>
              <w:jc w:val="right"/>
              <w:rPr>
                <w:b/>
                <w:i w:val="0"/>
                <w:sz w:val="16"/>
              </w:rPr>
            </w:pPr>
            <w:r>
              <w:rPr>
                <w:b w:val="0"/>
                <w:i w:val="0"/>
                <w:sz w:val="16"/>
              </w:rPr>
              <w:t>142 192 228,00</w:t>
            </w:r>
          </w:p>
        </w:tc>
        <w:tc>
          <w:tcPr>
            <w:tcW w:w="200" w:type="dxa"/>
            <w:shd w:val="clear" w:color="auto" w:fill="FFFFFF"/>
            <w:noWrap w:val="0"/>
            <w:tcMar>
              <w:top w:w="60" w:type="dxa"/>
            </w:tcMar>
            <w:vAlign w:val="top"/>
          </w:tcPr>
          <w:p>
            <w:pPr>
              <w:jc w:val="right"/>
              <w:rPr>
                <w:b/>
                <w:i w:val="0"/>
                <w:sz w:val="16"/>
              </w:rPr>
            </w:pPr>
            <w:r>
              <w:rPr>
                <w:b/>
                <w:i w:val="0"/>
                <w:sz w:val="16"/>
              </w:rPr>
              <w:t>201 936 861,00</w:t>
            </w:r>
          </w:p>
        </w:tc>
      </w:tr>
      <w:tr>
        <w:tblPrEx>
          <w:tblW w:w="5000" w:type="pct"/>
          <w:tblCellMar>
            <w:left w:w="108" w:type="dxa"/>
            <w:right w:w="108" w:type="dxa"/>
          </w:tblCellMar>
        </w:tblPrEx>
        <w:tc>
          <w:tcPr>
            <w:tcW w:w="200" w:type="dxa"/>
            <w:shd w:val="clear" w:color="auto" w:fill="C0C0C0"/>
            <w:noWrap w:val="0"/>
            <w:tcMar>
              <w:top w:w="60" w:type="dxa"/>
            </w:tcMar>
            <w:vAlign w:val="top"/>
          </w:tcPr>
          <w:p>
            <w:pPr>
              <w:jc w:val="left"/>
              <w:rPr>
                <w:b/>
                <w:i w:val="0"/>
                <w:sz w:val="16"/>
              </w:rPr>
            </w:pPr>
            <w:r>
              <w:rPr>
                <w:b/>
                <w:i w:val="0"/>
                <w:sz w:val="16"/>
              </w:rPr>
              <w:t>Общо средства (по линия на ЕЗФРСР + EURI)</w:t>
            </w:r>
          </w:p>
        </w:tc>
        <w:tc>
          <w:tcPr>
            <w:tcW w:w="200" w:type="dxa"/>
            <w:shd w:val="clear" w:color="auto" w:fill="C0C0C0"/>
            <w:noWrap w:val="0"/>
            <w:tcMar>
              <w:top w:w="60" w:type="dxa"/>
            </w:tcMar>
            <w:vAlign w:val="top"/>
          </w:tcPr>
          <w:p>
            <w:pPr>
              <w:jc w:val="right"/>
              <w:rPr>
                <w:b/>
                <w:i w:val="0"/>
                <w:sz w:val="16"/>
              </w:rPr>
            </w:pPr>
          </w:p>
        </w:tc>
        <w:tc>
          <w:tcPr>
            <w:tcW w:w="200" w:type="dxa"/>
            <w:shd w:val="clear" w:color="auto" w:fill="C0C0C0"/>
            <w:noWrap w:val="0"/>
            <w:tcMar>
              <w:top w:w="60" w:type="dxa"/>
            </w:tcMar>
            <w:vAlign w:val="top"/>
          </w:tcPr>
          <w:p>
            <w:pPr>
              <w:jc w:val="right"/>
              <w:rPr>
                <w:b/>
                <w:i w:val="0"/>
                <w:sz w:val="16"/>
              </w:rPr>
            </w:pPr>
            <w:r>
              <w:rPr>
                <w:b/>
                <w:i w:val="0"/>
                <w:sz w:val="16"/>
              </w:rPr>
              <w:t>502 807 341,00</w:t>
            </w:r>
          </w:p>
        </w:tc>
        <w:tc>
          <w:tcPr>
            <w:tcW w:w="200" w:type="dxa"/>
            <w:shd w:val="clear" w:color="auto" w:fill="C0C0C0"/>
            <w:noWrap w:val="0"/>
            <w:tcMar>
              <w:top w:w="60" w:type="dxa"/>
            </w:tcMar>
            <w:vAlign w:val="top"/>
          </w:tcPr>
          <w:p>
            <w:pPr>
              <w:jc w:val="right"/>
              <w:rPr>
                <w:b/>
                <w:i w:val="0"/>
                <w:sz w:val="16"/>
              </w:rPr>
            </w:pPr>
            <w:r>
              <w:rPr>
                <w:b/>
                <w:i w:val="0"/>
                <w:sz w:val="16"/>
              </w:rPr>
              <w:t>505 020 057,00</w:t>
            </w:r>
          </w:p>
        </w:tc>
        <w:tc>
          <w:tcPr>
            <w:tcW w:w="200" w:type="dxa"/>
            <w:shd w:val="clear" w:color="auto" w:fill="C0C0C0"/>
            <w:noWrap w:val="0"/>
            <w:tcMar>
              <w:top w:w="60" w:type="dxa"/>
            </w:tcMar>
            <w:vAlign w:val="top"/>
          </w:tcPr>
          <w:p>
            <w:pPr>
              <w:jc w:val="right"/>
              <w:rPr>
                <w:b/>
                <w:i w:val="0"/>
                <w:sz w:val="16"/>
              </w:rPr>
            </w:pPr>
            <w:r>
              <w:rPr>
                <w:b/>
                <w:i w:val="0"/>
                <w:sz w:val="16"/>
              </w:rPr>
              <w:t>340 409 994,00</w:t>
            </w:r>
          </w:p>
        </w:tc>
        <w:tc>
          <w:tcPr>
            <w:tcW w:w="200" w:type="dxa"/>
            <w:shd w:val="clear" w:color="auto" w:fill="C0C0C0"/>
            <w:noWrap w:val="0"/>
            <w:tcMar>
              <w:top w:w="60" w:type="dxa"/>
            </w:tcMar>
            <w:vAlign w:val="top"/>
          </w:tcPr>
          <w:p>
            <w:pPr>
              <w:jc w:val="right"/>
              <w:rPr>
                <w:b/>
                <w:i w:val="0"/>
                <w:sz w:val="16"/>
              </w:rPr>
            </w:pPr>
            <w:r>
              <w:rPr>
                <w:b/>
                <w:i w:val="0"/>
                <w:sz w:val="16"/>
              </w:rPr>
              <w:t>339 966 052,00</w:t>
            </w:r>
          </w:p>
        </w:tc>
        <w:tc>
          <w:tcPr>
            <w:tcW w:w="200" w:type="dxa"/>
            <w:shd w:val="clear" w:color="auto" w:fill="C0C0C0"/>
            <w:noWrap w:val="0"/>
            <w:tcMar>
              <w:top w:w="60" w:type="dxa"/>
            </w:tcMar>
            <w:vAlign w:val="top"/>
          </w:tcPr>
          <w:p>
            <w:pPr>
              <w:jc w:val="right"/>
              <w:rPr>
                <w:b/>
                <w:i w:val="0"/>
                <w:sz w:val="16"/>
              </w:rPr>
            </w:pPr>
            <w:r>
              <w:rPr>
                <w:b/>
                <w:i w:val="0"/>
                <w:sz w:val="16"/>
              </w:rPr>
              <w:t>339 523 306,00</w:t>
            </w:r>
          </w:p>
        </w:tc>
        <w:tc>
          <w:tcPr>
            <w:tcW w:w="200" w:type="dxa"/>
            <w:shd w:val="clear" w:color="auto" w:fill="C0C0C0"/>
            <w:noWrap w:val="0"/>
            <w:tcMar>
              <w:top w:w="60" w:type="dxa"/>
            </w:tcMar>
            <w:vAlign w:val="top"/>
          </w:tcPr>
          <w:p>
            <w:pPr>
              <w:jc w:val="right"/>
              <w:rPr>
                <w:b/>
                <w:i w:val="0"/>
                <w:sz w:val="16"/>
              </w:rPr>
            </w:pPr>
            <w:r>
              <w:rPr>
                <w:b/>
                <w:i w:val="0"/>
                <w:sz w:val="16"/>
              </w:rPr>
              <w:t>338 990 216,00</w:t>
            </w:r>
          </w:p>
        </w:tc>
        <w:tc>
          <w:tcPr>
            <w:tcW w:w="200" w:type="dxa"/>
            <w:shd w:val="clear" w:color="auto" w:fill="C0C0C0"/>
            <w:noWrap w:val="0"/>
            <w:tcMar>
              <w:top w:w="60" w:type="dxa"/>
            </w:tcMar>
            <w:vAlign w:val="top"/>
          </w:tcPr>
          <w:p>
            <w:pPr>
              <w:jc w:val="right"/>
              <w:rPr>
                <w:b/>
                <w:i w:val="0"/>
                <w:sz w:val="16"/>
              </w:rPr>
            </w:pPr>
            <w:r>
              <w:rPr>
                <w:b/>
                <w:i w:val="0"/>
                <w:sz w:val="16"/>
              </w:rPr>
              <w:t>321 734 041,99</w:t>
            </w:r>
          </w:p>
        </w:tc>
        <w:tc>
          <w:tcPr>
            <w:tcW w:w="200" w:type="dxa"/>
            <w:shd w:val="clear" w:color="auto" w:fill="C0C0C0"/>
            <w:noWrap w:val="0"/>
            <w:tcMar>
              <w:top w:w="60" w:type="dxa"/>
            </w:tcMar>
            <w:vAlign w:val="top"/>
          </w:tcPr>
          <w:p>
            <w:pPr>
              <w:jc w:val="right"/>
              <w:rPr>
                <w:b/>
                <w:i w:val="0"/>
                <w:sz w:val="16"/>
              </w:rPr>
            </w:pPr>
            <w:r>
              <w:rPr>
                <w:b/>
                <w:i w:val="0"/>
                <w:sz w:val="16"/>
              </w:rPr>
              <w:t>426 220 872,00</w:t>
            </w:r>
          </w:p>
        </w:tc>
        <w:tc>
          <w:tcPr>
            <w:tcW w:w="200" w:type="dxa"/>
            <w:shd w:val="clear" w:color="auto" w:fill="C0C0C0"/>
            <w:noWrap w:val="0"/>
            <w:tcMar>
              <w:top w:w="60" w:type="dxa"/>
            </w:tcMar>
            <w:vAlign w:val="top"/>
          </w:tcPr>
          <w:p>
            <w:pPr>
              <w:jc w:val="right"/>
              <w:rPr>
                <w:b w:val="0"/>
                <w:i w:val="0"/>
                <w:sz w:val="16"/>
              </w:rPr>
            </w:pPr>
            <w:r>
              <w:rPr>
                <w:b/>
                <w:i w:val="0"/>
                <w:sz w:val="16"/>
              </w:rPr>
              <w:t>3 114 671 879,99</w:t>
            </w:r>
          </w:p>
        </w:tc>
      </w:tr>
    </w:tbl>
    <w:p>
      <w:pPr>
        <w:rPr>
          <w:b/>
          <w:i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00"/>
        <w:gridCol w:w="200"/>
        <w:gridCol w:w="200"/>
        <w:gridCol w:w="2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900" w:type="pct"/>
            <w:shd w:val="clear" w:color="auto" w:fill="C0C0C0"/>
            <w:noWrap w:val="0"/>
            <w:tcMar>
              <w:top w:w="60" w:type="dxa"/>
            </w:tcMar>
            <w:vAlign w:val="top"/>
          </w:tcPr>
          <w:p>
            <w:pPr>
              <w:jc w:val="left"/>
              <w:rPr>
                <w:b/>
                <w:i w:val="0"/>
                <w:sz w:val="16"/>
              </w:rPr>
            </w:pPr>
            <w:r>
              <w:rPr>
                <w:b/>
                <w:i w:val="0"/>
                <w:sz w:val="16"/>
              </w:rPr>
              <w:t>Общ ориентировъчен размер на подкрепата по линия на ЕЗФРСР и EURI, предвидена за цели във връзка с изменението на климата</w:t>
            </w:r>
          </w:p>
        </w:tc>
        <w:tc>
          <w:tcPr>
            <w:tcW w:w="600" w:type="pct"/>
            <w:shd w:val="clear" w:color="auto" w:fill="FFFFFF"/>
            <w:noWrap w:val="0"/>
            <w:tcMar>
              <w:top w:w="60" w:type="dxa"/>
            </w:tcMar>
            <w:vAlign w:val="top"/>
          </w:tcPr>
          <w:p>
            <w:pPr>
              <w:jc w:val="right"/>
              <w:rPr>
                <w:b w:val="0"/>
                <w:i w:val="0"/>
                <w:sz w:val="16"/>
              </w:rPr>
            </w:pPr>
            <w:r>
              <w:rPr>
                <w:b/>
                <w:i w:val="0"/>
                <w:sz w:val="16"/>
              </w:rPr>
              <w:t>1 518 235 216,60</w:t>
            </w:r>
          </w:p>
        </w:tc>
        <w:tc>
          <w:tcPr>
            <w:tcW w:w="1900" w:type="pct"/>
            <w:shd w:val="clear" w:color="auto" w:fill="C0C0C0"/>
            <w:noWrap w:val="0"/>
            <w:tcMar>
              <w:top w:w="60" w:type="dxa"/>
            </w:tcMar>
            <w:vAlign w:val="top"/>
          </w:tcPr>
          <w:p>
            <w:pPr>
              <w:jc w:val="left"/>
              <w:rPr>
                <w:b/>
                <w:i w:val="0"/>
                <w:sz w:val="16"/>
              </w:rPr>
            </w:pPr>
            <w:r>
              <w:rPr>
                <w:b w:val="0"/>
                <w:i w:val="0"/>
                <w:sz w:val="16"/>
              </w:rPr>
              <w:t>Дял от общия ориентировъчен размер на подкрепата по линия на на ЕЗФРСР и EURI, предвидена за цели във връзка с изменението на климата (%)</w:t>
            </w:r>
          </w:p>
        </w:tc>
        <w:tc>
          <w:tcPr>
            <w:tcW w:w="600" w:type="pct"/>
            <w:shd w:val="clear" w:color="auto" w:fill="FFFFFF"/>
            <w:noWrap w:val="0"/>
            <w:tcMar>
              <w:top w:w="60" w:type="dxa"/>
            </w:tcMar>
            <w:vAlign w:val="top"/>
          </w:tcPr>
          <w:p>
            <w:pPr>
              <w:jc w:val="right"/>
              <w:rPr>
                <w:b w:val="0"/>
                <w:i w:val="0"/>
                <w:sz w:val="16"/>
              </w:rPr>
            </w:pPr>
            <w:r>
              <w:rPr>
                <w:b/>
                <w:i w:val="0"/>
                <w:sz w:val="16"/>
              </w:rPr>
              <w:t>48,74</w:t>
            </w:r>
          </w:p>
        </w:tc>
      </w:tr>
      <w:tr>
        <w:tblPrEx>
          <w:tblW w:w="5000" w:type="pct"/>
          <w:tblCellMar>
            <w:left w:w="108" w:type="dxa"/>
            <w:right w:w="108" w:type="dxa"/>
          </w:tblCellMar>
        </w:tblPrEx>
        <w:tc>
          <w:tcPr>
            <w:tcW w:w="1900" w:type="pct"/>
            <w:shd w:val="clear" w:color="auto" w:fill="C0C0C0"/>
            <w:noWrap w:val="0"/>
            <w:tcMar>
              <w:top w:w="60" w:type="dxa"/>
            </w:tcMar>
            <w:vAlign w:val="top"/>
          </w:tcPr>
          <w:p>
            <w:pPr>
              <w:jc w:val="left"/>
              <w:rPr>
                <w:b/>
                <w:i w:val="0"/>
                <w:sz w:val="16"/>
              </w:rPr>
            </w:pPr>
            <w:r>
              <w:rPr>
                <w:b/>
                <w:i w:val="0"/>
                <w:sz w:val="16"/>
              </w:rPr>
              <w:t>Общ ориентировъчен размер на подкрепата по линия на ЕЗФРСР, предвидена за цели във връзка с изменението на климата</w:t>
            </w:r>
          </w:p>
        </w:tc>
        <w:tc>
          <w:tcPr>
            <w:tcW w:w="600" w:type="pct"/>
            <w:shd w:val="clear" w:color="auto" w:fill="FFFFFF"/>
            <w:noWrap w:val="0"/>
            <w:tcMar>
              <w:top w:w="60" w:type="dxa"/>
            </w:tcMar>
            <w:vAlign w:val="top"/>
          </w:tcPr>
          <w:p>
            <w:pPr>
              <w:jc w:val="right"/>
              <w:rPr>
                <w:b w:val="0"/>
                <w:i w:val="0"/>
                <w:sz w:val="16"/>
              </w:rPr>
            </w:pPr>
            <w:r>
              <w:rPr>
                <w:b/>
                <w:i w:val="0"/>
                <w:sz w:val="16"/>
              </w:rPr>
              <w:t>1 427 515 216,60</w:t>
            </w:r>
          </w:p>
        </w:tc>
        <w:tc>
          <w:tcPr>
            <w:tcW w:w="1900" w:type="pct"/>
            <w:shd w:val="clear" w:color="auto" w:fill="C0C0C0"/>
            <w:noWrap w:val="0"/>
            <w:tcMar>
              <w:top w:w="60" w:type="dxa"/>
            </w:tcMar>
            <w:vAlign w:val="top"/>
          </w:tcPr>
          <w:p>
            <w:pPr>
              <w:jc w:val="left"/>
              <w:rPr>
                <w:b/>
                <w:i w:val="0"/>
                <w:sz w:val="16"/>
              </w:rPr>
            </w:pPr>
            <w:r>
              <w:rPr>
                <w:b w:val="0"/>
                <w:i w:val="0"/>
                <w:sz w:val="16"/>
              </w:rPr>
              <w:t>Дял от общия ориентировъчен размер на подкрепата по линия на ЕЗФРСР, предвидена за цели във връзка с изменението на климата (%)</w:t>
            </w:r>
          </w:p>
        </w:tc>
        <w:tc>
          <w:tcPr>
            <w:tcW w:w="600" w:type="pct"/>
            <w:shd w:val="clear" w:color="auto" w:fill="FFFFFF"/>
            <w:noWrap w:val="0"/>
            <w:tcMar>
              <w:top w:w="60" w:type="dxa"/>
            </w:tcMar>
            <w:vAlign w:val="top"/>
          </w:tcPr>
          <w:p>
            <w:pPr>
              <w:jc w:val="right"/>
              <w:rPr>
                <w:b w:val="0"/>
                <w:i w:val="0"/>
                <w:sz w:val="16"/>
              </w:rPr>
            </w:pPr>
            <w:r>
              <w:rPr>
                <w:b/>
                <w:i w:val="0"/>
                <w:sz w:val="16"/>
              </w:rPr>
              <w:t>49,01</w:t>
            </w:r>
          </w:p>
        </w:tc>
      </w:tr>
      <w:tr>
        <w:tblPrEx>
          <w:tblW w:w="5000" w:type="pct"/>
          <w:tblCellMar>
            <w:left w:w="108" w:type="dxa"/>
            <w:right w:w="108" w:type="dxa"/>
          </w:tblCellMar>
        </w:tblPrEx>
        <w:tc>
          <w:tcPr>
            <w:tcW w:w="1900" w:type="pct"/>
            <w:shd w:val="clear" w:color="auto" w:fill="C0C0C0"/>
            <w:noWrap w:val="0"/>
            <w:tcMar>
              <w:top w:w="60" w:type="dxa"/>
            </w:tcMar>
            <w:vAlign w:val="top"/>
          </w:tcPr>
          <w:p>
            <w:pPr>
              <w:jc w:val="left"/>
              <w:rPr>
                <w:b/>
                <w:i w:val="0"/>
                <w:sz w:val="16"/>
              </w:rPr>
            </w:pPr>
            <w:r>
              <w:rPr>
                <w:b/>
                <w:i w:val="0"/>
                <w:sz w:val="16"/>
              </w:rPr>
              <w:t>Общ ориентировъчен размер на подкрепата по линия на EURI, предвидена за цели във връзка с изменението на климата</w:t>
            </w:r>
          </w:p>
        </w:tc>
        <w:tc>
          <w:tcPr>
            <w:tcW w:w="600" w:type="pct"/>
            <w:shd w:val="clear" w:color="auto" w:fill="FFFFFF"/>
            <w:noWrap w:val="0"/>
            <w:tcMar>
              <w:top w:w="60" w:type="dxa"/>
            </w:tcMar>
            <w:vAlign w:val="top"/>
          </w:tcPr>
          <w:p>
            <w:pPr>
              <w:jc w:val="right"/>
              <w:rPr>
                <w:b w:val="0"/>
                <w:i w:val="0"/>
                <w:sz w:val="16"/>
              </w:rPr>
            </w:pPr>
            <w:r>
              <w:rPr>
                <w:b/>
                <w:i w:val="0"/>
                <w:sz w:val="16"/>
              </w:rPr>
              <w:t>90 720 000,00</w:t>
            </w:r>
          </w:p>
        </w:tc>
        <w:tc>
          <w:tcPr>
            <w:tcW w:w="1900" w:type="pct"/>
            <w:shd w:val="clear" w:color="auto" w:fill="C0C0C0"/>
            <w:noWrap w:val="0"/>
            <w:tcMar>
              <w:top w:w="60" w:type="dxa"/>
            </w:tcMar>
            <w:vAlign w:val="top"/>
          </w:tcPr>
          <w:p>
            <w:pPr>
              <w:jc w:val="left"/>
              <w:rPr>
                <w:b/>
                <w:i w:val="0"/>
                <w:sz w:val="16"/>
              </w:rPr>
            </w:pPr>
            <w:r>
              <w:rPr>
                <w:b w:val="0"/>
                <w:i w:val="0"/>
                <w:sz w:val="16"/>
              </w:rPr>
              <w:t>Дял от общия ориентировъчен размер на подкрепата по линия на EURI, предвидена за цели във връзка с изменението на климата (%)</w:t>
            </w:r>
          </w:p>
        </w:tc>
        <w:tc>
          <w:tcPr>
            <w:tcW w:w="600" w:type="pct"/>
            <w:shd w:val="clear" w:color="auto" w:fill="FFFFFF"/>
            <w:noWrap w:val="0"/>
            <w:tcMar>
              <w:top w:w="60" w:type="dxa"/>
            </w:tcMar>
            <w:vAlign w:val="top"/>
          </w:tcPr>
          <w:p>
            <w:pPr>
              <w:jc w:val="right"/>
              <w:rPr>
                <w:b w:val="0"/>
                <w:i w:val="0"/>
                <w:sz w:val="16"/>
              </w:rPr>
            </w:pPr>
            <w:r>
              <w:rPr>
                <w:b/>
                <w:i w:val="0"/>
                <w:sz w:val="16"/>
              </w:rPr>
              <w:t>44,92</w:t>
            </w:r>
          </w:p>
        </w:tc>
      </w:tr>
    </w:tbl>
    <w:p>
      <w:pPr>
        <w:rPr>
          <w:b/>
          <w:i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00"/>
        <w:gridCol w:w="200"/>
        <w:gridCol w:w="200"/>
        <w:gridCol w:w="2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900" w:type="pct"/>
            <w:shd w:val="clear" w:color="auto" w:fill="C0C0C0"/>
            <w:noWrap w:val="0"/>
            <w:tcMar>
              <w:top w:w="60" w:type="dxa"/>
            </w:tcMar>
            <w:vAlign w:val="top"/>
          </w:tcPr>
          <w:p>
            <w:pPr>
              <w:jc w:val="left"/>
              <w:rPr>
                <w:b/>
                <w:i w:val="0"/>
                <w:sz w:val="16"/>
              </w:rPr>
            </w:pPr>
            <w:r>
              <w:rPr>
                <w:b/>
                <w:i w:val="0"/>
                <w:sz w:val="16"/>
              </w:rPr>
              <w:t>Размер на участието на ЕЗФРСР и EURI по член 59, параграф 6</w:t>
            </w:r>
          </w:p>
        </w:tc>
        <w:tc>
          <w:tcPr>
            <w:tcW w:w="600" w:type="pct"/>
            <w:shd w:val="clear" w:color="auto" w:fill="FFFFFF"/>
            <w:noWrap w:val="0"/>
            <w:tcMar>
              <w:top w:w="60" w:type="dxa"/>
            </w:tcMar>
            <w:vAlign w:val="top"/>
          </w:tcPr>
          <w:p>
            <w:pPr>
              <w:jc w:val="right"/>
              <w:rPr>
                <w:b w:val="0"/>
                <w:i w:val="0"/>
                <w:sz w:val="16"/>
              </w:rPr>
            </w:pPr>
            <w:r>
              <w:rPr>
                <w:b/>
                <w:i w:val="0"/>
                <w:sz w:val="16"/>
              </w:rPr>
              <w:t>1 150 865 453,00</w:t>
            </w:r>
          </w:p>
        </w:tc>
        <w:tc>
          <w:tcPr>
            <w:tcW w:w="1900" w:type="pct"/>
            <w:shd w:val="clear" w:color="auto" w:fill="C0C0C0"/>
            <w:noWrap w:val="0"/>
            <w:tcMar>
              <w:top w:w="60" w:type="dxa"/>
            </w:tcMar>
            <w:vAlign w:val="top"/>
          </w:tcPr>
          <w:p>
            <w:pPr>
              <w:jc w:val="left"/>
              <w:rPr>
                <w:b/>
                <w:i w:val="0"/>
                <w:sz w:val="16"/>
              </w:rPr>
            </w:pPr>
            <w:r>
              <w:rPr>
                <w:b w:val="0"/>
                <w:i w:val="0"/>
                <w:sz w:val="16"/>
              </w:rPr>
              <w:t>Дял от участието на ЕЗФРСР и EURI по член 59, параграф 6 (%)</w:t>
            </w:r>
          </w:p>
        </w:tc>
        <w:tc>
          <w:tcPr>
            <w:tcW w:w="600" w:type="pct"/>
            <w:shd w:val="clear" w:color="auto" w:fill="FFFFFF"/>
            <w:noWrap w:val="0"/>
            <w:tcMar>
              <w:top w:w="60" w:type="dxa"/>
            </w:tcMar>
            <w:vAlign w:val="top"/>
          </w:tcPr>
          <w:p>
            <w:pPr>
              <w:jc w:val="right"/>
              <w:rPr>
                <w:b w:val="0"/>
                <w:i w:val="0"/>
                <w:sz w:val="16"/>
              </w:rPr>
            </w:pPr>
            <w:r>
              <w:rPr>
                <w:b/>
                <w:i w:val="0"/>
                <w:sz w:val="16"/>
              </w:rPr>
              <w:t>36,95</w:t>
            </w:r>
          </w:p>
        </w:tc>
      </w:tr>
      <w:tr>
        <w:tblPrEx>
          <w:tblW w:w="5000" w:type="pct"/>
          <w:tblCellMar>
            <w:left w:w="108" w:type="dxa"/>
            <w:right w:w="108" w:type="dxa"/>
          </w:tblCellMar>
        </w:tblPrEx>
        <w:tc>
          <w:tcPr>
            <w:tcW w:w="1900" w:type="pct"/>
            <w:shd w:val="clear" w:color="auto" w:fill="C0C0C0"/>
            <w:noWrap w:val="0"/>
            <w:tcMar>
              <w:top w:w="60" w:type="dxa"/>
            </w:tcMar>
            <w:vAlign w:val="top"/>
          </w:tcPr>
          <w:p>
            <w:pPr>
              <w:jc w:val="left"/>
              <w:rPr>
                <w:b/>
                <w:i w:val="0"/>
                <w:sz w:val="16"/>
              </w:rPr>
            </w:pPr>
            <w:r>
              <w:rPr>
                <w:b/>
                <w:i w:val="0"/>
                <w:sz w:val="16"/>
              </w:rPr>
              <w:t>Размер на общото участие на ЕЗФРСР по член 59, параграф 6</w:t>
            </w:r>
          </w:p>
        </w:tc>
        <w:tc>
          <w:tcPr>
            <w:tcW w:w="600" w:type="pct"/>
            <w:shd w:val="clear" w:color="auto" w:fill="FFFFFF"/>
            <w:noWrap w:val="0"/>
            <w:tcMar>
              <w:top w:w="60" w:type="dxa"/>
            </w:tcMar>
            <w:vAlign w:val="top"/>
          </w:tcPr>
          <w:p>
            <w:pPr>
              <w:jc w:val="right"/>
              <w:rPr>
                <w:b w:val="0"/>
                <w:i w:val="0"/>
                <w:sz w:val="16"/>
              </w:rPr>
            </w:pPr>
            <w:r>
              <w:rPr>
                <w:b/>
                <w:i w:val="0"/>
                <w:sz w:val="16"/>
              </w:rPr>
              <w:t>1 060 145 453,00</w:t>
            </w:r>
          </w:p>
        </w:tc>
        <w:tc>
          <w:tcPr>
            <w:tcW w:w="1900" w:type="pct"/>
            <w:shd w:val="clear" w:color="auto" w:fill="C0C0C0"/>
            <w:noWrap w:val="0"/>
            <w:tcMar>
              <w:top w:w="60" w:type="dxa"/>
            </w:tcMar>
            <w:vAlign w:val="top"/>
          </w:tcPr>
          <w:p>
            <w:pPr>
              <w:jc w:val="left"/>
              <w:rPr>
                <w:b/>
                <w:i w:val="0"/>
                <w:sz w:val="16"/>
              </w:rPr>
            </w:pPr>
            <w:r>
              <w:rPr>
                <w:b w:val="0"/>
                <w:i w:val="0"/>
                <w:sz w:val="16"/>
              </w:rPr>
              <w:t>Дял от общото участие на ЕЗФРСР по член 59, параграф 6 (%)</w:t>
            </w:r>
          </w:p>
        </w:tc>
        <w:tc>
          <w:tcPr>
            <w:tcW w:w="600" w:type="pct"/>
            <w:shd w:val="clear" w:color="auto" w:fill="FFFFFF"/>
            <w:noWrap w:val="0"/>
            <w:tcMar>
              <w:top w:w="60" w:type="dxa"/>
            </w:tcMar>
            <w:vAlign w:val="top"/>
          </w:tcPr>
          <w:p>
            <w:pPr>
              <w:jc w:val="right"/>
              <w:rPr>
                <w:b w:val="0"/>
                <w:i w:val="0"/>
                <w:sz w:val="16"/>
              </w:rPr>
            </w:pPr>
            <w:r>
              <w:rPr>
                <w:b/>
                <w:i w:val="0"/>
                <w:sz w:val="16"/>
              </w:rPr>
              <w:t>36.40</w:t>
            </w:r>
          </w:p>
        </w:tc>
      </w:tr>
      <w:tr>
        <w:tblPrEx>
          <w:tblW w:w="5000" w:type="pct"/>
          <w:tblCellMar>
            <w:left w:w="108" w:type="dxa"/>
            <w:right w:w="108" w:type="dxa"/>
          </w:tblCellMar>
        </w:tblPrEx>
        <w:tc>
          <w:tcPr>
            <w:tcW w:w="1900" w:type="pct"/>
            <w:shd w:val="clear" w:color="auto" w:fill="C0C0C0"/>
            <w:noWrap w:val="0"/>
            <w:tcMar>
              <w:top w:w="60" w:type="dxa"/>
            </w:tcMar>
            <w:vAlign w:val="top"/>
          </w:tcPr>
          <w:p>
            <w:pPr>
              <w:jc w:val="left"/>
              <w:rPr>
                <w:b/>
                <w:i w:val="0"/>
                <w:sz w:val="16"/>
              </w:rPr>
            </w:pPr>
            <w:r>
              <w:rPr>
                <w:b/>
                <w:i w:val="0"/>
                <w:sz w:val="16"/>
              </w:rPr>
              <w:t>Размер на общото участие на EURI по член 59, параграф 6</w:t>
            </w:r>
          </w:p>
        </w:tc>
        <w:tc>
          <w:tcPr>
            <w:tcW w:w="600" w:type="pct"/>
            <w:shd w:val="clear" w:color="auto" w:fill="FFFFFF"/>
            <w:noWrap w:val="0"/>
            <w:tcMar>
              <w:top w:w="60" w:type="dxa"/>
            </w:tcMar>
            <w:vAlign w:val="top"/>
          </w:tcPr>
          <w:p>
            <w:pPr>
              <w:jc w:val="right"/>
              <w:rPr>
                <w:b w:val="0"/>
                <w:i w:val="0"/>
                <w:sz w:val="16"/>
              </w:rPr>
            </w:pPr>
            <w:r>
              <w:rPr>
                <w:b/>
                <w:i w:val="0"/>
                <w:sz w:val="16"/>
              </w:rPr>
              <w:t>90 720 000,00</w:t>
            </w:r>
          </w:p>
        </w:tc>
        <w:tc>
          <w:tcPr>
            <w:tcW w:w="1900" w:type="pct"/>
            <w:shd w:val="clear" w:color="auto" w:fill="C0C0C0"/>
            <w:noWrap w:val="0"/>
            <w:tcMar>
              <w:top w:w="60" w:type="dxa"/>
            </w:tcMar>
            <w:vAlign w:val="top"/>
          </w:tcPr>
          <w:p>
            <w:pPr>
              <w:jc w:val="left"/>
              <w:rPr>
                <w:b/>
                <w:i w:val="0"/>
                <w:sz w:val="16"/>
              </w:rPr>
            </w:pPr>
            <w:r>
              <w:rPr>
                <w:b w:val="0"/>
                <w:i w:val="0"/>
                <w:sz w:val="16"/>
              </w:rPr>
              <w:t>Дял от общото участие на EURI по член 59, параграф 6 (%)</w:t>
            </w:r>
          </w:p>
        </w:tc>
        <w:tc>
          <w:tcPr>
            <w:tcW w:w="600" w:type="pct"/>
            <w:shd w:val="clear" w:color="auto" w:fill="FFFFFF"/>
            <w:noWrap w:val="0"/>
            <w:tcMar>
              <w:top w:w="60" w:type="dxa"/>
            </w:tcMar>
            <w:vAlign w:val="top"/>
          </w:tcPr>
          <w:p>
            <w:pPr>
              <w:jc w:val="right"/>
              <w:rPr>
                <w:b w:val="0"/>
                <w:i w:val="0"/>
                <w:sz w:val="16"/>
              </w:rPr>
            </w:pPr>
            <w:r>
              <w:rPr>
                <w:b/>
                <w:i w:val="0"/>
                <w:sz w:val="16"/>
              </w:rPr>
              <w:t>44,92</w:t>
            </w:r>
          </w:p>
        </w:tc>
      </w:tr>
    </w:tbl>
    <w:p>
      <w:pPr>
        <w:rPr>
          <w:b/>
          <w:i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00"/>
        <w:gridCol w:w="2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500" w:type="pct"/>
            <w:shd w:val="clear" w:color="auto" w:fill="C0C0C0"/>
            <w:noWrap w:val="0"/>
            <w:tcMar>
              <w:top w:w="60" w:type="dxa"/>
            </w:tcMar>
            <w:vAlign w:val="top"/>
          </w:tcPr>
          <w:p>
            <w:pPr>
              <w:jc w:val="left"/>
              <w:rPr>
                <w:b/>
                <w:i w:val="0"/>
                <w:sz w:val="16"/>
              </w:rPr>
            </w:pPr>
            <w:r>
              <w:rPr>
                <w:b/>
                <w:i w:val="0"/>
                <w:sz w:val="16"/>
              </w:rPr>
              <w:t>Праг на запазване на равнището на защита по ПРСР (%)</w:t>
            </w:r>
          </w:p>
        </w:tc>
        <w:tc>
          <w:tcPr>
            <w:tcW w:w="600" w:type="pct"/>
            <w:shd w:val="clear" w:color="auto" w:fill="FFFFFF"/>
            <w:noWrap w:val="0"/>
            <w:tcMar>
              <w:top w:w="60" w:type="dxa"/>
            </w:tcMar>
            <w:vAlign w:val="top"/>
          </w:tcPr>
          <w:p>
            <w:pPr>
              <w:jc w:val="right"/>
              <w:rPr>
                <w:b w:val="0"/>
                <w:i w:val="0"/>
                <w:sz w:val="16"/>
              </w:rPr>
            </w:pPr>
            <w:r>
              <w:rPr>
                <w:b/>
                <w:i w:val="0"/>
                <w:sz w:val="16"/>
              </w:rPr>
              <w:t>35.71</w:t>
            </w:r>
          </w:p>
        </w:tc>
      </w:tr>
    </w:tbl>
    <w:p>
      <w:pPr>
        <w:rPr>
          <w:b/>
          <w:i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00"/>
        <w:gridCol w:w="200"/>
        <w:gridCol w:w="200"/>
        <w:gridCol w:w="2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900" w:type="pct"/>
            <w:shd w:val="clear" w:color="auto" w:fill="C0C0C0"/>
            <w:noWrap w:val="0"/>
            <w:tcMar>
              <w:top w:w="60" w:type="dxa"/>
            </w:tcMar>
            <w:vAlign w:val="top"/>
          </w:tcPr>
          <w:p>
            <w:pPr>
              <w:jc w:val="left"/>
              <w:rPr>
                <w:b/>
                <w:i w:val="0"/>
                <w:sz w:val="16"/>
              </w:rPr>
            </w:pPr>
            <w:r>
              <w:rPr>
                <w:b/>
                <w:i w:val="0"/>
                <w:sz w:val="16"/>
              </w:rPr>
              <w:t>Регламент 2024/xxx: част от ЕЗФРСР, пренасочена към мярка 23 и към член 18, параграф 1, буква б):</w:t>
            </w:r>
          </w:p>
        </w:tc>
        <w:tc>
          <w:tcPr>
            <w:tcW w:w="600" w:type="pct"/>
            <w:shd w:val="clear" w:color="auto" w:fill="FFFFFF"/>
            <w:noWrap w:val="0"/>
            <w:tcMar>
              <w:top w:w="60" w:type="dxa"/>
            </w:tcMar>
            <w:vAlign w:val="top"/>
          </w:tcPr>
          <w:p>
            <w:pPr>
              <w:jc w:val="right"/>
              <w:rPr>
                <w:b w:val="0"/>
                <w:i w:val="0"/>
                <w:sz w:val="16"/>
              </w:rPr>
            </w:pPr>
            <w:r>
              <w:rPr>
                <w:b/>
                <w:i w:val="0"/>
                <w:sz w:val="16"/>
              </w:rPr>
              <w:t>0,00</w:t>
            </w:r>
          </w:p>
        </w:tc>
        <w:tc>
          <w:tcPr>
            <w:tcW w:w="1900" w:type="pct"/>
            <w:shd w:val="clear" w:color="auto" w:fill="C0C0C0"/>
            <w:noWrap w:val="0"/>
            <w:tcMar>
              <w:top w:w="60" w:type="dxa"/>
            </w:tcMar>
            <w:vAlign w:val="top"/>
          </w:tcPr>
          <w:p>
            <w:pPr>
              <w:jc w:val="left"/>
              <w:rPr>
                <w:b/>
                <w:i w:val="0"/>
                <w:sz w:val="16"/>
              </w:rPr>
            </w:pPr>
            <w:r>
              <w:rPr>
                <w:b w:val="0"/>
                <w:i w:val="0"/>
                <w:sz w:val="16"/>
              </w:rPr>
              <w:t>Праг на запазване на равнището на защита по Регламент 2024/3242 за ПРСР ( %):</w:t>
            </w:r>
          </w:p>
        </w:tc>
        <w:tc>
          <w:tcPr>
            <w:tcW w:w="600" w:type="pct"/>
            <w:shd w:val="clear" w:color="auto" w:fill="FFFFFF"/>
            <w:noWrap w:val="0"/>
            <w:tcMar>
              <w:top w:w="60" w:type="dxa"/>
            </w:tcMar>
            <w:vAlign w:val="top"/>
          </w:tcPr>
          <w:p>
            <w:pPr>
              <w:jc w:val="right"/>
              <w:rPr>
                <w:b w:val="0"/>
                <w:i w:val="0"/>
                <w:sz w:val="16"/>
              </w:rPr>
            </w:pPr>
            <w:r>
              <w:rPr>
                <w:b/>
                <w:i w:val="0"/>
                <w:sz w:val="16"/>
              </w:rPr>
              <w:t>35.71</w:t>
            </w:r>
          </w:p>
        </w:tc>
      </w:tr>
    </w:tbl>
    <w:p>
      <w:pPr>
        <w:rPr>
          <w:b/>
          <w:i w:val="0"/>
        </w:rPr>
      </w:pPr>
    </w:p>
    <w:p>
      <w:pPr>
        <w:rPr>
          <w:b/>
          <w:i w:val="0"/>
        </w:rPr>
        <w:sectPr>
          <w:pgSz w:w="15840" w:h="12240" w:orient="landscape"/>
          <w:pgMar w:top="900" w:right="900" w:bottom="900" w:left="900" w:header="720" w:footer="720"/>
          <w:cols w:space="720"/>
        </w:sectPr>
      </w:pPr>
    </w:p>
    <w:p>
      <w:pPr>
        <w:pStyle w:val="Heading2"/>
      </w:pPr>
      <w:r>
        <w:t xml:space="preserve"> </w:t>
      </w:r>
      <w:bookmarkStart w:id="145" w:name="_Toc256000145"/>
      <w:r>
        <w:t>Единно процентно участие на ЕЗФРСР за всички мерки с разбивка по вид регион, съгласно посоченото в член 59, параграф 3 от Регламент (ЕС) № 1305/2013</w:t>
      </w:r>
      <w:bookmarkEnd w:id="14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500" w:type="pct"/>
            <w:shd w:val="clear" w:color="auto" w:fill="C0C0C0"/>
            <w:noWrap w:val="0"/>
            <w:tcMar>
              <w:top w:w="60" w:type="dxa"/>
            </w:tcMar>
            <w:vAlign w:val="top"/>
          </w:tcPr>
          <w:p>
            <w:pPr>
              <w:jc w:val="center"/>
              <w:rPr>
                <w:b/>
                <w:sz w:val="20"/>
              </w:rPr>
            </w:pPr>
            <w:r>
              <w:rPr>
                <w:b/>
                <w:sz w:val="20"/>
              </w:rPr>
              <w:t>Член, в който е определен максималният процент на участието.</w:t>
            </w:r>
          </w:p>
        </w:tc>
        <w:tc>
          <w:tcPr>
            <w:tcW w:w="500" w:type="pct"/>
            <w:shd w:val="clear" w:color="auto" w:fill="C0C0C0"/>
            <w:noWrap w:val="0"/>
            <w:tcMar>
              <w:top w:w="60" w:type="dxa"/>
            </w:tcMar>
            <w:vAlign w:val="top"/>
          </w:tcPr>
          <w:p>
            <w:pPr>
              <w:jc w:val="center"/>
              <w:rPr>
                <w:b/>
                <w:sz w:val="20"/>
              </w:rPr>
            </w:pPr>
            <w:r>
              <w:rPr>
                <w:b/>
                <w:sz w:val="20"/>
              </w:rPr>
              <w:t xml:space="preserve">Приложим размер на участието от ЕЗФРСР </w:t>
            </w:r>
          </w:p>
        </w:tc>
        <w:tc>
          <w:tcPr>
            <w:tcW w:w="500" w:type="pct"/>
            <w:shd w:val="clear" w:color="auto" w:fill="C0C0C0"/>
            <w:noWrap w:val="0"/>
            <w:tcMar>
              <w:top w:w="60" w:type="dxa"/>
            </w:tcMar>
            <w:vAlign w:val="top"/>
          </w:tcPr>
          <w:p>
            <w:pPr>
              <w:jc w:val="center"/>
              <w:rPr>
                <w:b/>
                <w:sz w:val="20"/>
              </w:rPr>
            </w:pPr>
            <w:r>
              <w:rPr>
                <w:b/>
                <w:sz w:val="20"/>
              </w:rPr>
              <w:t>Минимален приложим процент на участието на ЕЗФРСР за периода 2014—2022 г. (%)</w:t>
            </w:r>
          </w:p>
        </w:tc>
        <w:tc>
          <w:tcPr>
            <w:tcW w:w="500" w:type="pct"/>
            <w:shd w:val="clear" w:color="auto" w:fill="C0C0C0"/>
            <w:noWrap w:val="0"/>
            <w:tcMar>
              <w:top w:w="60" w:type="dxa"/>
            </w:tcMar>
            <w:vAlign w:val="top"/>
          </w:tcPr>
          <w:p>
            <w:pPr>
              <w:jc w:val="center"/>
              <w:rPr>
                <w:b w:val="0"/>
                <w:sz w:val="20"/>
              </w:rPr>
            </w:pPr>
            <w:r>
              <w:rPr>
                <w:b/>
                <w:sz w:val="20"/>
              </w:rPr>
              <w:t>Максимален приложим процент на участието на ЕЗФРСР за периода 2014—2022 г. (%)</w:t>
            </w:r>
          </w:p>
        </w:tc>
      </w:tr>
      <w:tr>
        <w:tblPrEx>
          <w:tblW w:w="5000" w:type="pct"/>
          <w:tblCellMar>
            <w:left w:w="108" w:type="dxa"/>
            <w:right w:w="108" w:type="dxa"/>
          </w:tblCellMar>
        </w:tblPrEx>
        <w:tc>
          <w:tcPr>
            <w:tcW w:w="3500" w:type="pc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500" w:type="pct"/>
            <w:shd w:val="clear" w:color="auto" w:fill="FFFFFF"/>
            <w:noWrap w:val="0"/>
            <w:tcMar>
              <w:top w:w="60" w:type="dxa"/>
            </w:tcMar>
            <w:vAlign w:val="top"/>
          </w:tcPr>
          <w:p>
            <w:pPr>
              <w:jc w:val="right"/>
              <w:rPr>
                <w:b w:val="0"/>
                <w:sz w:val="16"/>
              </w:rPr>
            </w:pPr>
            <w:r>
              <w:rPr>
                <w:b w:val="0"/>
                <w:sz w:val="16"/>
              </w:rPr>
              <w:t>85%</w:t>
            </w:r>
          </w:p>
        </w:tc>
        <w:tc>
          <w:tcPr>
            <w:tcW w:w="500" w:type="pct"/>
            <w:shd w:val="clear" w:color="auto" w:fill="FFFFFF"/>
            <w:noWrap w:val="0"/>
            <w:tcMar>
              <w:top w:w="60" w:type="dxa"/>
            </w:tcMar>
            <w:vAlign w:val="top"/>
          </w:tcPr>
          <w:p>
            <w:pPr>
              <w:jc w:val="right"/>
              <w:rPr>
                <w:b w:val="0"/>
                <w:sz w:val="16"/>
              </w:rPr>
            </w:pPr>
            <w:r>
              <w:rPr>
                <w:b w:val="0"/>
                <w:sz w:val="16"/>
              </w:rPr>
              <w:t>20%</w:t>
            </w:r>
          </w:p>
        </w:tc>
        <w:tc>
          <w:tcPr>
            <w:tcW w:w="500" w:type="pct"/>
            <w:shd w:val="clear" w:color="auto" w:fill="FFFFFF"/>
            <w:noWrap w:val="0"/>
            <w:tcMar>
              <w:top w:w="60" w:type="dxa"/>
            </w:tcMar>
            <w:vAlign w:val="top"/>
          </w:tcPr>
          <w:p>
            <w:pPr>
              <w:jc w:val="right"/>
              <w:rPr>
                <w:b w:val="0"/>
                <w:sz w:val="16"/>
              </w:rPr>
            </w:pPr>
            <w:r>
              <w:rPr>
                <w:b w:val="0"/>
                <w:sz w:val="16"/>
              </w:rPr>
              <w:t>85%</w:t>
            </w:r>
          </w:p>
        </w:tc>
      </w:tr>
    </w:tbl>
    <w:p>
      <w:pPr>
        <w:pStyle w:val="Heading2"/>
        <w:rPr>
          <w:b/>
        </w:rPr>
      </w:pPr>
      <w:r>
        <w:rPr>
          <w:b/>
        </w:rPr>
        <w:br w:type="page"/>
      </w:r>
      <w:bookmarkStart w:id="146" w:name="_Toc256000146"/>
      <w:r>
        <w:rPr>
          <w:b/>
        </w:rPr>
        <w:t>Разпределение по мярка или вид операция, с конкретния размер на процентното участие на ЕЗФРСР (в евро за целия период 2014—2022 г.)</w:t>
      </w:r>
      <w:bookmarkEnd w:id="146"/>
    </w:p>
    <w:p>
      <w:pPr>
        <w:pStyle w:val="Heading3"/>
        <w:jc w:val="left"/>
        <w:rPr>
          <w:b w:val="0"/>
        </w:rPr>
      </w:pPr>
      <w:bookmarkStart w:id="147" w:name="_Toc256000147"/>
      <w:r>
        <w:rPr>
          <w:b w:val="0"/>
        </w:rPr>
        <w:t>М01 — Трансфер на знания и действия за осведомяване (член 14)</w:t>
      </w:r>
      <w:bookmarkEnd w:id="14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w:t>
            </w: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(3B)</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w:t>
            </w:r>
          </w:p>
        </w:tc>
        <w:tc>
          <w:tcPr>
            <w:tcW w:w="2400" w:type="dxa"/>
            <w:shd w:val="clear" w:color="auto" w:fill="FFFFFF"/>
            <w:noWrap w:val="0"/>
            <w:tcMar>
              <w:top w:w="60" w:type="dxa"/>
            </w:tcMar>
            <w:vAlign w:val="top"/>
          </w:tcPr>
          <w:p>
            <w:pPr>
              <w:jc w:val="right"/>
              <w:rPr>
                <w:b w:val="0"/>
                <w:sz w:val="16"/>
              </w:rPr>
            </w:pPr>
            <w:r>
              <w:rPr>
                <w:b w:val="0"/>
                <w:sz w:val="16"/>
              </w:rPr>
              <w:t>1 754 810,00 (2A)</w:t>
            </w:r>
          </w:p>
          <w:p>
            <w:pPr>
              <w:jc w:val="right"/>
              <w:rPr>
                <w:b w:val="0"/>
                <w:sz w:val="16"/>
              </w:rPr>
            </w:pPr>
            <w:r>
              <w:rPr>
                <w:b w:val="0"/>
                <w:sz w:val="16"/>
              </w:rPr>
              <w:t>479 528,00 (2B)</w:t>
            </w:r>
          </w:p>
          <w:p>
            <w:pPr>
              <w:jc w:val="right"/>
              <w:rPr>
                <w:b w:val="0"/>
                <w:sz w:val="16"/>
              </w:rPr>
            </w:pPr>
            <w:r>
              <w:rPr>
                <w:b w:val="0"/>
                <w:sz w:val="16"/>
              </w:rPr>
              <w:t>58 980,00 (3A)</w:t>
            </w:r>
          </w:p>
          <w:p>
            <w:pPr>
              <w:jc w:val="right"/>
              <w:rPr>
                <w:b w:val="0"/>
                <w:sz w:val="16"/>
              </w:rPr>
            </w:pPr>
            <w:r>
              <w:rPr>
                <w:b w:val="0"/>
                <w:sz w:val="16"/>
              </w:rPr>
              <w:t>912 020,00 (3B)</w:t>
            </w:r>
          </w:p>
          <w:p>
            <w:pPr>
              <w:jc w:val="right"/>
              <w:rPr>
                <w:b w:val="0"/>
                <w:sz w:val="16"/>
              </w:rPr>
            </w:pPr>
            <w:r>
              <w:rPr>
                <w:b w:val="0"/>
                <w:sz w:val="16"/>
              </w:rPr>
              <w:t>850 428,00 (P4)</w:t>
            </w:r>
          </w:p>
          <w:p>
            <w:pPr>
              <w:jc w:val="right"/>
              <w:rPr>
                <w:b w:val="0"/>
                <w:sz w:val="16"/>
              </w:rPr>
            </w:pPr>
            <w:r>
              <w:rPr>
                <w:b w:val="0"/>
                <w:sz w:val="16"/>
              </w:rPr>
              <w:t>665 452,00 (5A)</w:t>
            </w:r>
          </w:p>
          <w:p>
            <w:pPr>
              <w:jc w:val="right"/>
              <w:rPr>
                <w:b w:val="0"/>
                <w:sz w:val="16"/>
              </w:rPr>
            </w:pPr>
            <w:r>
              <w:rPr>
                <w:b w:val="0"/>
                <w:sz w:val="16"/>
              </w:rPr>
              <w:t>223 177,00 (5B)</w:t>
            </w:r>
          </w:p>
          <w:p>
            <w:pPr>
              <w:jc w:val="right"/>
              <w:rPr>
                <w:b w:val="0"/>
                <w:sz w:val="16"/>
              </w:rPr>
            </w:pPr>
            <w:r>
              <w:rPr>
                <w:b w:val="0"/>
                <w:sz w:val="16"/>
              </w:rPr>
              <w:t>29 738,00 (5C)</w:t>
            </w:r>
          </w:p>
          <w:p>
            <w:pPr>
              <w:jc w:val="right"/>
              <w:rPr>
                <w:b w:val="0"/>
                <w:sz w:val="16"/>
              </w:rPr>
            </w:pPr>
            <w:r>
              <w:rPr>
                <w:b w:val="0"/>
                <w:sz w:val="16"/>
              </w:rPr>
              <w:t>241 030,00 (5D)</w:t>
            </w:r>
          </w:p>
          <w:p>
            <w:pPr>
              <w:jc w:val="right"/>
              <w:rPr>
                <w:b w:val="0"/>
                <w:sz w:val="16"/>
              </w:rPr>
            </w:pPr>
            <w:r>
              <w:rPr>
                <w:b w:val="0"/>
                <w:sz w:val="16"/>
              </w:rPr>
              <w:t>454 837,00 (5E)</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w:t>
            </w: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(3B)</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5 670 000,00</w:t>
            </w:r>
            <w:r>
              <w:rPr>
                <w:b w:val="0"/>
                <w:sz w:val="16"/>
              </w:rPr>
              <w:br/>
            </w:r>
            <w:r>
              <w:rPr>
                <w:b w:val="0"/>
                <w:sz w:val="16"/>
              </w:rPr>
              <w:t>0,00</w:t>
            </w:r>
            <w:r>
              <w:rPr>
                <w:b w:val="0"/>
                <w:sz w:val="16"/>
              </w:rPr>
              <w:br/>
            </w:r>
            <w:r>
              <w:rPr>
                <w:b w:val="0"/>
                <w:sz w:val="16"/>
              </w:rPr>
              <w:t>5 670 000,00</w:t>
            </w:r>
          </w:p>
        </w:tc>
      </w:tr>
    </w:tbl>
    <w:p>
      <w:pPr>
        <w:pStyle w:val="Heading3"/>
        <w:jc w:val="left"/>
        <w:rPr>
          <w:b w:val="0"/>
        </w:rPr>
      </w:pPr>
      <w:r>
        <w:rPr>
          <w:b/>
        </w:rPr>
        <w:br w:type="page"/>
      </w:r>
      <w:bookmarkStart w:id="148" w:name="_Toc256000148"/>
      <w:r>
        <w:rPr>
          <w:b w:val="0"/>
        </w:rPr>
        <w:t>М02 —  Консултантски услуги, услуги по управление на стопанство и услуги по заместване в стопанство (член 15)</w:t>
      </w:r>
      <w:bookmarkEnd w:id="14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5 788 485,00 (2A)</w:t>
            </w:r>
          </w:p>
          <w:p>
            <w:pPr>
              <w:jc w:val="right"/>
              <w:rPr>
                <w:b w:val="0"/>
                <w:sz w:val="16"/>
              </w:rPr>
            </w:pPr>
            <w:r>
              <w:rPr>
                <w:b w:val="0"/>
                <w:sz w:val="16"/>
              </w:rPr>
              <w:t>1 593 750,00 (2B)</w:t>
            </w:r>
          </w:p>
          <w:p>
            <w:pPr>
              <w:jc w:val="right"/>
              <w:rPr>
                <w:b w:val="0"/>
                <w:sz w:val="16"/>
              </w:rPr>
            </w:pPr>
            <w:r>
              <w:rPr>
                <w:b w:val="0"/>
                <w:sz w:val="16"/>
              </w:rPr>
              <w:t>701 427,00 (3A)</w:t>
            </w:r>
          </w:p>
          <w:p>
            <w:pPr>
              <w:jc w:val="right"/>
              <w:rPr>
                <w:b w:val="0"/>
                <w:sz w:val="16"/>
              </w:rPr>
            </w:pPr>
            <w:r>
              <w:rPr>
                <w:b w:val="0"/>
                <w:sz w:val="16"/>
              </w:rPr>
              <w:t>701 427,00 (3B)</w:t>
            </w:r>
          </w:p>
          <w:p>
            <w:pPr>
              <w:jc w:val="right"/>
              <w:rPr>
                <w:b w:val="0"/>
                <w:sz w:val="16"/>
              </w:rPr>
            </w:pPr>
            <w:r>
              <w:rPr>
                <w:b w:val="0"/>
                <w:sz w:val="16"/>
              </w:rPr>
              <w:t>3 368 692,00 (P4)</w:t>
            </w:r>
          </w:p>
          <w:p>
            <w:pPr>
              <w:jc w:val="right"/>
              <w:rPr>
                <w:b w:val="0"/>
                <w:sz w:val="16"/>
              </w:rPr>
            </w:pPr>
            <w:r>
              <w:rPr>
                <w:b w:val="0"/>
                <w:sz w:val="16"/>
              </w:rPr>
              <w:t>437 657,00 (5A)</w:t>
            </w:r>
          </w:p>
          <w:p>
            <w:pPr>
              <w:jc w:val="right"/>
              <w:rPr>
                <w:b w:val="0"/>
                <w:sz w:val="16"/>
              </w:rPr>
            </w:pPr>
            <w:r>
              <w:rPr>
                <w:b w:val="0"/>
                <w:sz w:val="16"/>
              </w:rPr>
              <w:t>1 278 220,00 (5B)</w:t>
            </w:r>
          </w:p>
          <w:p>
            <w:pPr>
              <w:jc w:val="right"/>
              <w:rPr>
                <w:b w:val="0"/>
                <w:sz w:val="16"/>
              </w:rPr>
            </w:pPr>
            <w:r>
              <w:rPr>
                <w:b w:val="0"/>
                <w:sz w:val="16"/>
              </w:rPr>
              <w:t>1 278 220,00 (5C)</w:t>
            </w:r>
          </w:p>
          <w:p>
            <w:pPr>
              <w:jc w:val="right"/>
              <w:rPr>
                <w:b w:val="0"/>
                <w:sz w:val="16"/>
              </w:rPr>
            </w:pPr>
            <w:r>
              <w:rPr>
                <w:b w:val="0"/>
                <w:sz w:val="16"/>
              </w:rPr>
              <w:t>1 278 220,00 (5D)</w:t>
            </w:r>
          </w:p>
          <w:p>
            <w:pPr>
              <w:jc w:val="right"/>
              <w:rPr>
                <w:b w:val="0"/>
                <w:sz w:val="16"/>
              </w:rPr>
            </w:pPr>
            <w:r>
              <w:rPr>
                <w:b w:val="0"/>
                <w:sz w:val="16"/>
              </w:rPr>
              <w:t>1 278 220,00 (5E)</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(3B)</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17 704 318,00</w:t>
            </w:r>
            <w:r>
              <w:rPr>
                <w:b w:val="0"/>
                <w:sz w:val="16"/>
              </w:rPr>
              <w:br/>
            </w:r>
            <w:r>
              <w:rPr>
                <w:b w:val="0"/>
                <w:sz w:val="16"/>
              </w:rPr>
              <w:t>0,00</w:t>
            </w:r>
            <w:r>
              <w:rPr>
                <w:b w:val="0"/>
                <w:sz w:val="16"/>
              </w:rPr>
              <w:br/>
            </w:r>
            <w:r>
              <w:rPr>
                <w:b w:val="0"/>
                <w:sz w:val="16"/>
              </w:rPr>
              <w:t>17 704 318,00</w:t>
            </w:r>
          </w:p>
        </w:tc>
      </w:tr>
    </w:tbl>
    <w:p>
      <w:pPr>
        <w:pStyle w:val="Heading3"/>
        <w:jc w:val="left"/>
        <w:rPr>
          <w:b w:val="0"/>
        </w:rPr>
      </w:pPr>
      <w:r>
        <w:rPr>
          <w:b/>
        </w:rPr>
        <w:br w:type="page"/>
      </w:r>
      <w:bookmarkStart w:id="149" w:name="_Toc256000149"/>
      <w:r>
        <w:rPr>
          <w:b w:val="0"/>
        </w:rPr>
        <w:t>M04 — Инвестиции в материални активи (член 17)</w:t>
      </w:r>
      <w:bookmarkEnd w:id="14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503 815,00</w:t>
            </w:r>
          </w:p>
        </w:tc>
        <w:tc>
          <w:tcPr>
            <w:tcW w:w="2400" w:type="dxa"/>
            <w:shd w:val="clear" w:color="auto" w:fill="FFFFFF"/>
            <w:noWrap w:val="0"/>
            <w:tcMar>
              <w:top w:w="60" w:type="dxa"/>
            </w:tcMar>
            <w:vAlign w:val="top"/>
          </w:tcPr>
          <w:p>
            <w:pPr>
              <w:jc w:val="right"/>
              <w:rPr>
                <w:b w:val="0"/>
                <w:sz w:val="16"/>
              </w:rPr>
            </w:pPr>
            <w:r>
              <w:rPr>
                <w:b w:val="0"/>
                <w:sz w:val="16"/>
              </w:rPr>
              <w:t>346 969 567,99 (2A)</w:t>
            </w:r>
          </w:p>
          <w:p>
            <w:pPr>
              <w:jc w:val="right"/>
              <w:rPr>
                <w:b w:val="0"/>
                <w:sz w:val="16"/>
              </w:rPr>
            </w:pPr>
            <w:r>
              <w:rPr>
                <w:b w:val="0"/>
                <w:sz w:val="16"/>
              </w:rPr>
              <w:t>70 432 403,00 (2B)</w:t>
            </w:r>
          </w:p>
          <w:p>
            <w:pPr>
              <w:jc w:val="right"/>
              <w:rPr>
                <w:b w:val="0"/>
                <w:sz w:val="16"/>
              </w:rPr>
            </w:pPr>
            <w:r>
              <w:rPr>
                <w:b w:val="0"/>
                <w:sz w:val="16"/>
              </w:rPr>
              <w:t>256 590 802,00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8 905 251,00 (P4)</w:t>
            </w:r>
          </w:p>
          <w:p>
            <w:pPr>
              <w:jc w:val="right"/>
              <w:rPr>
                <w:b w:val="0"/>
                <w:sz w:val="16"/>
              </w:rPr>
            </w:pPr>
            <w:r>
              <w:rPr>
                <w:b w:val="0"/>
                <w:sz w:val="16"/>
              </w:rPr>
              <w:t>81 533 517,00 (5A)</w:t>
            </w:r>
          </w:p>
          <w:p>
            <w:pPr>
              <w:jc w:val="right"/>
              <w:rPr>
                <w:b w:val="0"/>
                <w:sz w:val="16"/>
              </w:rPr>
            </w:pPr>
            <w:r>
              <w:rPr>
                <w:b w:val="0"/>
                <w:sz w:val="16"/>
              </w:rPr>
              <w:t>115 333 364,00 (5B)</w:t>
            </w:r>
          </w:p>
          <w:p>
            <w:pPr>
              <w:jc w:val="right"/>
              <w:rPr>
                <w:b w:val="0"/>
                <w:sz w:val="16"/>
              </w:rPr>
            </w:pPr>
            <w:r>
              <w:rPr>
                <w:b w:val="0"/>
                <w:sz w:val="16"/>
              </w:rPr>
              <w:t>31 372 260,00 (5C)</w:t>
            </w:r>
          </w:p>
          <w:p>
            <w:pPr>
              <w:jc w:val="right"/>
              <w:rPr>
                <w:b w:val="0"/>
                <w:sz w:val="16"/>
              </w:rPr>
            </w:pPr>
            <w:r>
              <w:rPr>
                <w:b w:val="0"/>
                <w:sz w:val="16"/>
              </w:rPr>
              <w:t>579 995,00 (5D)</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tc>
      </w:tr>
      <w:tr>
        <w:tblPrEx>
          <w:tblW w:w="5000" w:type="pct"/>
          <w:tblCellMar>
            <w:left w:w="108" w:type="dxa"/>
            <w:right w:w="108" w:type="dxa"/>
          </w:tblCellMar>
        </w:tblPrEx>
        <w:tc>
          <w:tcPr>
            <w:tcW w:w="2400" w:type="dxa"/>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член 59, параграф 4, буква да) от Регламент (ЕС) № 1305/2013 (EURI)NGEU - EURI(NGEU)/По-слабо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100%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78 611 861,00 (3A)</w:t>
            </w:r>
          </w:p>
          <w:p>
            <w:pPr>
              <w:jc w:val="right"/>
              <w:rPr>
                <w:b w:val="0"/>
                <w:sz w:val="16"/>
              </w:rPr>
            </w:pPr>
            <w:r>
              <w:rPr>
                <w:b w:val="0"/>
                <w:sz w:val="16"/>
              </w:rPr>
              <w:t>33 582 349,00 (P4)</w:t>
            </w:r>
          </w:p>
          <w:p>
            <w:pPr>
              <w:jc w:val="right"/>
              <w:rPr>
                <w:b w:val="0"/>
                <w:sz w:val="16"/>
              </w:rPr>
            </w:pPr>
            <w:r>
              <w:rPr>
                <w:b w:val="0"/>
                <w:sz w:val="16"/>
              </w:rPr>
              <w:t>11 164 379,00 (5A)</w:t>
            </w:r>
          </w:p>
          <w:p>
            <w:pPr>
              <w:jc w:val="right"/>
              <w:rPr>
                <w:b w:val="0"/>
                <w:sz w:val="16"/>
              </w:rPr>
            </w:pPr>
            <w:r>
              <w:rPr>
                <w:b w:val="0"/>
                <w:sz w:val="16"/>
              </w:rPr>
              <w:t>18 113 516,00 (5B)</w:t>
            </w:r>
          </w:p>
          <w:p>
            <w:pPr>
              <w:jc w:val="right"/>
              <w:rPr>
                <w:b w:val="0"/>
                <w:sz w:val="16"/>
              </w:rPr>
            </w:pPr>
            <w:r>
              <w:rPr>
                <w:b w:val="0"/>
                <w:sz w:val="16"/>
              </w:rPr>
              <w:t>19 709 756,00 (5C)</w:t>
            </w:r>
          </w:p>
          <w:p>
            <w:pPr>
              <w:jc w:val="right"/>
              <w:rPr>
                <w:b w:val="0"/>
                <w:sz w:val="16"/>
              </w:rPr>
            </w:pPr>
            <w:r>
              <w:rPr>
                <w:b w:val="0"/>
                <w:sz w:val="16"/>
              </w:rPr>
              <w:t>0,00 (5D)</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503 815,00</w:t>
            </w:r>
            <w:r>
              <w:rPr>
                <w:b w:val="0"/>
                <w:sz w:val="16"/>
              </w:rPr>
              <w:br/>
            </w:r>
            <w:r>
              <w:rPr>
                <w:b w:val="0"/>
                <w:sz w:val="16"/>
              </w:rPr>
              <w:t>0,00</w:t>
            </w:r>
            <w:r>
              <w:rPr>
                <w:b w:val="0"/>
                <w:sz w:val="16"/>
              </w:rPr>
              <w:br/>
            </w:r>
            <w:r>
              <w:rPr>
                <w:b w:val="0"/>
                <w:sz w:val="16"/>
              </w:rPr>
              <w:t>503 815,00</w:t>
            </w:r>
          </w:p>
        </w:tc>
        <w:tc>
          <w:tcPr>
            <w:tcW w:w="2400" w:type="dxa"/>
            <w:shd w:val="clear" w:color="auto" w:fill="C0C0C0"/>
            <w:noWrap w:val="0"/>
            <w:tcMar>
              <w:top w:w="60" w:type="dxa"/>
            </w:tcMar>
            <w:vAlign w:val="top"/>
          </w:tcPr>
          <w:p>
            <w:pPr>
              <w:jc w:val="right"/>
              <w:rPr>
                <w:b w:val="0"/>
                <w:sz w:val="16"/>
              </w:rPr>
            </w:pPr>
            <w:r>
              <w:rPr>
                <w:b w:val="0"/>
                <w:sz w:val="16"/>
              </w:rPr>
              <w:t>911 717 159,99</w:t>
            </w:r>
            <w:r>
              <w:rPr>
                <w:b w:val="0"/>
                <w:sz w:val="16"/>
              </w:rPr>
              <w:br/>
            </w:r>
            <w:r>
              <w:rPr>
                <w:b w:val="0"/>
                <w:sz w:val="16"/>
              </w:rPr>
              <w:t>161 181 861,00</w:t>
            </w:r>
            <w:r>
              <w:rPr>
                <w:b w:val="0"/>
                <w:sz w:val="16"/>
              </w:rPr>
              <w:br/>
            </w:r>
            <w:r>
              <w:rPr>
                <w:b w:val="0"/>
                <w:sz w:val="16"/>
              </w:rPr>
              <w:t>1 072 899 020,99</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Общ размер на участието от Съюза, запазено за операции, които попадат в обхвата на член 59, параграф 6 от Регламент (ЕС) № 1305/2013 (в евро)</w:t>
            </w:r>
          </w:p>
        </w:tc>
        <w:tc>
          <w:tcPr>
            <w:tcW w:w="1250" w:type="pct"/>
            <w:shd w:val="clear" w:color="auto" w:fill="FFFFFF"/>
            <w:noWrap w:val="0"/>
            <w:tcMar>
              <w:top w:w="60" w:type="dxa"/>
            </w:tcMar>
            <w:vAlign w:val="top"/>
          </w:tcPr>
          <w:p>
            <w:pPr>
              <w:jc w:val="right"/>
              <w:rPr>
                <w:b w:val="0"/>
                <w:sz w:val="16"/>
              </w:rPr>
            </w:pPr>
            <w:r>
              <w:rPr>
                <w:b w:val="0"/>
                <w:sz w:val="16"/>
              </w:rPr>
              <w:t>320 294 387,00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от които по линия на ЕЗФРСР (в евро)</w:t>
            </w:r>
          </w:p>
        </w:tc>
        <w:tc>
          <w:tcPr>
            <w:tcW w:w="1250" w:type="pct"/>
            <w:shd w:val="clear" w:color="auto" w:fill="FFFFFF"/>
            <w:noWrap w:val="0"/>
            <w:tcMar>
              <w:top w:w="60" w:type="dxa"/>
            </w:tcMar>
            <w:vAlign w:val="top"/>
          </w:tcPr>
          <w:p>
            <w:pPr>
              <w:jc w:val="right"/>
              <w:rPr>
                <w:b w:val="0"/>
                <w:sz w:val="16"/>
              </w:rPr>
            </w:pPr>
            <w:r>
              <w:rPr>
                <w:b w:val="0"/>
                <w:sz w:val="16"/>
              </w:rPr>
              <w:t>237 724 387,00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от които по линия на EURI (в евро)</w:t>
            </w:r>
          </w:p>
        </w:tc>
        <w:tc>
          <w:tcPr>
            <w:tcW w:w="1250" w:type="pct"/>
            <w:shd w:val="clear" w:color="auto" w:fill="FFFFFF"/>
            <w:noWrap w:val="0"/>
            <w:tcMar>
              <w:top w:w="60" w:type="dxa"/>
            </w:tcMar>
            <w:vAlign w:val="top"/>
          </w:tcPr>
          <w:p>
            <w:pPr>
              <w:jc w:val="right"/>
              <w:rPr>
                <w:b w:val="0"/>
                <w:sz w:val="16"/>
              </w:rPr>
            </w:pPr>
            <w:r>
              <w:rPr>
                <w:b w:val="0"/>
                <w:sz w:val="16"/>
              </w:rPr>
              <w:t>82 570 000,00</w:t>
            </w:r>
          </w:p>
        </w:tc>
      </w:tr>
    </w:tbl>
    <w:p>
      <w:pPr>
        <w:pStyle w:val="Heading3"/>
        <w:jc w:val="left"/>
        <w:rPr>
          <w:b w:val="0"/>
        </w:rPr>
      </w:pPr>
      <w:r>
        <w:rPr>
          <w:b/>
        </w:rPr>
        <w:br w:type="page"/>
      </w:r>
      <w:bookmarkStart w:id="150" w:name="_Toc256000150"/>
      <w:r>
        <w:rPr>
          <w:b w:val="0"/>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bookmarkEnd w:id="150"/>
      <w:r>
        <w:rPr>
          <w:b w:val="0"/>
        </w:rPr>
        <w:t xml:space="preserv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13 250 935,00 (3B)</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(3B)</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13 250 935,00</w:t>
            </w:r>
            <w:r>
              <w:rPr>
                <w:b w:val="0"/>
                <w:sz w:val="16"/>
              </w:rPr>
              <w:br/>
            </w:r>
            <w:r>
              <w:rPr>
                <w:b w:val="0"/>
                <w:sz w:val="16"/>
              </w:rPr>
              <w:t>0,00</w:t>
            </w:r>
            <w:r>
              <w:rPr>
                <w:b w:val="0"/>
                <w:sz w:val="16"/>
              </w:rPr>
              <w:br/>
            </w:r>
            <w:r>
              <w:rPr>
                <w:b w:val="0"/>
                <w:sz w:val="16"/>
              </w:rPr>
              <w:t>13 250 935,00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Регламент (ЕС) № 2024/xxx: част от ЕЗФРСР, пренасочена към мярката по член 18, параграф 1, буква б) от Регламент (ЕС) № 1305/2013 (в евро)</w:t>
            </w:r>
          </w:p>
        </w:tc>
        <w:tc>
          <w:tcPr>
            <w:tcW w:w="1250" w:type="pct"/>
            <w:shd w:val="clear" w:color="auto" w:fill="FFFFFF"/>
            <w:noWrap w:val="0"/>
            <w:tcMar>
              <w:top w:w="60" w:type="dxa"/>
            </w:tcMar>
            <w:vAlign w:val="top"/>
          </w:tcPr>
          <w:p>
            <w:pPr>
              <w:jc w:val="right"/>
              <w:rPr>
                <w:b w:val="0"/>
                <w:sz w:val="16"/>
              </w:rPr>
            </w:pPr>
          </w:p>
        </w:tc>
      </w:tr>
    </w:tbl>
    <w:p>
      <w:pPr>
        <w:pStyle w:val="Heading3"/>
        <w:jc w:val="left"/>
        <w:rPr>
          <w:b w:val="0"/>
        </w:rPr>
      </w:pPr>
      <w:r>
        <w:rPr>
          <w:b/>
        </w:rPr>
        <w:br w:type="page"/>
      </w:r>
      <w:bookmarkStart w:id="151" w:name="_Toc256000151"/>
      <w:r>
        <w:rPr>
          <w:b w:val="0"/>
        </w:rPr>
        <w:t>M06 — Развитие на стопанства и предприятия (член 19)</w:t>
      </w:r>
      <w:bookmarkEnd w:id="15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8 738,00</w:t>
            </w:r>
          </w:p>
        </w:tc>
        <w:tc>
          <w:tcPr>
            <w:tcW w:w="2400" w:type="dxa"/>
            <w:shd w:val="clear" w:color="auto" w:fill="FFFFFF"/>
            <w:noWrap w:val="0"/>
            <w:tcMar>
              <w:top w:w="60" w:type="dxa"/>
            </w:tcMar>
            <w:vAlign w:val="top"/>
          </w:tcPr>
          <w:p>
            <w:pPr>
              <w:jc w:val="right"/>
              <w:rPr>
                <w:b w:val="0"/>
                <w:sz w:val="16"/>
              </w:rPr>
            </w:pPr>
            <w:r>
              <w:rPr>
                <w:b w:val="0"/>
                <w:sz w:val="16"/>
              </w:rPr>
              <w:t>51 553 500,00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28 891 595,00 (6A)</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45 450 000,00 (2B)</w:t>
            </w:r>
          </w:p>
          <w:p>
            <w:pPr>
              <w:jc w:val="right"/>
              <w:rPr>
                <w:b w:val="0"/>
                <w:sz w:val="16"/>
              </w:rPr>
            </w:pPr>
            <w:r>
              <w:rPr>
                <w:b w:val="0"/>
                <w:sz w:val="16"/>
              </w:rPr>
              <w:t>0,00 (3A)</w:t>
            </w:r>
          </w:p>
          <w:p>
            <w:pPr>
              <w:jc w:val="right"/>
              <w:rPr>
                <w:b w:val="0"/>
                <w:sz w:val="16"/>
              </w:rPr>
            </w:pPr>
            <w:r>
              <w:rPr>
                <w:b w:val="0"/>
                <w:sz w:val="16"/>
              </w:rPr>
              <w:t>0,00 (6A)</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17 851 719,00 (2B)</w:t>
            </w:r>
          </w:p>
          <w:p>
            <w:pPr>
              <w:jc w:val="right"/>
              <w:rPr>
                <w:b w:val="0"/>
                <w:sz w:val="16"/>
              </w:rPr>
            </w:pPr>
            <w:r>
              <w:rPr>
                <w:b w:val="0"/>
                <w:sz w:val="16"/>
              </w:rPr>
              <w:t>0,00 (3A)</w:t>
            </w:r>
          </w:p>
          <w:p>
            <w:pPr>
              <w:jc w:val="right"/>
              <w:rPr>
                <w:b w:val="0"/>
                <w:sz w:val="16"/>
              </w:rPr>
            </w:pPr>
            <w:r>
              <w:rPr>
                <w:b w:val="0"/>
                <w:sz w:val="16"/>
              </w:rPr>
              <w:t>0,00 (6A)</w:t>
            </w:r>
          </w:p>
        </w:tc>
      </w:tr>
      <w:tr>
        <w:tblPrEx>
          <w:tblW w:w="5000" w:type="pct"/>
          <w:tblCellMar>
            <w:left w:w="108" w:type="dxa"/>
            <w:right w:w="108" w:type="dxa"/>
          </w:tblCellMar>
        </w:tblPrEx>
        <w:tc>
          <w:tcPr>
            <w:tcW w:w="2400" w:type="dxa"/>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член 59, параграф 4, буква да) от Регламент (ЕС) № 1305/2013 (EURI)NGEU - EURI(NGEU)/По-слабо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100%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18 855 000,00 (2A)</w:t>
            </w:r>
          </w:p>
          <w:p>
            <w:pPr>
              <w:jc w:val="right"/>
              <w:rPr>
                <w:b w:val="0"/>
                <w:sz w:val="16"/>
              </w:rPr>
            </w:pPr>
            <w:r>
              <w:rPr>
                <w:b w:val="0"/>
                <w:sz w:val="16"/>
              </w:rPr>
              <w:t>13 750 000,00 (2B)</w:t>
            </w:r>
          </w:p>
          <w:p>
            <w:pPr>
              <w:jc w:val="right"/>
              <w:rPr>
                <w:b w:val="0"/>
                <w:sz w:val="16"/>
              </w:rPr>
            </w:pPr>
            <w:r>
              <w:rPr>
                <w:b w:val="0"/>
                <w:sz w:val="16"/>
              </w:rPr>
              <w:t>0,00 (3A)</w:t>
            </w:r>
          </w:p>
          <w:p>
            <w:pPr>
              <w:jc w:val="right"/>
              <w:rPr>
                <w:b w:val="0"/>
                <w:sz w:val="16"/>
              </w:rPr>
            </w:pPr>
            <w:r>
              <w:rPr>
                <w:b w:val="0"/>
                <w:sz w:val="16"/>
              </w:rPr>
              <w:t>0,00 (6A)</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8 738,00</w:t>
            </w:r>
            <w:r>
              <w:rPr>
                <w:b w:val="0"/>
                <w:sz w:val="16"/>
              </w:rPr>
              <w:br/>
            </w:r>
            <w:r>
              <w:rPr>
                <w:b w:val="0"/>
                <w:sz w:val="16"/>
              </w:rPr>
              <w:t>0,00</w:t>
            </w:r>
            <w:r>
              <w:rPr>
                <w:b w:val="0"/>
                <w:sz w:val="16"/>
              </w:rPr>
              <w:br/>
            </w:r>
            <w:r>
              <w:rPr>
                <w:b w:val="0"/>
                <w:sz w:val="16"/>
              </w:rPr>
              <w:t>8 738,00</w:t>
            </w:r>
          </w:p>
        </w:tc>
        <w:tc>
          <w:tcPr>
            <w:tcW w:w="2400" w:type="dxa"/>
            <w:shd w:val="clear" w:color="auto" w:fill="C0C0C0"/>
            <w:noWrap w:val="0"/>
            <w:tcMar>
              <w:top w:w="60" w:type="dxa"/>
            </w:tcMar>
            <w:vAlign w:val="top"/>
          </w:tcPr>
          <w:p>
            <w:pPr>
              <w:jc w:val="right"/>
              <w:rPr>
                <w:b w:val="0"/>
                <w:sz w:val="16"/>
              </w:rPr>
            </w:pPr>
            <w:r>
              <w:rPr>
                <w:b w:val="0"/>
                <w:sz w:val="16"/>
              </w:rPr>
              <w:t>143 746 814,00</w:t>
            </w:r>
            <w:r>
              <w:rPr>
                <w:b w:val="0"/>
                <w:sz w:val="16"/>
              </w:rPr>
              <w:br/>
            </w:r>
            <w:r>
              <w:rPr>
                <w:b w:val="0"/>
                <w:sz w:val="16"/>
              </w:rPr>
              <w:t>32 605 000,00</w:t>
            </w:r>
            <w:r>
              <w:rPr>
                <w:b w:val="0"/>
                <w:sz w:val="16"/>
              </w:rPr>
              <w:br/>
            </w:r>
            <w:r>
              <w:rPr>
                <w:b w:val="0"/>
                <w:sz w:val="16"/>
              </w:rPr>
              <w:t>176 351 814,00</w:t>
            </w:r>
          </w:p>
        </w:tc>
      </w:tr>
    </w:tbl>
    <w:p>
      <w:pPr>
        <w:pStyle w:val="Heading3"/>
        <w:jc w:val="left"/>
        <w:rPr>
          <w:b w:val="0"/>
        </w:rPr>
      </w:pPr>
      <w:r>
        <w:rPr>
          <w:b/>
        </w:rPr>
        <w:br w:type="page"/>
      </w:r>
      <w:bookmarkStart w:id="152" w:name="_Toc256000152"/>
      <w:r>
        <w:rPr>
          <w:b w:val="0"/>
        </w:rPr>
        <w:t>М07 — Основни услуги и обновяване на селата в селските райони (член 20)</w:t>
      </w:r>
      <w:bookmarkEnd w:id="15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36 320 414,00 (5C)</w:t>
            </w:r>
          </w:p>
          <w:p>
            <w:pPr>
              <w:jc w:val="right"/>
              <w:rPr>
                <w:b w:val="0"/>
                <w:sz w:val="16"/>
              </w:rPr>
            </w:pPr>
            <w:r>
              <w:rPr>
                <w:b w:val="0"/>
                <w:sz w:val="16"/>
              </w:rPr>
              <w:t>651 099 097,00 (6B)</w:t>
            </w:r>
          </w:p>
          <w:p>
            <w:pPr>
              <w:jc w:val="right"/>
              <w:rPr>
                <w:b w:val="0"/>
                <w:sz w:val="16"/>
              </w:rPr>
            </w:pPr>
            <w:r>
              <w:rPr>
                <w:b w:val="0"/>
                <w:sz w:val="16"/>
              </w:rPr>
              <w:t>0,00 (6C)</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(5C)</w:t>
            </w:r>
          </w:p>
          <w:p>
            <w:pPr>
              <w:jc w:val="right"/>
              <w:rPr>
                <w:b w:val="0"/>
                <w:sz w:val="16"/>
              </w:rPr>
            </w:pPr>
            <w:r>
              <w:rPr>
                <w:b w:val="0"/>
                <w:sz w:val="16"/>
              </w:rPr>
              <w:t>10 081 281,00 (6B)</w:t>
            </w:r>
          </w:p>
          <w:p>
            <w:pPr>
              <w:jc w:val="right"/>
              <w:rPr>
                <w:b w:val="0"/>
                <w:sz w:val="16"/>
              </w:rPr>
            </w:pPr>
            <w:r>
              <w:rPr>
                <w:b w:val="0"/>
                <w:sz w:val="16"/>
              </w:rPr>
              <w:t>0,00 (6C)</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697 500 792,00</w:t>
            </w:r>
            <w:r>
              <w:rPr>
                <w:b w:val="0"/>
                <w:sz w:val="16"/>
              </w:rPr>
              <w:br/>
            </w:r>
            <w:r>
              <w:rPr>
                <w:b w:val="0"/>
                <w:sz w:val="16"/>
              </w:rPr>
              <w:t>0,00</w:t>
            </w:r>
            <w:r>
              <w:rPr>
                <w:b w:val="0"/>
                <w:sz w:val="16"/>
              </w:rPr>
              <w:br/>
            </w:r>
            <w:r>
              <w:rPr>
                <w:b w:val="0"/>
                <w:sz w:val="16"/>
              </w:rPr>
              <w:t>697 500 792,00</w:t>
            </w:r>
          </w:p>
        </w:tc>
      </w:tr>
    </w:tbl>
    <w:p>
      <w:pPr>
        <w:pStyle w:val="Heading3"/>
        <w:jc w:val="left"/>
        <w:rPr>
          <w:b w:val="0"/>
        </w:rPr>
      </w:pPr>
      <w:r>
        <w:rPr>
          <w:b/>
        </w:rPr>
        <w:br w:type="page"/>
      </w:r>
      <w:bookmarkStart w:id="153" w:name="_Toc256000153"/>
      <w:r>
        <w:rPr>
          <w:b w:val="0"/>
        </w:rPr>
        <w:t>М08 — Инвестиции в развитие на горските райони и подобряване на жизнеспособността на горите (членове 21 — 26)</w:t>
      </w:r>
      <w:bookmarkEnd w:id="15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14 675 000,00 (2C+)</w:t>
            </w:r>
          </w:p>
          <w:p>
            <w:pPr>
              <w:jc w:val="right"/>
              <w:rPr>
                <w:b w:val="0"/>
                <w:sz w:val="16"/>
              </w:rPr>
            </w:pPr>
            <w:r>
              <w:rPr>
                <w:b w:val="0"/>
                <w:sz w:val="16"/>
              </w:rPr>
              <w:t>14 273 157,00 (P4)</w:t>
            </w:r>
          </w:p>
          <w:p>
            <w:pPr>
              <w:jc w:val="right"/>
              <w:rPr>
                <w:b w:val="0"/>
                <w:sz w:val="16"/>
              </w:rPr>
            </w:pPr>
            <w:r>
              <w:rPr>
                <w:b w:val="0"/>
                <w:sz w:val="16"/>
              </w:rPr>
              <w:t>2 037 500,00 (5E)</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(2C+)</w:t>
            </w:r>
          </w:p>
          <w:p>
            <w:pPr>
              <w:jc w:val="right"/>
              <w:rPr>
                <w:b w:val="0"/>
                <w:sz w:val="16"/>
              </w:rPr>
            </w:pPr>
            <w:r>
              <w:rPr>
                <w:b w:val="0"/>
                <w:sz w:val="16"/>
              </w:rPr>
              <w:t>0,00 (P4)</w:t>
            </w:r>
          </w:p>
          <w:p>
            <w:pPr>
              <w:jc w:val="right"/>
              <w:rPr>
                <w:b w:val="0"/>
                <w:sz w:val="16"/>
              </w:rPr>
            </w:pPr>
            <w:r>
              <w:rPr>
                <w:b w:val="0"/>
                <w:sz w:val="16"/>
              </w:rPr>
              <w:t>583 334,00 (5E)</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(2C+)</w:t>
            </w:r>
          </w:p>
          <w:p>
            <w:pPr>
              <w:jc w:val="right"/>
              <w:rPr>
                <w:b w:val="0"/>
                <w:sz w:val="16"/>
              </w:rPr>
            </w:pPr>
            <w:r>
              <w:rPr>
                <w:b w:val="0"/>
                <w:sz w:val="16"/>
              </w:rPr>
              <w:t>0,00 (P4)</w:t>
            </w:r>
          </w:p>
          <w:p>
            <w:pPr>
              <w:jc w:val="right"/>
              <w:rPr>
                <w:b w:val="0"/>
                <w:sz w:val="16"/>
              </w:rPr>
            </w:pPr>
            <w:r>
              <w:rPr>
                <w:b w:val="0"/>
                <w:sz w:val="16"/>
              </w:rPr>
              <w:t>0,00 (5E)</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31 568 991,00</w:t>
            </w:r>
            <w:r>
              <w:rPr>
                <w:b w:val="0"/>
                <w:sz w:val="16"/>
              </w:rPr>
              <w:br/>
            </w:r>
            <w:r>
              <w:rPr>
                <w:b w:val="0"/>
                <w:sz w:val="16"/>
              </w:rPr>
              <w:t>0,00</w:t>
            </w:r>
            <w:r>
              <w:rPr>
                <w:b w:val="0"/>
                <w:sz w:val="16"/>
              </w:rPr>
              <w:br/>
            </w:r>
            <w:r>
              <w:rPr>
                <w:b w:val="0"/>
                <w:sz w:val="16"/>
              </w:rPr>
              <w:t>31 568 991,00</w:t>
            </w:r>
          </w:p>
        </w:tc>
      </w:tr>
    </w:tbl>
    <w:p>
      <w:pPr>
        <w:pStyle w:val="Heading3"/>
        <w:jc w:val="left"/>
        <w:rPr>
          <w:b w:val="0"/>
        </w:rPr>
      </w:pPr>
      <w:r>
        <w:rPr>
          <w:b/>
        </w:rPr>
        <w:br w:type="page"/>
      </w:r>
      <w:bookmarkStart w:id="154" w:name="_Toc256000154"/>
      <w:r>
        <w:rPr>
          <w:b w:val="0"/>
        </w:rPr>
        <w:t>M09 — Създаване на групи и организации на производителите (член 27)</w:t>
      </w:r>
      <w:bookmarkEnd w:id="15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(3A)</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5 884 852,00 (3A)</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(3A)</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5 884 852,00</w:t>
            </w:r>
            <w:r>
              <w:rPr>
                <w:b w:val="0"/>
                <w:sz w:val="16"/>
              </w:rPr>
              <w:br/>
            </w:r>
            <w:r>
              <w:rPr>
                <w:b w:val="0"/>
                <w:sz w:val="16"/>
              </w:rPr>
              <w:t>0,00</w:t>
            </w:r>
            <w:r>
              <w:rPr>
                <w:b w:val="0"/>
                <w:sz w:val="16"/>
              </w:rPr>
              <w:br/>
            </w:r>
            <w:r>
              <w:rPr>
                <w:b w:val="0"/>
                <w:sz w:val="16"/>
              </w:rPr>
              <w:t>5 884 852,00</w:t>
            </w:r>
          </w:p>
        </w:tc>
      </w:tr>
    </w:tbl>
    <w:p>
      <w:pPr>
        <w:pStyle w:val="Heading3"/>
        <w:jc w:val="left"/>
        <w:rPr>
          <w:b w:val="0"/>
        </w:rPr>
      </w:pPr>
      <w:r>
        <w:rPr>
          <w:b/>
        </w:rPr>
        <w:br w:type="page"/>
      </w:r>
      <w:bookmarkStart w:id="155" w:name="_Toc256000155"/>
      <w:r>
        <w:rPr>
          <w:b w:val="0"/>
        </w:rPr>
        <w:t>M10 — Агроекология и климат (член 28)</w:t>
      </w:r>
      <w:bookmarkEnd w:id="15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(P4)</w:t>
            </w:r>
          </w:p>
          <w:p>
            <w:pPr>
              <w:jc w:val="right"/>
              <w:rPr>
                <w:b w:val="0"/>
                <w:sz w:val="16"/>
              </w:rPr>
            </w:pPr>
            <w:r>
              <w:rPr>
                <w:b w:val="0"/>
                <w:sz w:val="16"/>
              </w:rPr>
              <w:t>0,00 (5D)</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168 995 713,00 (P4)</w:t>
            </w:r>
          </w:p>
          <w:p>
            <w:pPr>
              <w:jc w:val="right"/>
              <w:rPr>
                <w:b w:val="0"/>
                <w:sz w:val="16"/>
              </w:rPr>
            </w:pPr>
            <w:r>
              <w:rPr>
                <w:b w:val="0"/>
                <w:sz w:val="16"/>
              </w:rPr>
              <w:t>26 281 749,00 (5D)</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1 766 000,00 (P4)</w:t>
            </w:r>
          </w:p>
          <w:p>
            <w:pPr>
              <w:jc w:val="right"/>
              <w:rPr>
                <w:b w:val="0"/>
                <w:sz w:val="16"/>
              </w:rPr>
            </w:pPr>
            <w:r>
              <w:rPr>
                <w:b w:val="0"/>
                <w:sz w:val="16"/>
              </w:rPr>
              <w:t>0,00 (5D)</w:t>
            </w:r>
          </w:p>
        </w:tc>
      </w:tr>
      <w:tr>
        <w:tblPrEx>
          <w:tblW w:w="5000" w:type="pct"/>
          <w:tblCellMar>
            <w:left w:w="108" w:type="dxa"/>
            <w:right w:w="108" w:type="dxa"/>
          </w:tblCellMar>
        </w:tblPrEx>
        <w:tc>
          <w:tcPr>
            <w:tcW w:w="2400" w:type="dxa"/>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член 59, параграф 4, буква да) от Регламент (ЕС) № 1305/2013 (EURI)NGEU - EURI(NGEU)/По-слабо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100%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8 150 000,00 (P4)</w:t>
            </w:r>
          </w:p>
          <w:p>
            <w:pPr>
              <w:jc w:val="right"/>
              <w:rPr>
                <w:b w:val="0"/>
                <w:sz w:val="16"/>
              </w:rPr>
            </w:pPr>
            <w:r>
              <w:rPr>
                <w:b w:val="0"/>
                <w:sz w:val="16"/>
              </w:rPr>
              <w:t>0,00 (5D)</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197 043 462,00</w:t>
            </w:r>
            <w:r>
              <w:rPr>
                <w:b w:val="0"/>
                <w:sz w:val="16"/>
              </w:rPr>
              <w:br/>
            </w:r>
            <w:r>
              <w:rPr>
                <w:b w:val="0"/>
                <w:sz w:val="16"/>
              </w:rPr>
              <w:t>8 150 000,00</w:t>
            </w:r>
            <w:r>
              <w:rPr>
                <w:b w:val="0"/>
                <w:sz w:val="16"/>
              </w:rPr>
              <w:br/>
            </w:r>
            <w:r>
              <w:rPr>
                <w:b w:val="0"/>
                <w:sz w:val="16"/>
              </w:rPr>
              <w:t>205 193 462,00</w:t>
            </w:r>
          </w:p>
        </w:tc>
      </w:tr>
    </w:tbl>
    <w:p>
      <w:pPr>
        <w:pStyle w:val="Heading3"/>
        <w:jc w:val="left"/>
        <w:rPr>
          <w:b w:val="0"/>
        </w:rPr>
      </w:pPr>
      <w:r>
        <w:rPr>
          <w:b/>
        </w:rPr>
        <w:br w:type="page"/>
      </w:r>
      <w:bookmarkStart w:id="156" w:name="_Toc256000156"/>
      <w:r>
        <w:rPr>
          <w:b w:val="0"/>
        </w:rPr>
        <w:t>М11 — Биологично земеделие (член 29)</w:t>
      </w:r>
      <w:bookmarkEnd w:id="15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157 132 579,00 (P4)</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157 132 579,00</w:t>
            </w:r>
            <w:r>
              <w:rPr>
                <w:b w:val="0"/>
                <w:sz w:val="16"/>
              </w:rPr>
              <w:br/>
            </w:r>
            <w:r>
              <w:rPr>
                <w:b w:val="0"/>
                <w:sz w:val="16"/>
              </w:rPr>
              <w:t>0,00</w:t>
            </w:r>
            <w:r>
              <w:rPr>
                <w:b w:val="0"/>
                <w:sz w:val="16"/>
              </w:rPr>
              <w:br/>
            </w:r>
            <w:r>
              <w:rPr>
                <w:b w:val="0"/>
                <w:sz w:val="16"/>
              </w:rPr>
              <w:t>157 132 579,00</w:t>
            </w:r>
          </w:p>
        </w:tc>
      </w:tr>
    </w:tbl>
    <w:p>
      <w:pPr>
        <w:pStyle w:val="Heading3"/>
        <w:jc w:val="left"/>
        <w:rPr>
          <w:b w:val="0"/>
        </w:rPr>
      </w:pPr>
      <w:r>
        <w:rPr>
          <w:b/>
        </w:rPr>
        <w:br w:type="page"/>
      </w:r>
      <w:bookmarkStart w:id="157" w:name="_Toc256000157"/>
      <w:r>
        <w:rPr>
          <w:b w:val="0"/>
        </w:rPr>
        <w:t>M12 — Плащания по „Натура 2000“ и Рамковата директива за водите (член 30)</w:t>
      </w:r>
      <w:bookmarkEnd w:id="15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148 807 028,00 (P4)</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148 807 028,00</w:t>
            </w:r>
            <w:r>
              <w:rPr>
                <w:b w:val="0"/>
                <w:sz w:val="16"/>
              </w:rPr>
              <w:br/>
            </w:r>
            <w:r>
              <w:rPr>
                <w:b w:val="0"/>
                <w:sz w:val="16"/>
              </w:rPr>
              <w:t>0,00</w:t>
            </w:r>
            <w:r>
              <w:rPr>
                <w:b w:val="0"/>
                <w:sz w:val="16"/>
              </w:rPr>
              <w:br/>
            </w:r>
            <w:r>
              <w:rPr>
                <w:b w:val="0"/>
                <w:sz w:val="16"/>
              </w:rPr>
              <w:t>148 807 028,00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Общ размер на участието от Съюза, запазено за операции, които попадат в обхвата на член 59, параграф 6 от Регламент (ЕС) № 1305/2013 (в евро)</w:t>
            </w:r>
          </w:p>
        </w:tc>
        <w:tc>
          <w:tcPr>
            <w:tcW w:w="1250" w:type="pct"/>
            <w:shd w:val="clear" w:color="auto" w:fill="FFFFFF"/>
            <w:noWrap w:val="0"/>
            <w:tcMar>
              <w:top w:w="60" w:type="dxa"/>
            </w:tcMar>
            <w:vAlign w:val="top"/>
          </w:tcPr>
          <w:p>
            <w:pPr>
              <w:jc w:val="right"/>
              <w:rPr>
                <w:b w:val="0"/>
                <w:sz w:val="16"/>
              </w:rPr>
            </w:pPr>
            <w:r>
              <w:rPr>
                <w:b w:val="0"/>
                <w:sz w:val="16"/>
              </w:rPr>
              <w:t>148 807 028,00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от които по линия на ЕЗФРСР (в евро)</w:t>
            </w:r>
          </w:p>
        </w:tc>
        <w:tc>
          <w:tcPr>
            <w:tcW w:w="1250" w:type="pct"/>
            <w:shd w:val="clear" w:color="auto" w:fill="FFFFFF"/>
            <w:noWrap w:val="0"/>
            <w:tcMar>
              <w:top w:w="60" w:type="dxa"/>
            </w:tcMar>
            <w:vAlign w:val="top"/>
          </w:tcPr>
          <w:p>
            <w:pPr>
              <w:jc w:val="right"/>
              <w:rPr>
                <w:b w:val="0"/>
                <w:sz w:val="16"/>
              </w:rPr>
            </w:pPr>
            <w:r>
              <w:rPr>
                <w:b w:val="0"/>
                <w:sz w:val="16"/>
              </w:rPr>
              <w:t>148 807 028,00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от които по линия на EURI (в евро)</w:t>
            </w:r>
          </w:p>
        </w:tc>
        <w:tc>
          <w:tcPr>
            <w:tcW w:w="1250" w:type="pct"/>
            <w:shd w:val="clear" w:color="auto" w:fill="FFFFFF"/>
            <w:noWrap w:val="0"/>
            <w:tcMar>
              <w:top w:w="60" w:type="dxa"/>
            </w:tcMar>
            <w:vAlign w:val="top"/>
          </w:tcPr>
          <w:p>
            <w:pPr>
              <w:jc w:val="right"/>
              <w:rPr>
                <w:b w:val="0"/>
                <w:sz w:val="16"/>
              </w:rPr>
            </w:pPr>
            <w:r>
              <w:rPr>
                <w:b w:val="0"/>
                <w:sz w:val="16"/>
              </w:rPr>
              <w:t>0,00</w:t>
            </w:r>
          </w:p>
        </w:tc>
      </w:tr>
    </w:tbl>
    <w:p>
      <w:pPr>
        <w:pStyle w:val="Heading3"/>
        <w:jc w:val="left"/>
        <w:rPr>
          <w:b w:val="0"/>
        </w:rPr>
      </w:pPr>
      <w:r>
        <w:rPr>
          <w:b/>
        </w:rPr>
        <w:br w:type="page"/>
      </w:r>
      <w:bookmarkStart w:id="158" w:name="_Toc256000158"/>
      <w:r>
        <w:rPr>
          <w:b w:val="0"/>
        </w:rPr>
        <w:t>М13 — Плащания за райони, изправени пред природни или други специфични ограничения (член 31)</w:t>
      </w:r>
      <w:bookmarkEnd w:id="15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287 869 006,00 (P4)</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287 869 006,00</w:t>
            </w:r>
            <w:r>
              <w:rPr>
                <w:b w:val="0"/>
                <w:sz w:val="16"/>
              </w:rPr>
              <w:br/>
            </w:r>
            <w:r>
              <w:rPr>
                <w:b w:val="0"/>
                <w:sz w:val="16"/>
              </w:rPr>
              <w:t>0,00</w:t>
            </w:r>
            <w:r>
              <w:rPr>
                <w:b w:val="0"/>
                <w:sz w:val="16"/>
              </w:rPr>
              <w:br/>
            </w:r>
            <w:r>
              <w:rPr>
                <w:b w:val="0"/>
                <w:sz w:val="16"/>
              </w:rPr>
              <w:t>287 869 006,00</w:t>
            </w:r>
          </w:p>
        </w:tc>
      </w:tr>
    </w:tbl>
    <w:p>
      <w:pPr>
        <w:pStyle w:val="Heading3"/>
        <w:jc w:val="left"/>
        <w:rPr>
          <w:b w:val="0"/>
        </w:rPr>
      </w:pPr>
      <w:r>
        <w:rPr>
          <w:b/>
        </w:rPr>
        <w:br w:type="page"/>
      </w:r>
      <w:bookmarkStart w:id="159" w:name="_Toc256000159"/>
      <w:r>
        <w:rPr>
          <w:b w:val="0"/>
        </w:rPr>
        <w:t>M14 — Хуманно отношение към животните (член 33)</w:t>
      </w:r>
      <w:bookmarkEnd w:id="15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19 302 806,00 (3A)</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(3A)</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19 302 806,00</w:t>
            </w:r>
            <w:r>
              <w:rPr>
                <w:b w:val="0"/>
                <w:sz w:val="16"/>
              </w:rPr>
              <w:br/>
            </w:r>
            <w:r>
              <w:rPr>
                <w:b w:val="0"/>
                <w:sz w:val="16"/>
              </w:rPr>
              <w:t>0,00</w:t>
            </w:r>
            <w:r>
              <w:rPr>
                <w:b w:val="0"/>
                <w:sz w:val="16"/>
              </w:rPr>
              <w:br/>
            </w:r>
            <w:r>
              <w:rPr>
                <w:b w:val="0"/>
                <w:sz w:val="16"/>
              </w:rPr>
              <w:t>19 302 806,00</w:t>
            </w:r>
          </w:p>
        </w:tc>
      </w:tr>
    </w:tbl>
    <w:p>
      <w:pPr>
        <w:pStyle w:val="Heading3"/>
        <w:jc w:val="left"/>
        <w:rPr>
          <w:b w:val="0"/>
        </w:rPr>
      </w:pPr>
      <w:r>
        <w:rPr>
          <w:b/>
        </w:rPr>
        <w:br w:type="page"/>
      </w:r>
      <w:bookmarkStart w:id="160" w:name="_Toc256000160"/>
      <w:r>
        <w:rPr>
          <w:b w:val="0"/>
        </w:rPr>
        <w:t>M16 — Сътрудничество (член 35)</w:t>
      </w:r>
      <w:bookmarkEnd w:id="16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2 125 654,00 (2A)</w:t>
            </w:r>
          </w:p>
          <w:p>
            <w:pPr>
              <w:jc w:val="right"/>
              <w:rPr>
                <w:b w:val="0"/>
                <w:sz w:val="16"/>
              </w:rPr>
            </w:pPr>
            <w:r>
              <w:rPr>
                <w:b w:val="0"/>
                <w:sz w:val="16"/>
              </w:rPr>
              <w:t>1 079 015,00 (3A)</w:t>
            </w:r>
          </w:p>
          <w:p>
            <w:pPr>
              <w:jc w:val="right"/>
              <w:rPr>
                <w:b w:val="0"/>
                <w:sz w:val="16"/>
              </w:rPr>
            </w:pPr>
            <w:r>
              <w:rPr>
                <w:b w:val="0"/>
                <w:sz w:val="16"/>
              </w:rPr>
              <w:t>1 856 027,00 (P4)</w:t>
            </w:r>
          </w:p>
          <w:p>
            <w:pPr>
              <w:jc w:val="right"/>
              <w:rPr>
                <w:b w:val="0"/>
                <w:sz w:val="16"/>
              </w:rPr>
            </w:pPr>
            <w:r>
              <w:rPr>
                <w:b w:val="0"/>
                <w:sz w:val="16"/>
              </w:rPr>
              <w:t>575 591,00 (5A)</w:t>
            </w:r>
          </w:p>
          <w:p>
            <w:pPr>
              <w:jc w:val="right"/>
              <w:rPr>
                <w:b w:val="0"/>
                <w:sz w:val="16"/>
              </w:rPr>
            </w:pPr>
            <w:r>
              <w:rPr>
                <w:b w:val="0"/>
                <w:sz w:val="16"/>
              </w:rPr>
              <w:t>328 682,00 (5B)</w:t>
            </w:r>
          </w:p>
          <w:p>
            <w:pPr>
              <w:jc w:val="right"/>
              <w:rPr>
                <w:b w:val="0"/>
                <w:sz w:val="16"/>
              </w:rPr>
            </w:pPr>
            <w:r>
              <w:rPr>
                <w:b w:val="0"/>
                <w:sz w:val="16"/>
              </w:rPr>
              <w:t>506 524,00 (5C)</w:t>
            </w:r>
          </w:p>
          <w:p>
            <w:pPr>
              <w:jc w:val="right"/>
              <w:rPr>
                <w:b w:val="0"/>
                <w:sz w:val="16"/>
              </w:rPr>
            </w:pPr>
            <w:r>
              <w:rPr>
                <w:b w:val="0"/>
                <w:sz w:val="16"/>
              </w:rPr>
              <w:t>695 933,00 (5D)</w:t>
            </w:r>
          </w:p>
          <w:p>
            <w:pPr>
              <w:jc w:val="right"/>
              <w:rPr>
                <w:b w:val="0"/>
                <w:sz w:val="16"/>
              </w:rPr>
            </w:pPr>
            <w:r>
              <w:rPr>
                <w:b w:val="0"/>
                <w:sz w:val="16"/>
              </w:rPr>
              <w:t>44 574,00 (5E)</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7 212 000,00</w:t>
            </w:r>
            <w:r>
              <w:rPr>
                <w:b w:val="0"/>
                <w:sz w:val="16"/>
              </w:rPr>
              <w:br/>
            </w:r>
            <w:r>
              <w:rPr>
                <w:b w:val="0"/>
                <w:sz w:val="16"/>
              </w:rPr>
              <w:t>0,00</w:t>
            </w:r>
            <w:r>
              <w:rPr>
                <w:b w:val="0"/>
                <w:sz w:val="16"/>
              </w:rPr>
              <w:br/>
            </w:r>
            <w:r>
              <w:rPr>
                <w:b w:val="0"/>
                <w:sz w:val="16"/>
              </w:rPr>
              <w:t>7 212 000,00</w:t>
            </w:r>
          </w:p>
        </w:tc>
      </w:tr>
    </w:tbl>
    <w:p>
      <w:pPr>
        <w:pStyle w:val="Heading3"/>
        <w:jc w:val="left"/>
        <w:rPr>
          <w:b w:val="0"/>
        </w:rPr>
      </w:pPr>
      <w:r>
        <w:rPr>
          <w:b/>
        </w:rPr>
        <w:br w:type="page"/>
      </w:r>
      <w:bookmarkStart w:id="161" w:name="_Toc256000161"/>
      <w:r>
        <w:rPr>
          <w:b w:val="0"/>
        </w:rPr>
        <w:t>M19 — Подкрепа за местно развитие по LEADER (ВОМР — водено от общностите местно развитие) (член 35 от Регламент (ЕС) № 1303/2013)</w:t>
      </w:r>
      <w:bookmarkEnd w:id="16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(6B)</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14 563,00</w:t>
            </w:r>
          </w:p>
        </w:tc>
        <w:tc>
          <w:tcPr>
            <w:tcW w:w="2400" w:type="dxa"/>
            <w:shd w:val="clear" w:color="auto" w:fill="FFFFFF"/>
            <w:noWrap w:val="0"/>
            <w:tcMar>
              <w:top w:w="60" w:type="dxa"/>
            </w:tcMar>
            <w:vAlign w:val="top"/>
          </w:tcPr>
          <w:p>
            <w:pPr>
              <w:jc w:val="right"/>
              <w:rPr>
                <w:b w:val="0"/>
                <w:sz w:val="16"/>
              </w:rPr>
            </w:pPr>
            <w:r>
              <w:rPr>
                <w:b w:val="0"/>
                <w:sz w:val="16"/>
              </w:rPr>
              <w:t>149 688 059,00 (6B)</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100 000,00 (6B)</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14 563,00</w:t>
            </w:r>
            <w:r>
              <w:rPr>
                <w:b w:val="0"/>
                <w:sz w:val="16"/>
              </w:rPr>
              <w:br/>
            </w:r>
            <w:r>
              <w:rPr>
                <w:b w:val="0"/>
                <w:sz w:val="16"/>
              </w:rPr>
              <w:t>0,00</w:t>
            </w:r>
            <w:r>
              <w:rPr>
                <w:b w:val="0"/>
                <w:sz w:val="16"/>
              </w:rPr>
              <w:br/>
            </w:r>
            <w:r>
              <w:rPr>
                <w:b w:val="0"/>
                <w:sz w:val="16"/>
              </w:rPr>
              <w:t>14 563,00</w:t>
            </w:r>
          </w:p>
        </w:tc>
        <w:tc>
          <w:tcPr>
            <w:tcW w:w="2400" w:type="dxa"/>
            <w:shd w:val="clear" w:color="auto" w:fill="C0C0C0"/>
            <w:noWrap w:val="0"/>
            <w:tcMar>
              <w:top w:w="60" w:type="dxa"/>
            </w:tcMar>
            <w:vAlign w:val="top"/>
          </w:tcPr>
          <w:p>
            <w:pPr>
              <w:jc w:val="right"/>
              <w:rPr>
                <w:b w:val="0"/>
                <w:sz w:val="16"/>
              </w:rPr>
            </w:pPr>
            <w:r>
              <w:rPr>
                <w:b w:val="0"/>
                <w:sz w:val="16"/>
              </w:rPr>
              <w:t>149 788 059,00</w:t>
            </w:r>
            <w:r>
              <w:rPr>
                <w:b w:val="0"/>
                <w:sz w:val="16"/>
              </w:rPr>
              <w:br/>
            </w:r>
            <w:r>
              <w:rPr>
                <w:b w:val="0"/>
                <w:sz w:val="16"/>
              </w:rPr>
              <w:t>0,00</w:t>
            </w:r>
            <w:r>
              <w:rPr>
                <w:b w:val="0"/>
                <w:sz w:val="16"/>
              </w:rPr>
              <w:br/>
            </w:r>
            <w:r>
              <w:rPr>
                <w:b w:val="0"/>
                <w:sz w:val="16"/>
              </w:rPr>
              <w:t>149 788 059,00</w:t>
            </w:r>
          </w:p>
        </w:tc>
      </w:tr>
    </w:tbl>
    <w:p>
      <w:pPr>
        <w:pStyle w:val="Heading3"/>
        <w:jc w:val="left"/>
        <w:rPr>
          <w:b w:val="0"/>
        </w:rPr>
      </w:pPr>
      <w:r>
        <w:rPr>
          <w:b/>
        </w:rPr>
        <w:br w:type="page"/>
      </w:r>
      <w:bookmarkStart w:id="162" w:name="_Toc256000162"/>
      <w:r>
        <w:rPr>
          <w:b w:val="0"/>
        </w:rPr>
        <w:t>М20 — Техническа помощ държави членки (членове 51 — 54)</w:t>
      </w:r>
      <w:bookmarkEnd w:id="16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55 656 074,00</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55 656 074,00</w:t>
            </w:r>
            <w:r>
              <w:rPr>
                <w:b w:val="0"/>
                <w:sz w:val="16"/>
              </w:rPr>
              <w:br/>
            </w:r>
            <w:r>
              <w:rPr>
                <w:b w:val="0"/>
                <w:sz w:val="16"/>
              </w:rPr>
              <w:t>0,00</w:t>
            </w:r>
            <w:r>
              <w:rPr>
                <w:b w:val="0"/>
                <w:sz w:val="16"/>
              </w:rPr>
              <w:br/>
            </w:r>
            <w:r>
              <w:rPr>
                <w:b w:val="0"/>
                <w:sz w:val="16"/>
              </w:rPr>
              <w:t>55 656 074,00</w:t>
            </w:r>
          </w:p>
        </w:tc>
      </w:tr>
    </w:tbl>
    <w:p>
      <w:pPr>
        <w:pStyle w:val="Heading3"/>
        <w:jc w:val="left"/>
        <w:rPr>
          <w:b w:val="0"/>
        </w:rPr>
      </w:pPr>
      <w:r>
        <w:rPr>
          <w:b/>
        </w:rPr>
        <w:br w:type="page"/>
      </w:r>
      <w:bookmarkStart w:id="163" w:name="_Toc256000163"/>
      <w:r>
        <w:rPr>
          <w:b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bookmarkEnd w:id="16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32 501 864,00 (2A)</w:t>
            </w:r>
          </w:p>
          <w:p>
            <w:pPr>
              <w:jc w:val="right"/>
              <w:rPr>
                <w:b w:val="0"/>
                <w:sz w:val="16"/>
              </w:rPr>
            </w:pPr>
            <w:r>
              <w:rPr>
                <w:b w:val="0"/>
                <w:sz w:val="16"/>
              </w:rPr>
              <w:t>3 298 304,00 (6A)</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35 800 168,00</w:t>
            </w:r>
            <w:r>
              <w:rPr>
                <w:b w:val="0"/>
                <w:sz w:val="16"/>
              </w:rPr>
              <w:br/>
            </w:r>
            <w:r>
              <w:rPr>
                <w:b w:val="0"/>
                <w:sz w:val="16"/>
              </w:rPr>
              <w:t>0,00</w:t>
            </w:r>
            <w:r>
              <w:rPr>
                <w:b w:val="0"/>
                <w:sz w:val="16"/>
              </w:rPr>
              <w:br/>
            </w:r>
            <w:r>
              <w:rPr>
                <w:b w:val="0"/>
                <w:sz w:val="16"/>
              </w:rPr>
              <w:t>35 800 168,00</w:t>
            </w:r>
          </w:p>
        </w:tc>
      </w:tr>
    </w:tbl>
    <w:p>
      <w:pPr>
        <w:pStyle w:val="Heading3"/>
        <w:jc w:val="left"/>
        <w:rPr>
          <w:b w:val="0"/>
        </w:rPr>
      </w:pPr>
      <w:r>
        <w:rPr>
          <w:b/>
        </w:rPr>
        <w:br w:type="page"/>
      </w:r>
      <w:bookmarkStart w:id="164" w:name="_Toc256000164"/>
      <w:r>
        <w:rPr>
          <w:b w:val="0"/>
        </w:rPr>
        <w:t>M22 — Извънредно временно подпомагане за земеделските стопани и МСП, които са особено засегнати от последиците от руското нашествие в Украйна (член 39в)</w:t>
      </w:r>
      <w:bookmarkEnd w:id="16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25 379 996,00 (2A)</w:t>
            </w:r>
          </w:p>
          <w:p>
            <w:pPr>
              <w:jc w:val="right"/>
              <w:rPr>
                <w:b w:val="0"/>
                <w:sz w:val="16"/>
              </w:rPr>
            </w:pPr>
            <w:r>
              <w:rPr>
                <w:b w:val="0"/>
                <w:sz w:val="16"/>
              </w:rPr>
              <w:t>1 699 979,00 (6A)</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27 079 975,00</w:t>
            </w:r>
            <w:r>
              <w:rPr>
                <w:b w:val="0"/>
                <w:sz w:val="16"/>
              </w:rPr>
              <w:br/>
            </w:r>
            <w:r>
              <w:rPr>
                <w:b w:val="0"/>
                <w:sz w:val="16"/>
              </w:rPr>
              <w:t>0,00</w:t>
            </w:r>
            <w:r>
              <w:rPr>
                <w:b w:val="0"/>
                <w:sz w:val="16"/>
              </w:rPr>
              <w:br/>
            </w:r>
            <w:r>
              <w:rPr>
                <w:b w:val="0"/>
                <w:sz w:val="16"/>
              </w:rPr>
              <w:t>27 079 975,00</w:t>
            </w:r>
          </w:p>
        </w:tc>
      </w:tr>
    </w:tbl>
    <w:p>
      <w:pPr>
        <w:rPr>
          <w:b/>
        </w:rPr>
        <w:sectPr>
          <w:pgSz w:w="15840" w:h="12240" w:orient="landscape"/>
          <w:pgMar w:top="900" w:right="900" w:bottom="900" w:left="900" w:header="720" w:footer="720"/>
          <w:cols w:space="720"/>
        </w:sectPr>
      </w:pPr>
    </w:p>
    <w:p>
      <w:pPr>
        <w:pStyle w:val="Heading2"/>
      </w:pPr>
      <w:bookmarkStart w:id="165" w:name="_Toc256000165"/>
      <w:r>
        <w:t>Ориентировъчна разбивка по мярка за всяка подпрограма</w:t>
      </w:r>
      <w:bookmarkEnd w:id="16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400" w:type="dxa"/>
            <w:vMerge w:val="restart"/>
            <w:shd w:val="clear" w:color="auto" w:fill="C0C0C0"/>
            <w:noWrap w:val="0"/>
            <w:tcMar>
              <w:top w:w="60" w:type="dxa"/>
            </w:tcMar>
            <w:vAlign w:val="top"/>
          </w:tcPr>
          <w:p>
            <w:pPr>
              <w:jc w:val="center"/>
              <w:rPr>
                <w:b w:val="0"/>
                <w:sz w:val="20"/>
              </w:rPr>
            </w:pPr>
            <w:r>
              <w:rPr>
                <w:b w:val="0"/>
                <w:sz w:val="20"/>
              </w:rPr>
              <w:t>Наименование на тематичната подпрограма</w:t>
            </w:r>
          </w:p>
        </w:tc>
        <w:tc>
          <w:tcPr>
            <w:tcW w:w="2400" w:type="dxa"/>
            <w:shd w:val="clear" w:color="auto" w:fill="C0C0C0"/>
            <w:noWrap w:val="0"/>
            <w:tcMar>
              <w:top w:w="60" w:type="dxa"/>
            </w:tcMar>
            <w:vAlign w:val="top"/>
          </w:tcPr>
          <w:p>
            <w:pPr>
              <w:jc w:val="center"/>
              <w:rPr>
                <w:b w:val="0"/>
                <w:sz w:val="16"/>
              </w:rPr>
            </w:pPr>
            <w:r>
              <w:rPr>
                <w:b w:val="0"/>
                <w:sz w:val="16"/>
              </w:rPr>
              <w:t>Мярка</w:t>
            </w:r>
          </w:p>
        </w:tc>
        <w:tc>
          <w:tcPr>
            <w:tcW w:w="2400" w:type="dxa"/>
            <w:shd w:val="clear" w:color="auto" w:fill="C0C0C0"/>
            <w:noWrap w:val="0"/>
            <w:tcMar>
              <w:top w:w="60" w:type="dxa"/>
            </w:tcMar>
            <w:vAlign w:val="top"/>
          </w:tcPr>
          <w:p>
            <w:pPr>
              <w:jc w:val="center"/>
              <w:rPr>
                <w:b w:val="0"/>
                <w:sz w:val="16"/>
              </w:rPr>
            </w:pPr>
            <w:r>
              <w:rPr>
                <w:b w:val="0"/>
                <w:sz w:val="16"/>
              </w:rPr>
              <w:t>Общо планирано участие на Съюза за периода 2014—2022 г. (в евро)</w:t>
            </w:r>
          </w:p>
        </w:tc>
      </w:tr>
      <w:tr>
        <w:tblPrEx>
          <w:tblW w:w="5000" w:type="pct"/>
          <w:tblCellMar>
            <w:left w:w="108" w:type="dxa"/>
            <w:right w:w="108" w:type="dxa"/>
          </w:tblCellMar>
        </w:tblPrEx>
        <w:tc>
          <w:tcPr>
            <w:tcW w:w="2000" w:type="pct"/>
            <w:vMerge w:val="restart"/>
            <w:shd w:val="clear" w:color="auto" w:fill="FFFFFF"/>
            <w:noWrap w:val="0"/>
            <w:tcMar>
              <w:top w:w="60" w:type="dxa"/>
            </w:tcMar>
            <w:vAlign w:val="center"/>
          </w:tcPr>
          <w:p>
            <w:pPr>
              <w:jc w:val="left"/>
              <w:rPr>
                <w:b w:val="0"/>
                <w:sz w:val="16"/>
              </w:rPr>
            </w:pPr>
            <w:r>
              <w:rPr>
                <w:b w:val="0"/>
                <w:sz w:val="16"/>
              </w:rPr>
              <w:t>Тематична подпрограма за развитие на малки земеделски стопанства в Република България - 2014-2020</w:t>
            </w:r>
          </w:p>
        </w:tc>
        <w:tc>
          <w:tcPr>
            <w:tcW w:w="2000" w:type="pct"/>
            <w:shd w:val="clear" w:color="auto" w:fill="FFFFFF"/>
            <w:noWrap w:val="0"/>
            <w:tcMar>
              <w:top w:w="60" w:type="dxa"/>
            </w:tcMar>
            <w:vAlign w:val="center"/>
          </w:tcPr>
          <w:p>
            <w:pPr>
              <w:jc w:val="left"/>
              <w:rPr>
                <w:b w:val="0"/>
                <w:sz w:val="16"/>
              </w:rPr>
            </w:pPr>
            <w:r>
              <w:rPr>
                <w:b w:val="0"/>
                <w:sz w:val="16"/>
              </w:rPr>
              <w:t>М01 — Трансфер на знания и действия за осведомяване (член 14)</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000" w:type="pct"/>
            <w:shd w:val="clear" w:color="auto" w:fill="FFFFFF"/>
            <w:noWrap w:val="0"/>
            <w:tcMar>
              <w:top w:w="60" w:type="dxa"/>
            </w:tcMar>
            <w:vAlign w:val="center"/>
          </w:tcPr>
          <w:p>
            <w:pPr>
              <w:jc w:val="right"/>
              <w:rPr>
                <w:b w:val="0"/>
                <w:sz w:val="16"/>
              </w:rPr>
            </w:pPr>
            <w:r>
              <w:rPr>
                <w:b w:val="0"/>
                <w:sz w:val="16"/>
              </w:rPr>
              <w:t>14 937 966,00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M04 — Инвестиции в материални активи (член 17)</w:t>
            </w:r>
          </w:p>
        </w:tc>
        <w:tc>
          <w:tcPr>
            <w:tcW w:w="1000" w:type="pct"/>
            <w:shd w:val="clear" w:color="auto" w:fill="FFFFFF"/>
            <w:noWrap w:val="0"/>
            <w:tcMar>
              <w:top w:w="60" w:type="dxa"/>
            </w:tcMar>
            <w:vAlign w:val="center"/>
          </w:tcPr>
          <w:p>
            <w:pPr>
              <w:jc w:val="right"/>
              <w:rPr>
                <w:b w:val="0"/>
                <w:sz w:val="16"/>
              </w:rPr>
            </w:pPr>
            <w:r>
              <w:rPr>
                <w:b w:val="0"/>
                <w:sz w:val="16"/>
              </w:rPr>
              <w:t>4 760 000,00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M06 — Развитие на стопанства и предприятия (член 19)</w:t>
            </w:r>
          </w:p>
        </w:tc>
        <w:tc>
          <w:tcPr>
            <w:tcW w:w="1000" w:type="pct"/>
            <w:shd w:val="clear" w:color="auto" w:fill="FFFFFF"/>
            <w:noWrap w:val="0"/>
            <w:tcMar>
              <w:top w:w="60" w:type="dxa"/>
            </w:tcMar>
            <w:vAlign w:val="center"/>
          </w:tcPr>
          <w:p>
            <w:pPr>
              <w:jc w:val="right"/>
              <w:rPr>
                <w:b w:val="0"/>
                <w:sz w:val="16"/>
              </w:rPr>
            </w:pPr>
            <w:r>
              <w:rPr>
                <w:b w:val="0"/>
                <w:sz w:val="16"/>
              </w:rPr>
              <w:t>78 822 416,00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М07 — Основни услуги и обновяване на селата в селските райони (член 20)</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M09 — Създаване на групи и организации на производителите (член 27)</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M10 — Агроекология и климат (член 28)</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М11 — Биологично земеделие (член 29)</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M12 — Плащания по „Натура 2000“ и Рамковата директива за водите (член 30)</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М13 — Плащания за райони, изправени пред природни или други специфични ограничения (член 31)</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M14 — Хуманно отношение към животните (член 33)</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M16 — Сътрудничество (член 35)</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M19 — Подкрепа за местно развитие по LEADER (ВОМР — водено от общностите местно развитие) (член 35 от Регламент (ЕС) № 1303/2013)</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М20 — Техническа помощ държави членки (членове 51 — 54)</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M22 — Извънредно временно подпомагане за земеделските стопани и МСП, които са особено засегнати от последиците от руското нашествие в Украйна (член 39в)</w:t>
            </w:r>
          </w:p>
        </w:tc>
        <w:tc>
          <w:tcPr>
            <w:tcW w:w="1000" w:type="pct"/>
            <w:shd w:val="clear" w:color="auto" w:fill="FFFFFF"/>
            <w:noWrap w:val="0"/>
            <w:tcMar>
              <w:top w:w="60" w:type="dxa"/>
            </w:tcMar>
            <w:vAlign w:val="center"/>
          </w:tcPr>
          <w:p>
            <w:pPr>
              <w:jc w:val="right"/>
              <w:rPr>
                <w:b w:val="0"/>
                <w:sz w:val="16"/>
              </w:rPr>
            </w:pPr>
            <w:r>
              <w:rPr>
                <w:b w:val="0"/>
                <w:sz w:val="16"/>
              </w:rPr>
              <w:t>0,00</w:t>
            </w:r>
          </w:p>
        </w:tc>
      </w:tr>
    </w:tbl>
    <w:p>
      <w:pPr>
        <w:sectPr>
          <w:pgSz w:w="15840" w:h="12240" w:orient="landscape"/>
          <w:pgMar w:top="900" w:right="900" w:bottom="900" w:left="900" w:header="720" w:footer="720"/>
          <w:cols w:space="720"/>
        </w:sectPr>
      </w:pPr>
    </w:p>
    <w:p>
      <w:pPr>
        <w:pStyle w:val="Heading1"/>
      </w:pPr>
      <w:bookmarkStart w:id="166" w:name="_Toc256000166"/>
      <w:r>
        <w:t>План на показателите</w:t>
      </w:r>
      <w:bookmarkEnd w:id="166"/>
    </w:p>
    <w:p>
      <w:pPr>
        <w:pStyle w:val="Heading2"/>
      </w:pPr>
      <w:bookmarkStart w:id="167" w:name="_Toc256000167"/>
      <w:r>
        <w:t>План на показателите</w:t>
      </w:r>
      <w:bookmarkEnd w:id="167"/>
    </w:p>
    <w:p>
      <w:pPr>
        <w:pStyle w:val="Heading3"/>
        <w:jc w:val="left"/>
        <w:rPr>
          <w:b w:val="0"/>
        </w:rPr>
      </w:pPr>
      <w:bookmarkStart w:id="168" w:name="_Toc256000168"/>
      <w:r>
        <w:rPr>
          <w:b w:val="0"/>
        </w:rPr>
        <w:t>P1: Стимулиране на трансфера на знания и иновациите в областта на селското и горското стопанство и селските райони</w:t>
      </w:r>
      <w:bookmarkEnd w:id="168"/>
    </w:p>
    <w:p>
      <w:pPr>
        <w:pStyle w:val="Heading4"/>
        <w:jc w:val="left"/>
      </w:pPr>
      <w:r>
        <w:t>1А) Стимулиране на иновациите, сътрудничеството и развитието на базата от знания в селските райони</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 процент на разходи по членове 14, 15 и 35 от Регламент (ЕС) № 1305/2013 във връзка с общите разходи за ПРСР (област с поставен акцент 1А)</w:t>
            </w:r>
          </w:p>
        </w:tc>
        <w:tc>
          <w:tcPr>
            <w:tcW w:w="1000" w:type="pct"/>
            <w:shd w:val="clear" w:color="auto" w:fill="FFFFFF"/>
            <w:noWrap w:val="0"/>
            <w:tcMar>
              <w:top w:w="60" w:type="dxa"/>
            </w:tcMar>
            <w:vAlign w:val="center"/>
          </w:tcPr>
          <w:p>
            <w:pPr>
              <w:spacing w:before="20" w:after="20"/>
              <w:jc w:val="right"/>
              <w:rPr>
                <w:b/>
                <w:sz w:val="16"/>
              </w:rPr>
            </w:pPr>
            <w:r>
              <w:rPr>
                <w:b/>
                <w:sz w:val="16"/>
              </w:rPr>
              <w:t>0,93</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Общ размер на планираните публични разходи за програмата за развитие на селските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3 774 967 696,00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Публични плащания (акцентирана област 1A)</w:t>
            </w:r>
          </w:p>
        </w:tc>
        <w:tc>
          <w:tcPr>
            <w:tcW w:w="1000" w:type="pct"/>
            <w:shd w:val="clear" w:color="auto" w:fill="FFFFFF"/>
            <w:noWrap w:val="0"/>
            <w:tcMar>
              <w:top w:w="60" w:type="dxa"/>
            </w:tcMar>
            <w:vAlign w:val="center"/>
          </w:tcPr>
          <w:p>
            <w:pPr>
              <w:spacing w:before="20" w:after="20"/>
              <w:jc w:val="right"/>
              <w:rPr>
                <w:b w:val="0"/>
                <w:sz w:val="16"/>
              </w:rPr>
            </w:pPr>
            <w:r>
              <w:rPr>
                <w:b w:val="0"/>
                <w:sz w:val="16"/>
              </w:rPr>
              <w:t>35 141 942,00</w:t>
            </w:r>
          </w:p>
        </w:tc>
      </w:tr>
    </w:tbl>
    <w:p>
      <w:pPr>
        <w:jc w:val="center"/>
        <w:rPr>
          <w:b w:val="0"/>
          <w:sz w:val="16"/>
        </w:rPr>
      </w:pPr>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6 300 000,30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20 828 608,80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8 013 333,20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4"/>
        <w:jc w:val="left"/>
      </w:pPr>
      <w: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 общ брой на операциите за сътрудничество, подпомагани по мярката за сътрудничество (член 35 от Регламент (ЕС) № 1305/2013) (групи, мрежи/клъстери, пилотни проекти...) (област с поставен акцент 1Б)</w:t>
            </w:r>
          </w:p>
        </w:tc>
        <w:tc>
          <w:tcPr>
            <w:tcW w:w="1000" w:type="pct"/>
            <w:shd w:val="clear" w:color="auto" w:fill="FFFFFF"/>
            <w:noWrap w:val="0"/>
            <w:tcMar>
              <w:top w:w="60" w:type="dxa"/>
            </w:tcMar>
            <w:vAlign w:val="center"/>
          </w:tcPr>
          <w:p>
            <w:pPr>
              <w:spacing w:before="20" w:after="20"/>
              <w:jc w:val="right"/>
              <w:rPr>
                <w:b/>
                <w:sz w:val="16"/>
              </w:rPr>
            </w:pPr>
            <w:r>
              <w:rPr>
                <w:b/>
                <w:sz w:val="16"/>
              </w:rPr>
              <w:t>470,00</w:t>
            </w:r>
          </w:p>
        </w:tc>
      </w:tr>
    </w:tbl>
    <w:p>
      <w:pPr>
        <w:jc w:val="center"/>
        <w:rPr>
          <w:b w:val="0"/>
          <w:sz w:val="16"/>
        </w:rPr>
      </w:pPr>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оперативни групи в рамките на ЕПИ, който ще получат подкрепа (сформиране и функциониране) (16.1)</w:t>
            </w:r>
          </w:p>
        </w:tc>
        <w:tc>
          <w:tcPr>
            <w:tcW w:w="750" w:type="pct"/>
            <w:shd w:val="clear" w:color="auto" w:fill="FFFFFF"/>
            <w:noWrap w:val="0"/>
            <w:tcMar>
              <w:top w:w="60" w:type="dxa"/>
            </w:tcMar>
            <w:vAlign w:val="center"/>
          </w:tcPr>
          <w:p>
            <w:pPr>
              <w:spacing w:before="20" w:after="20"/>
              <w:jc w:val="right"/>
              <w:rPr>
                <w:b w:val="0"/>
                <w:sz w:val="16"/>
              </w:rPr>
            </w:pPr>
            <w:r>
              <w:rPr>
                <w:b w:val="0"/>
                <w:sz w:val="16"/>
              </w:rPr>
              <w:t>20,00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други операции за сътрудничество (групи, мрежи/клъстери, пилотни проекти...) (16.2 — 16.9)</w:t>
            </w:r>
          </w:p>
        </w:tc>
        <w:tc>
          <w:tcPr>
            <w:tcW w:w="750" w:type="pct"/>
            <w:shd w:val="clear" w:color="auto" w:fill="FFFFFF"/>
            <w:noWrap w:val="0"/>
            <w:tcMar>
              <w:top w:w="60" w:type="dxa"/>
            </w:tcMar>
            <w:vAlign w:val="center"/>
          </w:tcPr>
          <w:p>
            <w:pPr>
              <w:spacing w:before="20" w:after="20"/>
              <w:jc w:val="right"/>
              <w:rPr>
                <w:b w:val="0"/>
                <w:sz w:val="16"/>
              </w:rPr>
            </w:pPr>
            <w:r>
              <w:rPr>
                <w:b w:val="0"/>
                <w:sz w:val="16"/>
              </w:rPr>
              <w:t>450,00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bl>
    <w:p>
      <w:pPr>
        <w:sectPr>
          <w:pgMar w:top="900" w:right="900" w:bottom="900" w:left="900" w:header="720" w:footer="720"/>
          <w:cols w:space="720"/>
        </w:sectPr>
      </w:pPr>
    </w:p>
    <w:p>
      <w:pPr>
        <w:pStyle w:val="Heading4"/>
        <w:jc w:val="left"/>
      </w:pPr>
      <w:r>
        <w:t>1В) поощряване на ученето през целия живот и професионалното обучение в секторите на селското и горското стопанство</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T3: общ брой на участниците в обучения съгласно член 14 от Регламент (ЕС) № 1305/2013 (област с поставен акцент 1В)</w:t>
            </w:r>
          </w:p>
        </w:tc>
        <w:tc>
          <w:tcPr>
            <w:tcW w:w="1000" w:type="pct"/>
            <w:shd w:val="clear" w:color="auto" w:fill="FFFFFF"/>
            <w:noWrap w:val="0"/>
            <w:tcMar>
              <w:top w:w="60" w:type="dxa"/>
            </w:tcMar>
            <w:vAlign w:val="center"/>
          </w:tcPr>
          <w:p>
            <w:pPr>
              <w:spacing w:before="20" w:after="20"/>
              <w:jc w:val="right"/>
              <w:rPr>
                <w:b/>
                <w:sz w:val="16"/>
              </w:rPr>
            </w:pPr>
            <w:r>
              <w:rPr>
                <w:b/>
                <w:sz w:val="16"/>
              </w:rPr>
              <w:t>4 370,00</w:t>
            </w:r>
          </w:p>
        </w:tc>
      </w:tr>
    </w:tbl>
    <w:p>
      <w:pPr>
        <w:jc w:val="center"/>
        <w:rPr>
          <w:b w:val="0"/>
          <w:sz w:val="16"/>
        </w:rPr>
      </w:pPr>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4 370,00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3"/>
        <w:jc w:val="left"/>
        <w:rPr>
          <w:b w:val="0"/>
        </w:rPr>
      </w:pPr>
      <w:bookmarkStart w:id="169" w:name="_Toc256000169"/>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bookmarkEnd w:id="169"/>
    </w:p>
    <w:p>
      <w:pPr>
        <w:pStyle w:val="Heading4"/>
        <w:jc w:val="left"/>
      </w:pPr>
      <w: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T4: процент на земеделските стопанства, получаващи подпомагане по ПРСР за инвестиции в преструктуриране или модернизация (област с поставен акцент 2A)</w:t>
            </w:r>
          </w:p>
        </w:tc>
        <w:tc>
          <w:tcPr>
            <w:tcW w:w="1000" w:type="pct"/>
            <w:shd w:val="clear" w:color="auto" w:fill="FFFFFF"/>
            <w:noWrap w:val="0"/>
            <w:tcMar>
              <w:top w:w="60" w:type="dxa"/>
            </w:tcMar>
            <w:vAlign w:val="center"/>
          </w:tcPr>
          <w:p>
            <w:pPr>
              <w:spacing w:before="20" w:after="20"/>
              <w:jc w:val="right"/>
              <w:rPr>
                <w:b/>
                <w:sz w:val="16"/>
              </w:rPr>
            </w:pPr>
            <w:r>
              <w:rPr>
                <w:b/>
                <w:sz w:val="16"/>
              </w:rPr>
              <w:t>0,54</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получаващи подпомагане по ПРСР за инвестиции в преструктуриране или модернизация (област с поставен акцент 2A)</w:t>
            </w:r>
          </w:p>
        </w:tc>
        <w:tc>
          <w:tcPr>
            <w:tcW w:w="1000" w:type="pct"/>
            <w:shd w:val="clear" w:color="auto" w:fill="FFFFFF"/>
            <w:noWrap w:val="0"/>
            <w:tcMar>
              <w:top w:w="60" w:type="dxa"/>
            </w:tcMar>
            <w:vAlign w:val="center"/>
          </w:tcPr>
          <w:p>
            <w:pPr>
              <w:spacing w:before="20" w:after="20"/>
              <w:jc w:val="right"/>
              <w:rPr>
                <w:b w:val="0"/>
                <w:sz w:val="16"/>
              </w:rPr>
            </w:pPr>
            <w:r>
              <w:rPr>
                <w:b w:val="0"/>
                <w:sz w:val="16"/>
              </w:rPr>
              <w:t>2 000,00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600,00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874 527,10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1 949 788,60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7 130,00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6 809 982,10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стопанства, получаващи подкрепа за инвестиции в земеделски стопанства (4.1)</w:t>
            </w:r>
          </w:p>
        </w:tc>
        <w:tc>
          <w:tcPr>
            <w:tcW w:w="750" w:type="pct"/>
            <w:shd w:val="clear" w:color="auto" w:fill="FFFFFF"/>
            <w:noWrap w:val="0"/>
            <w:tcMar>
              <w:top w:w="60" w:type="dxa"/>
            </w:tcMar>
            <w:vAlign w:val="center"/>
          </w:tcPr>
          <w:p>
            <w:pPr>
              <w:spacing w:before="20" w:after="20"/>
              <w:jc w:val="right"/>
              <w:rPr>
                <w:b w:val="0"/>
                <w:sz w:val="16"/>
              </w:rPr>
            </w:pPr>
            <w:r>
              <w:rPr>
                <w:b w:val="0"/>
                <w:sz w:val="16"/>
              </w:rPr>
              <w:t>2 000,00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за инвестиции в инфраструктура (4.3)</w:t>
            </w:r>
          </w:p>
        </w:tc>
        <w:tc>
          <w:tcPr>
            <w:tcW w:w="750" w:type="pct"/>
            <w:shd w:val="clear" w:color="auto" w:fill="FFFFFF"/>
            <w:noWrap w:val="0"/>
            <w:tcMar>
              <w:top w:w="60" w:type="dxa"/>
            </w:tcMar>
            <w:vAlign w:val="center"/>
          </w:tcPr>
          <w:p>
            <w:pPr>
              <w:spacing w:before="20" w:after="20"/>
              <w:jc w:val="right"/>
              <w:rPr>
                <w:b w:val="0"/>
                <w:sz w:val="16"/>
              </w:rPr>
            </w:pPr>
            <w:r>
              <w:rPr>
                <w:b w:val="0"/>
                <w:sz w:val="16"/>
              </w:rPr>
              <w:t>29 965 859,90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635 283 233,00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(4.1)</w:t>
            </w:r>
          </w:p>
        </w:tc>
        <w:tc>
          <w:tcPr>
            <w:tcW w:w="750" w:type="pct"/>
            <w:shd w:val="clear" w:color="auto" w:fill="FFFFFF"/>
            <w:noWrap w:val="0"/>
            <w:tcMar>
              <w:top w:w="60" w:type="dxa"/>
            </w:tcMar>
            <w:vAlign w:val="center"/>
          </w:tcPr>
          <w:p>
            <w:pPr>
              <w:spacing w:before="20" w:after="20"/>
              <w:jc w:val="right"/>
              <w:rPr>
                <w:b w:val="0"/>
                <w:sz w:val="16"/>
              </w:rPr>
            </w:pPr>
            <w:r>
              <w:rPr>
                <w:b w:val="0"/>
                <w:sz w:val="16"/>
              </w:rPr>
              <w:t>378 233 632,90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408 199 492,80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 за развитието на малки стопанства (6.3)</w:t>
            </w:r>
          </w:p>
        </w:tc>
        <w:tc>
          <w:tcPr>
            <w:tcW w:w="750" w:type="pct"/>
            <w:shd w:val="clear" w:color="auto" w:fill="FFFFFF"/>
            <w:noWrap w:val="0"/>
            <w:tcMar>
              <w:top w:w="60" w:type="dxa"/>
            </w:tcMar>
            <w:vAlign w:val="center"/>
          </w:tcPr>
          <w:p>
            <w:pPr>
              <w:spacing w:before="20" w:after="20"/>
              <w:jc w:val="right"/>
              <w:rPr>
                <w:b w:val="0"/>
                <w:sz w:val="16"/>
              </w:rPr>
            </w:pPr>
            <w:r>
              <w:rPr>
                <w:b w:val="0"/>
                <w:sz w:val="16"/>
              </w:rPr>
              <w:t>4 200,00</w:t>
            </w:r>
          </w:p>
        </w:tc>
        <w:tc>
          <w:tcPr>
            <w:tcW w:w="750" w:type="pct"/>
            <w:shd w:val="clear" w:color="auto" w:fill="FFFFFF"/>
            <w:noWrap w:val="0"/>
            <w:tcMar>
              <w:top w:w="60" w:type="dxa"/>
            </w:tcMar>
            <w:vAlign w:val="center"/>
          </w:tcPr>
          <w:p>
            <w:pPr>
              <w:spacing w:before="20" w:after="20"/>
              <w:jc w:val="right"/>
              <w:rPr>
                <w:b w:val="0"/>
                <w:sz w:val="16"/>
              </w:rPr>
            </w:pPr>
            <w:r>
              <w:rPr>
                <w:b w:val="0"/>
                <w:sz w:val="16"/>
              </w:rPr>
              <w:t>1 300,00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79 506 176,50</w:t>
            </w:r>
          </w:p>
        </w:tc>
        <w:tc>
          <w:tcPr>
            <w:tcW w:w="750" w:type="pct"/>
            <w:shd w:val="clear" w:color="auto" w:fill="FFFFFF"/>
            <w:noWrap w:val="0"/>
            <w:tcMar>
              <w:top w:w="60" w:type="dxa"/>
            </w:tcMar>
            <w:vAlign w:val="center"/>
          </w:tcPr>
          <w:p>
            <w:pPr>
              <w:spacing w:before="20" w:after="20"/>
              <w:jc w:val="right"/>
              <w:rPr>
                <w:b w:val="0"/>
                <w:sz w:val="16"/>
              </w:rPr>
            </w:pPr>
            <w:r>
              <w:rPr>
                <w:b w:val="0"/>
                <w:sz w:val="16"/>
              </w:rPr>
              <w:t>18 855 000,00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79 506 176,50</w:t>
            </w:r>
          </w:p>
        </w:tc>
        <w:tc>
          <w:tcPr>
            <w:tcW w:w="750" w:type="pct"/>
            <w:shd w:val="clear" w:color="auto" w:fill="FFFFFF"/>
            <w:noWrap w:val="0"/>
            <w:tcMar>
              <w:top w:w="60" w:type="dxa"/>
            </w:tcMar>
            <w:vAlign w:val="center"/>
          </w:tcPr>
          <w:p>
            <w:pPr>
              <w:spacing w:before="20" w:after="20"/>
              <w:jc w:val="right"/>
              <w:rPr>
                <w:b w:val="0"/>
                <w:sz w:val="16"/>
              </w:rPr>
            </w:pPr>
            <w:r>
              <w:rPr>
                <w:b w:val="0"/>
                <w:sz w:val="16"/>
              </w:rPr>
              <w:t>18 855 000,00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2 361 837,80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Общо публични разходи (в евро) </w:t>
            </w:r>
          </w:p>
        </w:tc>
        <w:tc>
          <w:tcPr>
            <w:tcW w:w="750" w:type="pct"/>
            <w:shd w:val="clear" w:color="auto" w:fill="FFFFFF"/>
            <w:noWrap w:val="0"/>
            <w:tcMar>
              <w:top w:w="60" w:type="dxa"/>
            </w:tcMar>
            <w:vAlign w:val="center"/>
          </w:tcPr>
          <w:p>
            <w:pPr>
              <w:spacing w:before="20" w:after="20"/>
              <w:jc w:val="right"/>
              <w:rPr>
                <w:b w:val="0"/>
                <w:sz w:val="16"/>
              </w:rPr>
            </w:pPr>
            <w:r>
              <w:rPr>
                <w:b w:val="0"/>
                <w:sz w:val="16"/>
              </w:rPr>
              <w:t>38 237 487,40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стопанства, получаващи подкрепа</w:t>
            </w:r>
          </w:p>
        </w:tc>
        <w:tc>
          <w:tcPr>
            <w:tcW w:w="750" w:type="pct"/>
            <w:shd w:val="clear" w:color="auto" w:fill="FFFFFF"/>
            <w:noWrap w:val="0"/>
            <w:tcMar>
              <w:top w:w="60" w:type="dxa"/>
            </w:tcMar>
            <w:vAlign w:val="center"/>
          </w:tcPr>
          <w:p>
            <w:pPr>
              <w:spacing w:before="20" w:after="20"/>
              <w:jc w:val="right"/>
              <w:rPr>
                <w:b w:val="0"/>
                <w:sz w:val="16"/>
              </w:rPr>
            </w:pPr>
            <w:r>
              <w:rPr>
                <w:b w:val="0"/>
                <w:sz w:val="16"/>
              </w:rPr>
              <w:t>29 000,00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M22 — Извънредно временно подпомагане за земеделските стопани и МСП, които са особено засегнати от последиците от руското нашествие в Украйна (член 39в)</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29 859 419,00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M22 — Извънредно временно подпомагане за земеделските стопани и МСП, които са особено засегнати от последиците от руското нашествие в Украйна (член 39в)</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стопанства, получаващи подкрепа</w:t>
            </w:r>
          </w:p>
        </w:tc>
        <w:tc>
          <w:tcPr>
            <w:tcW w:w="750" w:type="pct"/>
            <w:shd w:val="clear" w:color="auto" w:fill="FFFFFF"/>
            <w:noWrap w:val="0"/>
            <w:tcMar>
              <w:top w:w="60" w:type="dxa"/>
            </w:tcMar>
            <w:vAlign w:val="center"/>
          </w:tcPr>
          <w:p>
            <w:pPr>
              <w:spacing w:before="20" w:after="20"/>
              <w:jc w:val="right"/>
              <w:rPr>
                <w:b w:val="0"/>
                <w:sz w:val="16"/>
              </w:rPr>
            </w:pPr>
            <w:r>
              <w:rPr>
                <w:b w:val="0"/>
                <w:sz w:val="16"/>
              </w:rPr>
              <w:t>31 000,00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4"/>
        <w:jc w:val="left"/>
      </w:pPr>
      <w: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T5: процент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tcW w:w="1000" w:type="pct"/>
            <w:shd w:val="clear" w:color="auto" w:fill="FFFFFF"/>
            <w:noWrap w:val="0"/>
            <w:tcMar>
              <w:top w:w="60" w:type="dxa"/>
            </w:tcMar>
            <w:vAlign w:val="center"/>
          </w:tcPr>
          <w:p>
            <w:pPr>
              <w:spacing w:before="20" w:after="20"/>
              <w:jc w:val="right"/>
              <w:rPr>
                <w:b/>
                <w:sz w:val="16"/>
              </w:rPr>
            </w:pPr>
            <w:r>
              <w:rPr>
                <w:b/>
                <w:sz w:val="16"/>
              </w:rPr>
              <w:t>1,00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tcW w:w="1000" w:type="pct"/>
            <w:shd w:val="clear" w:color="auto" w:fill="FFFFFF"/>
            <w:noWrap w:val="0"/>
            <w:tcMar>
              <w:top w:w="60" w:type="dxa"/>
            </w:tcMar>
            <w:vAlign w:val="center"/>
          </w:tcPr>
          <w:p>
            <w:pPr>
              <w:spacing w:before="20" w:after="20"/>
              <w:jc w:val="right"/>
              <w:rPr>
                <w:b w:val="0"/>
                <w:sz w:val="16"/>
              </w:rPr>
            </w:pPr>
            <w:r>
              <w:rPr>
                <w:b w:val="0"/>
                <w:sz w:val="16"/>
              </w:rPr>
              <w:t>3 700,00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400,00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532 809,10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532 809,10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720,00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1 874 999,80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стопанства, получаващи подкрепа за инвестиции в земеделски стопанства (подкрепа за бизнес план за млади земеделски стопани) (4.1)</w:t>
            </w:r>
          </w:p>
        </w:tc>
        <w:tc>
          <w:tcPr>
            <w:tcW w:w="750" w:type="pct"/>
            <w:shd w:val="clear" w:color="auto" w:fill="FFFFFF"/>
            <w:noWrap w:val="0"/>
            <w:tcMar>
              <w:top w:w="60" w:type="dxa"/>
            </w:tcMar>
            <w:vAlign w:val="center"/>
          </w:tcPr>
          <w:p>
            <w:pPr>
              <w:spacing w:before="20" w:after="20"/>
              <w:jc w:val="right"/>
              <w:rPr>
                <w:b w:val="0"/>
                <w:sz w:val="16"/>
              </w:rPr>
            </w:pPr>
            <w:r>
              <w:rPr>
                <w:b w:val="0"/>
                <w:sz w:val="16"/>
              </w:rPr>
              <w:t>260,00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138 314 516,60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82 861 651,10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 за млади земеделски стопани (6.1)</w:t>
            </w:r>
          </w:p>
        </w:tc>
        <w:tc>
          <w:tcPr>
            <w:tcW w:w="750" w:type="pct"/>
            <w:shd w:val="clear" w:color="auto" w:fill="FFFFFF"/>
            <w:noWrap w:val="0"/>
            <w:tcMar>
              <w:top w:w="60" w:type="dxa"/>
            </w:tcMar>
            <w:vAlign w:val="center"/>
          </w:tcPr>
          <w:p>
            <w:pPr>
              <w:spacing w:before="20" w:after="20"/>
              <w:jc w:val="right"/>
              <w:rPr>
                <w:b w:val="0"/>
                <w:sz w:val="16"/>
              </w:rPr>
            </w:pPr>
            <w:r>
              <w:rPr>
                <w:b w:val="0"/>
                <w:sz w:val="16"/>
              </w:rPr>
              <w:t>3 700,00</w:t>
            </w:r>
          </w:p>
        </w:tc>
        <w:tc>
          <w:tcPr>
            <w:tcW w:w="750" w:type="pct"/>
            <w:shd w:val="clear" w:color="auto" w:fill="FFFFFF"/>
            <w:noWrap w:val="0"/>
            <w:tcMar>
              <w:top w:w="60" w:type="dxa"/>
            </w:tcMar>
            <w:vAlign w:val="center"/>
          </w:tcPr>
          <w:p>
            <w:pPr>
              <w:spacing w:before="20" w:after="20"/>
              <w:jc w:val="right"/>
              <w:rPr>
                <w:b w:val="0"/>
                <w:sz w:val="16"/>
              </w:rPr>
            </w:pPr>
            <w:r>
              <w:rPr>
                <w:b w:val="0"/>
                <w:sz w:val="16"/>
              </w:rPr>
              <w:t>1 000,00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подкрепа за инвестиции в неселскостопански дейности в селските райони (6.4)</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плащания за прехвърляне на стопанство (6.5)</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84 085 243,20</w:t>
            </w:r>
          </w:p>
        </w:tc>
        <w:tc>
          <w:tcPr>
            <w:tcW w:w="750" w:type="pct"/>
            <w:shd w:val="clear" w:color="auto" w:fill="FFFFFF"/>
            <w:noWrap w:val="0"/>
            <w:tcMar>
              <w:top w:w="60" w:type="dxa"/>
            </w:tcMar>
            <w:vAlign w:val="center"/>
          </w:tcPr>
          <w:p>
            <w:pPr>
              <w:spacing w:before="20" w:after="20"/>
              <w:jc w:val="right"/>
              <w:rPr>
                <w:b w:val="0"/>
                <w:sz w:val="16"/>
              </w:rPr>
            </w:pPr>
            <w:r>
              <w:rPr>
                <w:b w:val="0"/>
                <w:sz w:val="16"/>
              </w:rPr>
              <w:t>13 750 000,00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(6.1)</w:t>
            </w:r>
          </w:p>
        </w:tc>
        <w:tc>
          <w:tcPr>
            <w:tcW w:w="750" w:type="pct"/>
            <w:shd w:val="clear" w:color="auto" w:fill="FFFFFF"/>
            <w:noWrap w:val="0"/>
            <w:tcMar>
              <w:top w:w="60" w:type="dxa"/>
            </w:tcMar>
            <w:vAlign w:val="center"/>
          </w:tcPr>
          <w:p>
            <w:pPr>
              <w:spacing w:before="20" w:after="20"/>
              <w:jc w:val="right"/>
              <w:rPr>
                <w:b w:val="0"/>
                <w:sz w:val="16"/>
              </w:rPr>
            </w:pPr>
            <w:r>
              <w:rPr>
                <w:b w:val="0"/>
                <w:sz w:val="16"/>
              </w:rPr>
              <w:t>84 085 243,20</w:t>
            </w:r>
          </w:p>
        </w:tc>
        <w:tc>
          <w:tcPr>
            <w:tcW w:w="750" w:type="pct"/>
            <w:shd w:val="clear" w:color="auto" w:fill="FFFFFF"/>
            <w:noWrap w:val="0"/>
            <w:tcMar>
              <w:top w:w="60" w:type="dxa"/>
            </w:tcMar>
            <w:vAlign w:val="center"/>
          </w:tcPr>
          <w:p>
            <w:pPr>
              <w:spacing w:before="20" w:after="20"/>
              <w:jc w:val="right"/>
              <w:rPr>
                <w:b w:val="0"/>
                <w:sz w:val="16"/>
              </w:rPr>
            </w:pPr>
            <w:r>
              <w:rPr>
                <w:b w:val="0"/>
                <w:sz w:val="16"/>
              </w:rPr>
              <w:t>13 750 000,00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84 085 243,20</w:t>
            </w:r>
          </w:p>
        </w:tc>
        <w:tc>
          <w:tcPr>
            <w:tcW w:w="750" w:type="pct"/>
            <w:shd w:val="clear" w:color="auto" w:fill="FFFFFF"/>
            <w:noWrap w:val="0"/>
            <w:tcMar>
              <w:top w:w="60" w:type="dxa"/>
            </w:tcMar>
            <w:vAlign w:val="center"/>
          </w:tcPr>
          <w:p>
            <w:pPr>
              <w:spacing w:before="20" w:after="20"/>
              <w:jc w:val="right"/>
              <w:rPr>
                <w:b w:val="0"/>
                <w:sz w:val="16"/>
              </w:rPr>
            </w:pPr>
            <w:r>
              <w:rPr>
                <w:b w:val="0"/>
                <w:sz w:val="16"/>
              </w:rPr>
              <w:t>13 750 000,00</w:t>
            </w:r>
          </w:p>
        </w:tc>
      </w:tr>
    </w:tbl>
    <w:p>
      <w:pPr>
        <w:sectPr>
          <w:pgMar w:top="900" w:right="900" w:bottom="900" w:left="900" w:header="720" w:footer="720"/>
          <w:cols w:space="720"/>
        </w:sectPr>
      </w:pPr>
    </w:p>
    <w:p>
      <w:pPr>
        <w:pStyle w:val="Heading4"/>
        <w:jc w:val="left"/>
      </w:pPr>
      <w:r>
        <w:t>2C+) Подобряване на икономическите резултати на фирмите в горското стопанство, дърводобива и първичната преработка на дървесина</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 xml:space="preserve">Фирми, получили подпомагане </w:t>
            </w:r>
          </w:p>
        </w:tc>
        <w:tc>
          <w:tcPr>
            <w:tcW w:w="1000" w:type="pct"/>
            <w:shd w:val="clear" w:color="auto" w:fill="FFFFFF"/>
            <w:noWrap w:val="0"/>
            <w:tcMar>
              <w:top w:w="60" w:type="dxa"/>
            </w:tcMar>
            <w:vAlign w:val="center"/>
          </w:tcPr>
          <w:p>
            <w:pPr>
              <w:spacing w:before="20" w:after="20"/>
              <w:jc w:val="right"/>
              <w:rPr>
                <w:b w:val="0"/>
                <w:sz w:val="16"/>
              </w:rPr>
            </w:pPr>
            <w:r>
              <w:rPr>
                <w:b w:val="0"/>
                <w:sz w:val="16"/>
              </w:rPr>
              <w:t>100,00</w:t>
            </w:r>
          </w:p>
        </w:tc>
      </w:tr>
    </w:tbl>
    <w:p>
      <w:pPr>
        <w:jc w:val="center"/>
        <w:rPr>
          <w:b w:val="0"/>
          <w:sz w:val="16"/>
        </w:rPr>
      </w:pPr>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(8.1)</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(8.2)</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(8.3)</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(8.4)</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(8.5)</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(8.6)</w:t>
            </w:r>
          </w:p>
        </w:tc>
        <w:tc>
          <w:tcPr>
            <w:tcW w:w="750" w:type="pct"/>
            <w:shd w:val="clear" w:color="auto" w:fill="FFFFFF"/>
            <w:noWrap w:val="0"/>
            <w:tcMar>
              <w:top w:w="60" w:type="dxa"/>
            </w:tcMar>
            <w:vAlign w:val="center"/>
          </w:tcPr>
          <w:p>
            <w:pPr>
              <w:spacing w:before="20" w:after="20"/>
              <w:jc w:val="right"/>
              <w:rPr>
                <w:b w:val="0"/>
                <w:sz w:val="16"/>
              </w:rPr>
            </w:pPr>
            <w:r>
              <w:rPr>
                <w:b w:val="0"/>
                <w:sz w:val="16"/>
              </w:rPr>
              <w:t>17 264 706,00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bl>
    <w:p>
      <w:pPr>
        <w:sectPr>
          <w:pgMar w:top="900" w:right="900" w:bottom="900" w:left="900" w:header="720" w:footer="720"/>
          <w:cols w:space="720"/>
        </w:sectPr>
      </w:pPr>
    </w:p>
    <w:p>
      <w:pPr>
        <w:pStyle w:val="Heading3"/>
        <w:jc w:val="left"/>
        <w:rPr>
          <w:b w:val="0"/>
        </w:rPr>
      </w:pPr>
      <w:bookmarkStart w:id="170" w:name="_Toc256000170"/>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170"/>
    </w:p>
    <w:p>
      <w:pPr>
        <w:pStyle w:val="Heading4"/>
        <w:jc w:val="left"/>
      </w:pPr>
      <w: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T6: процент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tcW w:w="1000" w:type="pct"/>
            <w:shd w:val="clear" w:color="auto" w:fill="FFFFFF"/>
            <w:noWrap w:val="0"/>
            <w:tcMar>
              <w:top w:w="60" w:type="dxa"/>
            </w:tcMar>
            <w:vAlign w:val="center"/>
          </w:tcPr>
          <w:p>
            <w:pPr>
              <w:spacing w:before="20" w:after="20"/>
              <w:jc w:val="right"/>
              <w:rPr>
                <w:b/>
                <w:sz w:val="16"/>
              </w:rPr>
            </w:pPr>
            <w:r>
              <w:rPr>
                <w:b/>
                <w:sz w:val="16"/>
              </w:rPr>
              <w:t>0,04</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tcW w:w="1000" w:type="pct"/>
            <w:shd w:val="clear" w:color="auto" w:fill="FFFFFF"/>
            <w:noWrap w:val="0"/>
            <w:tcMar>
              <w:top w:w="60" w:type="dxa"/>
            </w:tcMar>
            <w:vAlign w:val="center"/>
          </w:tcPr>
          <w:p>
            <w:pPr>
              <w:spacing w:before="20" w:after="20"/>
              <w:jc w:val="right"/>
              <w:rPr>
                <w:b w:val="0"/>
                <w:sz w:val="16"/>
              </w:rPr>
            </w:pPr>
            <w:r>
              <w:rPr>
                <w:b w:val="0"/>
                <w:sz w:val="16"/>
              </w:rPr>
              <w:t>145,00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160,00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65 533,30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65 533,30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2 200,00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825 208,50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(напр. в земеделски стопанства, за преработка и търговия на селскостопански продукти) (4.1 и 4.2)</w:t>
            </w:r>
          </w:p>
        </w:tc>
        <w:tc>
          <w:tcPr>
            <w:tcW w:w="750" w:type="pct"/>
            <w:shd w:val="clear" w:color="auto" w:fill="FFFFFF"/>
            <w:noWrap w:val="0"/>
            <w:tcMar>
              <w:top w:w="60" w:type="dxa"/>
            </w:tcMar>
            <w:vAlign w:val="center"/>
          </w:tcPr>
          <w:p>
            <w:pPr>
              <w:spacing w:before="20" w:after="20"/>
              <w:jc w:val="right"/>
              <w:rPr>
                <w:b w:val="0"/>
                <w:sz w:val="16"/>
              </w:rPr>
            </w:pPr>
            <w:r>
              <w:rPr>
                <w:b w:val="0"/>
                <w:sz w:val="16"/>
              </w:rPr>
              <w:t>330,00</w:t>
            </w:r>
          </w:p>
        </w:tc>
        <w:tc>
          <w:tcPr>
            <w:tcW w:w="750" w:type="pct"/>
            <w:shd w:val="clear" w:color="auto" w:fill="FFFFFF"/>
            <w:noWrap w:val="0"/>
            <w:tcMar>
              <w:top w:w="60" w:type="dxa"/>
            </w:tcMar>
            <w:vAlign w:val="center"/>
          </w:tcPr>
          <w:p>
            <w:pPr>
              <w:spacing w:before="20" w:after="20"/>
              <w:jc w:val="right"/>
              <w:rPr>
                <w:b w:val="0"/>
                <w:sz w:val="16"/>
              </w:rPr>
            </w:pPr>
            <w:r>
              <w:rPr>
                <w:b w:val="0"/>
                <w:sz w:val="16"/>
              </w:rPr>
              <w:t>110,00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760 636 107,00</w:t>
            </w:r>
          </w:p>
        </w:tc>
        <w:tc>
          <w:tcPr>
            <w:tcW w:w="750" w:type="pct"/>
            <w:shd w:val="clear" w:color="auto" w:fill="FFFFFF"/>
            <w:noWrap w:val="0"/>
            <w:tcMar>
              <w:top w:w="60" w:type="dxa"/>
            </w:tcMar>
            <w:vAlign w:val="center"/>
          </w:tcPr>
          <w:p>
            <w:pPr>
              <w:spacing w:before="20" w:after="20"/>
              <w:jc w:val="right"/>
              <w:rPr>
                <w:b w:val="0"/>
                <w:sz w:val="16"/>
              </w:rPr>
            </w:pPr>
            <w:r>
              <w:rPr>
                <w:b w:val="0"/>
                <w:sz w:val="16"/>
              </w:rPr>
              <w:t>157 223 722,00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380 483 392,60</w:t>
            </w:r>
          </w:p>
        </w:tc>
        <w:tc>
          <w:tcPr>
            <w:tcW w:w="750" w:type="pct"/>
            <w:shd w:val="clear" w:color="auto" w:fill="FFFFFF"/>
            <w:noWrap w:val="0"/>
            <w:tcMar>
              <w:top w:w="60" w:type="dxa"/>
            </w:tcMar>
            <w:vAlign w:val="center"/>
          </w:tcPr>
          <w:p>
            <w:pPr>
              <w:spacing w:before="20" w:after="20"/>
              <w:jc w:val="right"/>
              <w:rPr>
                <w:b w:val="0"/>
                <w:sz w:val="16"/>
              </w:rPr>
            </w:pPr>
            <w:r>
              <w:rPr>
                <w:b w:val="0"/>
                <w:sz w:val="16"/>
              </w:rPr>
              <w:t>78 611 861,00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стартиране/подкрепа за инвестиции в неселскостопански дейности в селските райони (6.2 и 6.4)</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M09 — Създаване на групи и организации на производителите (член 27)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(учредени групи на производители)</w:t>
            </w:r>
          </w:p>
        </w:tc>
        <w:tc>
          <w:tcPr>
            <w:tcW w:w="750" w:type="pct"/>
            <w:shd w:val="clear" w:color="auto" w:fill="FFFFFF"/>
            <w:noWrap w:val="0"/>
            <w:tcMar>
              <w:top w:w="60" w:type="dxa"/>
            </w:tcMar>
            <w:vAlign w:val="center"/>
          </w:tcPr>
          <w:p>
            <w:pPr>
              <w:spacing w:before="20" w:after="20"/>
              <w:jc w:val="right"/>
              <w:rPr>
                <w:b w:val="0"/>
                <w:sz w:val="16"/>
              </w:rPr>
            </w:pPr>
            <w:r>
              <w:rPr>
                <w:b w:val="0"/>
                <w:sz w:val="16"/>
              </w:rPr>
              <w:t>40,00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M09 — Създаване на групи и организации на производителите (член 27)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стопанства, които участват в получаващи подкрепа групи на производителите</w:t>
            </w:r>
          </w:p>
        </w:tc>
        <w:tc>
          <w:tcPr>
            <w:tcW w:w="750" w:type="pct"/>
            <w:shd w:val="clear" w:color="auto" w:fill="FFFFFF"/>
            <w:noWrap w:val="0"/>
            <w:tcMar>
              <w:top w:w="60" w:type="dxa"/>
            </w:tcMar>
            <w:vAlign w:val="center"/>
          </w:tcPr>
          <w:p>
            <w:pPr>
              <w:spacing w:before="20" w:after="20"/>
              <w:jc w:val="right"/>
              <w:rPr>
                <w:b w:val="0"/>
                <w:sz w:val="16"/>
              </w:rPr>
            </w:pPr>
            <w:r>
              <w:rPr>
                <w:b w:val="0"/>
                <w:sz w:val="16"/>
              </w:rPr>
              <w:t>130,00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M09 — Създаване на групи и организации на производителите (член 27)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6 538 724,20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M14 — Хуманно отношение към животните (член 33)</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Брой бенефициери </w:t>
            </w:r>
          </w:p>
        </w:tc>
        <w:tc>
          <w:tcPr>
            <w:tcW w:w="750" w:type="pct"/>
            <w:shd w:val="clear" w:color="auto" w:fill="FFFFFF"/>
            <w:noWrap w:val="0"/>
            <w:tcMar>
              <w:top w:w="60" w:type="dxa"/>
            </w:tcMar>
            <w:vAlign w:val="center"/>
          </w:tcPr>
          <w:p>
            <w:pPr>
              <w:spacing w:before="20" w:after="20"/>
              <w:jc w:val="right"/>
              <w:rPr>
                <w:b w:val="0"/>
                <w:sz w:val="16"/>
              </w:rPr>
            </w:pPr>
            <w:r>
              <w:rPr>
                <w:b w:val="0"/>
                <w:sz w:val="16"/>
              </w:rPr>
              <w:t>600,00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M14 — Хуманно отношение към животните (член 33)</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22 709 183,50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земеделски стопанства, участващи в сътрудничество/дейности на местно равнище за популяризиране между участниците във веригата на доставки (16.4)</w:t>
            </w:r>
          </w:p>
        </w:tc>
        <w:tc>
          <w:tcPr>
            <w:tcW w:w="750" w:type="pct"/>
            <w:shd w:val="clear" w:color="auto" w:fill="FFFFFF"/>
            <w:noWrap w:val="0"/>
            <w:tcMar>
              <w:top w:w="60" w:type="dxa"/>
            </w:tcMar>
            <w:vAlign w:val="center"/>
          </w:tcPr>
          <w:p>
            <w:pPr>
              <w:spacing w:before="20" w:after="20"/>
              <w:jc w:val="right"/>
              <w:rPr>
                <w:b w:val="0"/>
                <w:sz w:val="16"/>
              </w:rPr>
            </w:pPr>
            <w:r>
              <w:rPr>
                <w:b w:val="0"/>
                <w:sz w:val="16"/>
              </w:rPr>
              <w:t>15,00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1 198 905,60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4"/>
        <w:jc w:val="left"/>
      </w:pPr>
      <w:r>
        <w:t>3Б) Подпомагане на превенцията и управлението на риска на стопанствата</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T7: процент на стопанствата, които участват в схеми за управление на риска (област с поставен акцент 3Б)</w:t>
            </w:r>
          </w:p>
        </w:tc>
        <w:tc>
          <w:tcPr>
            <w:tcW w:w="1000" w:type="pct"/>
            <w:shd w:val="clear" w:color="auto" w:fill="FFFFFF"/>
            <w:noWrap w:val="0"/>
            <w:tcMar>
              <w:top w:w="60" w:type="dxa"/>
            </w:tcMar>
            <w:vAlign w:val="center"/>
          </w:tcPr>
          <w:p>
            <w:pPr>
              <w:spacing w:before="20" w:after="20"/>
              <w:jc w:val="right"/>
              <w:rPr>
                <w:b/>
                <w:sz w:val="16"/>
              </w:rPr>
            </w:pPr>
            <w:r>
              <w:rPr>
                <w:b/>
                <w:sz w:val="16"/>
              </w:rPr>
              <w:t>0,02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които участват в схема за управление на риска (област с поставен акцент 3Б)</w:t>
            </w:r>
          </w:p>
        </w:tc>
        <w:tc>
          <w:tcPr>
            <w:tcW w:w="1000" w:type="pct"/>
            <w:shd w:val="clear" w:color="auto" w:fill="FFFFFF"/>
            <w:noWrap w:val="0"/>
            <w:tcMar>
              <w:top w:w="60" w:type="dxa"/>
            </w:tcMar>
            <w:vAlign w:val="center"/>
          </w:tcPr>
          <w:p>
            <w:pPr>
              <w:spacing w:before="20" w:after="20"/>
              <w:jc w:val="right"/>
              <w:rPr>
                <w:b w:val="0"/>
                <w:sz w:val="16"/>
              </w:rPr>
            </w:pPr>
            <w:r>
              <w:rPr>
                <w:b w:val="0"/>
                <w:sz w:val="16"/>
              </w:rPr>
              <w:t>60,00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1 250,00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1 013 355,30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1 013 355,30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230,00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825 208,50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Брой бенефициери, получаващи подкрепа за превантивни мерки (5.1) — земеделски стопанства </w:t>
            </w:r>
          </w:p>
        </w:tc>
        <w:tc>
          <w:tcPr>
            <w:tcW w:w="750" w:type="pct"/>
            <w:shd w:val="clear" w:color="auto" w:fill="FFFFFF"/>
            <w:noWrap w:val="0"/>
            <w:tcMar>
              <w:top w:w="60" w:type="dxa"/>
            </w:tcMar>
            <w:vAlign w:val="center"/>
          </w:tcPr>
          <w:p>
            <w:pPr>
              <w:spacing w:before="20" w:after="20"/>
              <w:jc w:val="right"/>
              <w:rPr>
                <w:b w:val="0"/>
                <w:sz w:val="16"/>
              </w:rPr>
            </w:pPr>
            <w:r>
              <w:rPr>
                <w:b w:val="0"/>
                <w:sz w:val="16"/>
              </w:rPr>
              <w:t>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бенефициери, плучаващи подкрепа за превантивни мерки (5.1) — публичноправни субекти</w:t>
            </w:r>
          </w:p>
        </w:tc>
        <w:tc>
          <w:tcPr>
            <w:tcW w:w="750" w:type="pct"/>
            <w:shd w:val="clear" w:color="auto" w:fill="FFFFFF"/>
            <w:noWrap w:val="0"/>
            <w:tcMar>
              <w:top w:w="60" w:type="dxa"/>
            </w:tcMar>
            <w:vAlign w:val="center"/>
          </w:tcPr>
          <w:p>
            <w:pPr>
              <w:spacing w:before="20" w:after="20"/>
              <w:jc w:val="right"/>
              <w:rPr>
                <w:b w:val="0"/>
                <w:sz w:val="16"/>
              </w:rPr>
            </w:pPr>
            <w:r>
              <w:rPr>
                <w:b w:val="0"/>
                <w:sz w:val="16"/>
              </w:rPr>
              <w:t>1,00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(5.1)</w:t>
            </w:r>
          </w:p>
        </w:tc>
        <w:tc>
          <w:tcPr>
            <w:tcW w:w="750" w:type="pct"/>
            <w:shd w:val="clear" w:color="auto" w:fill="FFFFFF"/>
            <w:noWrap w:val="0"/>
            <w:tcMar>
              <w:top w:w="60" w:type="dxa"/>
            </w:tcMar>
            <w:vAlign w:val="center"/>
          </w:tcPr>
          <w:p>
            <w:pPr>
              <w:spacing w:before="20" w:after="20"/>
              <w:jc w:val="right"/>
              <w:rPr>
                <w:b w:val="0"/>
                <w:sz w:val="16"/>
              </w:rPr>
            </w:pPr>
            <w:r>
              <w:rPr>
                <w:b w:val="0"/>
                <w:sz w:val="16"/>
              </w:rPr>
              <w:t>15 489 335,00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(5.1 — 5.2)</w:t>
            </w:r>
          </w:p>
        </w:tc>
        <w:tc>
          <w:tcPr>
            <w:tcW w:w="750" w:type="pct"/>
            <w:shd w:val="clear" w:color="auto" w:fill="FFFFFF"/>
            <w:noWrap w:val="0"/>
            <w:tcMar>
              <w:top w:w="60" w:type="dxa"/>
            </w:tcMar>
            <w:vAlign w:val="center"/>
          </w:tcPr>
          <w:p>
            <w:pPr>
              <w:spacing w:before="20" w:after="20"/>
              <w:jc w:val="right"/>
              <w:rPr>
                <w:b w:val="0"/>
                <w:sz w:val="16"/>
              </w:rPr>
            </w:pPr>
            <w:r>
              <w:rPr>
                <w:b w:val="0"/>
                <w:sz w:val="16"/>
              </w:rPr>
              <w:t>15 589 335,00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3"/>
        <w:jc w:val="left"/>
        <w:rPr>
          <w:b w:val="0"/>
        </w:rPr>
      </w:pPr>
      <w:bookmarkStart w:id="171" w:name="_Toc256000171"/>
      <w:r>
        <w:rPr>
          <w:b w:val="0"/>
        </w:rPr>
        <w:t>P4: Възстановяване, опазване и укрепване на екосистемите, свързани със селското и горското стопанство</w:t>
      </w:r>
      <w:bookmarkEnd w:id="171"/>
    </w:p>
    <w:p>
      <w:pPr>
        <w:rPr>
          <w:b/>
          <w:i/>
        </w:rPr>
      </w:pPr>
      <w:r>
        <w:rPr>
          <w:b/>
          <w:i/>
        </w:rPr>
        <w:t>Селско стопанство</w:t>
      </w:r>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430,00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235 043,00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944 920,00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3 420,00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3 963 165,00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непроизводствени дейности (4.4)</w:t>
            </w:r>
          </w:p>
        </w:tc>
        <w:tc>
          <w:tcPr>
            <w:tcW w:w="750" w:type="pct"/>
            <w:shd w:val="clear" w:color="auto" w:fill="FFFFFF"/>
            <w:noWrap w:val="0"/>
            <w:tcMar>
              <w:top w:w="60" w:type="dxa"/>
            </w:tcMar>
            <w:vAlign w:val="center"/>
          </w:tcPr>
          <w:p>
            <w:pPr>
              <w:spacing w:before="20" w:after="20"/>
              <w:jc w:val="right"/>
              <w:rPr>
                <w:b w:val="0"/>
                <w:sz w:val="16"/>
              </w:rPr>
            </w:pPr>
            <w:r>
              <w:rPr>
                <w:b w:val="0"/>
                <w:sz w:val="16"/>
              </w:rPr>
              <w:t>280,00</w:t>
            </w:r>
          </w:p>
        </w:tc>
        <w:tc>
          <w:tcPr>
            <w:tcW w:w="75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79 135 342,00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45 456 017,00</w:t>
            </w:r>
          </w:p>
        </w:tc>
        <w:tc>
          <w:tcPr>
            <w:tcW w:w="750" w:type="pct"/>
            <w:shd w:val="clear" w:color="auto" w:fill="FFFFFF"/>
            <w:noWrap w:val="0"/>
            <w:tcMar>
              <w:top w:w="60" w:type="dxa"/>
            </w:tcMar>
            <w:vAlign w:val="center"/>
          </w:tcPr>
          <w:p>
            <w:pPr>
              <w:spacing w:before="20" w:after="20"/>
              <w:jc w:val="right"/>
              <w:rPr>
                <w:b w:val="0"/>
                <w:sz w:val="16"/>
              </w:rPr>
            </w:pPr>
            <w:r>
              <w:rPr>
                <w:b w:val="0"/>
                <w:sz w:val="16"/>
              </w:rPr>
              <w:t>33 582 349,00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по ангажименти за агроекология и климат (10.1)</w:t>
            </w:r>
          </w:p>
        </w:tc>
        <w:tc>
          <w:tcPr>
            <w:tcW w:w="750" w:type="pct"/>
            <w:shd w:val="clear" w:color="auto" w:fill="FFFFFF"/>
            <w:noWrap w:val="0"/>
            <w:tcMar>
              <w:top w:w="60" w:type="dxa"/>
            </w:tcMar>
            <w:vAlign w:val="center"/>
          </w:tcPr>
          <w:p>
            <w:pPr>
              <w:spacing w:before="20" w:after="20"/>
              <w:jc w:val="right"/>
              <w:rPr>
                <w:b w:val="0"/>
                <w:sz w:val="16"/>
              </w:rPr>
            </w:pPr>
            <w:r>
              <w:rPr>
                <w:b w:val="0"/>
                <w:sz w:val="16"/>
              </w:rPr>
              <w:t>113 000,00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1750" w:type="pct"/>
            <w:shd w:val="clear" w:color="auto" w:fill="FFFFFF"/>
            <w:noWrap w:val="0"/>
            <w:tcMar>
              <w:top w:w="60" w:type="dxa"/>
            </w:tcMar>
            <w:vAlign w:val="center"/>
          </w:tcPr>
          <w:p>
            <w:pPr>
              <w:spacing w:before="20" w:after="20"/>
              <w:jc w:val="left"/>
              <w:rPr>
                <w:b w:val="0"/>
                <w:sz w:val="16"/>
              </w:rPr>
            </w:pPr>
            <w:r>
              <w:rPr>
                <w:b w:val="0"/>
                <w:sz w:val="16"/>
              </w:rPr>
              <w:t>Публични разходи за опазване на генетичните ресурси (10.2)</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Общо публични разходи (в евро) </w:t>
            </w:r>
          </w:p>
        </w:tc>
        <w:tc>
          <w:tcPr>
            <w:tcW w:w="750" w:type="pct"/>
            <w:shd w:val="clear" w:color="auto" w:fill="FFFFFF"/>
            <w:noWrap w:val="0"/>
            <w:tcMar>
              <w:top w:w="60" w:type="dxa"/>
            </w:tcMar>
            <w:vAlign w:val="center"/>
          </w:tcPr>
          <w:p>
            <w:pPr>
              <w:spacing w:before="20" w:after="20"/>
              <w:jc w:val="right"/>
              <w:rPr>
                <w:b w:val="0"/>
                <w:sz w:val="16"/>
              </w:rPr>
            </w:pPr>
            <w:r>
              <w:rPr>
                <w:b w:val="0"/>
                <w:sz w:val="16"/>
              </w:rPr>
              <w:t>235 832 284,00</w:t>
            </w:r>
          </w:p>
        </w:tc>
        <w:tc>
          <w:tcPr>
            <w:tcW w:w="750" w:type="pct"/>
            <w:shd w:val="clear" w:color="auto" w:fill="FFFFFF"/>
            <w:noWrap w:val="0"/>
            <w:tcMar>
              <w:top w:w="60" w:type="dxa"/>
            </w:tcMar>
            <w:vAlign w:val="center"/>
          </w:tcPr>
          <w:p>
            <w:pPr>
              <w:spacing w:before="20" w:after="20"/>
              <w:jc w:val="right"/>
              <w:rPr>
                <w:b w:val="0"/>
                <w:sz w:val="16"/>
              </w:rPr>
            </w:pPr>
            <w:r>
              <w:rPr>
                <w:b w:val="0"/>
                <w:sz w:val="16"/>
              </w:rPr>
              <w:t>8 150 000,00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М11 — Биологично земеделие (член 29)</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 преминаване към биологично земеделие (11.1)</w:t>
            </w:r>
          </w:p>
        </w:tc>
        <w:tc>
          <w:tcPr>
            <w:tcW w:w="750" w:type="pct"/>
            <w:shd w:val="clear" w:color="auto" w:fill="FFFFFF"/>
            <w:noWrap w:val="0"/>
            <w:tcMar>
              <w:top w:w="60" w:type="dxa"/>
            </w:tcMar>
            <w:vAlign w:val="center"/>
          </w:tcPr>
          <w:p>
            <w:pPr>
              <w:spacing w:before="20" w:after="20"/>
              <w:jc w:val="right"/>
              <w:rPr>
                <w:b w:val="0"/>
                <w:sz w:val="16"/>
              </w:rPr>
            </w:pPr>
            <w:r>
              <w:rPr>
                <w:b w:val="0"/>
                <w:sz w:val="16"/>
              </w:rPr>
              <w:t>23 000,00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М11 — Биологично земеделие (член 29)</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 поддържане на биологично земеделие (11.2)</w:t>
            </w:r>
          </w:p>
        </w:tc>
        <w:tc>
          <w:tcPr>
            <w:tcW w:w="750" w:type="pct"/>
            <w:shd w:val="clear" w:color="auto" w:fill="FFFFFF"/>
            <w:noWrap w:val="0"/>
            <w:tcMar>
              <w:top w:w="60" w:type="dxa"/>
            </w:tcMar>
            <w:vAlign w:val="center"/>
          </w:tcPr>
          <w:p>
            <w:pPr>
              <w:spacing w:before="20" w:after="20"/>
              <w:jc w:val="right"/>
              <w:rPr>
                <w:b w:val="0"/>
                <w:sz w:val="16"/>
              </w:rPr>
            </w:pPr>
            <w:r>
              <w:rPr>
                <w:b w:val="0"/>
                <w:sz w:val="16"/>
              </w:rPr>
              <w:t>29 000,00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М11 — Биологично земеделие (член 29)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209 510 105,00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 земеделска земя по „Натура 2000“ (12.1)</w:t>
            </w:r>
          </w:p>
        </w:tc>
        <w:tc>
          <w:tcPr>
            <w:tcW w:w="750" w:type="pct"/>
            <w:shd w:val="clear" w:color="auto" w:fill="FFFFFF"/>
            <w:noWrap w:val="0"/>
            <w:tcMar>
              <w:top w:w="60" w:type="dxa"/>
            </w:tcMar>
            <w:vAlign w:val="center"/>
          </w:tcPr>
          <w:p>
            <w:pPr>
              <w:spacing w:before="20" w:after="20"/>
              <w:jc w:val="right"/>
              <w:rPr>
                <w:b w:val="0"/>
                <w:sz w:val="16"/>
              </w:rPr>
            </w:pPr>
            <w:r>
              <w:rPr>
                <w:b w:val="0"/>
                <w:sz w:val="16"/>
              </w:rPr>
              <w:t>385 000,00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 рамкова директива за водите (12.3)</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198 409 370,00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 планински райони (13.1)</w:t>
            </w:r>
          </w:p>
        </w:tc>
        <w:tc>
          <w:tcPr>
            <w:tcW w:w="750" w:type="pct"/>
            <w:shd w:val="clear" w:color="auto" w:fill="FFFFFF"/>
            <w:noWrap w:val="0"/>
            <w:tcMar>
              <w:top w:w="60" w:type="dxa"/>
            </w:tcMar>
            <w:vAlign w:val="center"/>
          </w:tcPr>
          <w:p>
            <w:pPr>
              <w:spacing w:before="20" w:after="20"/>
              <w:jc w:val="right"/>
              <w:rPr>
                <w:b w:val="0"/>
                <w:sz w:val="16"/>
              </w:rPr>
            </w:pPr>
            <w:r>
              <w:rPr>
                <w:b w:val="0"/>
                <w:sz w:val="16"/>
              </w:rPr>
              <w:t>310 000,00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 други райони със значителни природни ограничения (13.2)</w:t>
            </w:r>
          </w:p>
        </w:tc>
        <w:tc>
          <w:tcPr>
            <w:tcW w:w="750" w:type="pct"/>
            <w:shd w:val="clear" w:color="auto" w:fill="FFFFFF"/>
            <w:noWrap w:val="0"/>
            <w:tcMar>
              <w:top w:w="60" w:type="dxa"/>
            </w:tcMar>
            <w:vAlign w:val="center"/>
          </w:tcPr>
          <w:p>
            <w:pPr>
              <w:spacing w:before="20" w:after="20"/>
              <w:jc w:val="right"/>
              <w:rPr>
                <w:b w:val="0"/>
                <w:sz w:val="16"/>
              </w:rPr>
            </w:pPr>
            <w:r>
              <w:rPr>
                <w:b w:val="0"/>
                <w:sz w:val="16"/>
              </w:rPr>
              <w:t>220 000,00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 райони със специфични ограничения (13.3)</w:t>
            </w:r>
          </w:p>
        </w:tc>
        <w:tc>
          <w:tcPr>
            <w:tcW w:w="750" w:type="pct"/>
            <w:shd w:val="clear" w:color="auto" w:fill="FFFFFF"/>
            <w:noWrap w:val="0"/>
            <w:tcMar>
              <w:top w:w="60" w:type="dxa"/>
            </w:tcMar>
            <w:vAlign w:val="center"/>
          </w:tcPr>
          <w:p>
            <w:pPr>
              <w:spacing w:before="20" w:after="20"/>
              <w:jc w:val="right"/>
              <w:rPr>
                <w:b w:val="0"/>
                <w:sz w:val="16"/>
              </w:rPr>
            </w:pPr>
            <w:r>
              <w:rPr>
                <w:b w:val="0"/>
                <w:sz w:val="16"/>
              </w:rPr>
              <w:t>10 000,00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383 825 341,00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2 062 252,00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rPr>
          <w:b/>
          <w:i/>
        </w:rPr>
      </w:pPr>
      <w:r>
        <w:rPr>
          <w:b/>
          <w:i/>
        </w:rPr>
        <w:t>Горско стопанство</w:t>
      </w:r>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(8.1)</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(8.2)</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(8.3)</w:t>
            </w:r>
          </w:p>
        </w:tc>
        <w:tc>
          <w:tcPr>
            <w:tcW w:w="750" w:type="pct"/>
            <w:shd w:val="clear" w:color="auto" w:fill="FFFFFF"/>
            <w:noWrap w:val="0"/>
            <w:tcMar>
              <w:top w:w="60" w:type="dxa"/>
            </w:tcMar>
            <w:vAlign w:val="center"/>
          </w:tcPr>
          <w:p>
            <w:pPr>
              <w:spacing w:before="20" w:after="20"/>
              <w:jc w:val="right"/>
              <w:rPr>
                <w:b w:val="0"/>
                <w:sz w:val="16"/>
              </w:rPr>
            </w:pPr>
            <w:r>
              <w:rPr>
                <w:b w:val="0"/>
                <w:sz w:val="16"/>
              </w:rPr>
              <w:t>16 791 949,40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(8.4)</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бенефициери, получаващи подкрепа за превантивни мерки (8.3)</w:t>
            </w:r>
          </w:p>
        </w:tc>
        <w:tc>
          <w:tcPr>
            <w:tcW w:w="750" w:type="pct"/>
            <w:shd w:val="clear" w:color="auto" w:fill="FFFFFF"/>
            <w:noWrap w:val="0"/>
            <w:tcMar>
              <w:top w:w="60" w:type="dxa"/>
            </w:tcMar>
            <w:vAlign w:val="center"/>
          </w:tcPr>
          <w:p>
            <w:pPr>
              <w:spacing w:before="20" w:after="20"/>
              <w:jc w:val="right"/>
              <w:rPr>
                <w:b w:val="0"/>
                <w:sz w:val="16"/>
              </w:rPr>
            </w:pPr>
            <w:r>
              <w:rPr>
                <w:b w:val="0"/>
                <w:sz w:val="16"/>
              </w:rPr>
              <w:t>20,00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(8.5)</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(инвестиции за подобряване на устойчивостта и екологичната стойност на горските екосистеми (8.5)</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засегната от инвестиции за подобряване на устойчивостта и екологичната стойност на горските екосистеми (8.5)</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(8.6)</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 горска земя по „Натура 2000“ (12.2)</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bl>
    <w:p>
      <w:pPr>
        <w:sectPr>
          <w:pgMar w:top="900" w:right="900" w:bottom="900" w:left="900" w:header="720" w:footer="720"/>
          <w:cols w:space="720"/>
        </w:sectPr>
      </w:pPr>
    </w:p>
    <w:p>
      <w:pPr>
        <w:pStyle w:val="Heading4"/>
        <w:jc w:val="left"/>
      </w:pPr>
      <w: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rPr>
          <w:b/>
          <w:i/>
        </w:rPr>
      </w:pPr>
      <w:r>
        <w:rPr>
          <w:b/>
          <w:i/>
        </w:rPr>
        <w:t>Селско стопанство</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T9: процент на земеделската земя, обхваната от договори за управление в подкрепа на биологичното разнообразие и/или ландшафти (област с поставен акцент 4А)</w:t>
            </w:r>
          </w:p>
        </w:tc>
        <w:tc>
          <w:tcPr>
            <w:tcW w:w="1000" w:type="pct"/>
            <w:shd w:val="clear" w:color="auto" w:fill="FFFFFF"/>
            <w:noWrap w:val="0"/>
            <w:tcMar>
              <w:top w:w="60" w:type="dxa"/>
            </w:tcMar>
            <w:vAlign w:val="center"/>
          </w:tcPr>
          <w:p>
            <w:pPr>
              <w:spacing w:before="20" w:after="20"/>
              <w:jc w:val="right"/>
              <w:rPr>
                <w:b/>
                <w:sz w:val="16"/>
              </w:rPr>
            </w:pPr>
            <w:r>
              <w:rPr>
                <w:b/>
                <w:sz w:val="16"/>
              </w:rPr>
              <w:t>12,13</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в подкрепа на биологичното разнообразие и/или ландшафти (ha) (област с поставен акцент 4А)</w:t>
            </w:r>
          </w:p>
        </w:tc>
        <w:tc>
          <w:tcPr>
            <w:tcW w:w="1000" w:type="pct"/>
            <w:shd w:val="clear" w:color="auto" w:fill="FFFFFF"/>
            <w:noWrap w:val="0"/>
            <w:tcMar>
              <w:top w:w="60" w:type="dxa"/>
            </w:tcMar>
            <w:vAlign w:val="center"/>
          </w:tcPr>
          <w:p>
            <w:pPr>
              <w:spacing w:before="20" w:after="20"/>
              <w:jc w:val="right"/>
              <w:rPr>
                <w:b w:val="0"/>
                <w:sz w:val="16"/>
              </w:rPr>
            </w:pPr>
            <w:r>
              <w:rPr>
                <w:b w:val="0"/>
                <w:sz w:val="16"/>
              </w:rPr>
              <w:t>543 000,00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Pr>
        <w:rPr>
          <w:b/>
          <w:i/>
        </w:rPr>
      </w:pPr>
      <w:r>
        <w:rPr>
          <w:b/>
          <w:i/>
        </w:rPr>
        <w:t>Горско стопанство</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T8: процент на гори или други залесени райони, обхванати от договори за управление в подкрепа на биологичното разнообразие (област с поставен акцент 4А)</w:t>
            </w:r>
          </w:p>
        </w:tc>
        <w:tc>
          <w:tcPr>
            <w:tcW w:w="1000" w:type="pct"/>
            <w:shd w:val="clear" w:color="auto" w:fill="FFFFFF"/>
            <w:noWrap w:val="0"/>
            <w:tcMar>
              <w:top w:w="60" w:type="dxa"/>
            </w:tcMar>
            <w:vAlign w:val="center"/>
          </w:tcPr>
          <w:p>
            <w:pPr>
              <w:spacing w:before="20" w:after="20"/>
              <w:jc w:val="right"/>
              <w:rPr>
                <w:b/>
                <w:sz w:val="16"/>
              </w:rPr>
            </w:pPr>
            <w:r>
              <w:rPr>
                <w:b/>
                <w:sz w:val="16"/>
              </w:rPr>
              <w:t>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гори/други залесени площи, обхванати от договори за управление с цел подкрепа на биологичното разнообразие (ha) (област с поставен акцент 4А)</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Pr>
        <w:sectPr>
          <w:pgMar w:top="900" w:right="900" w:bottom="900" w:left="900" w:header="720" w:footer="720"/>
          <w:cols w:space="720"/>
        </w:sectPr>
      </w:pPr>
    </w:p>
    <w:p>
      <w:pPr>
        <w:pStyle w:val="Heading4"/>
        <w:jc w:val="left"/>
      </w:pPr>
      <w:r>
        <w:t xml:space="preserve">4Б) Подобряване управлението на водите, включително управлението на торовете и пестицидите </w:t>
      </w:r>
    </w:p>
    <w:p>
      <w:pPr>
        <w:rPr>
          <w:b/>
          <w:i/>
        </w:rPr>
      </w:pPr>
      <w:r>
        <w:rPr>
          <w:b/>
          <w:i/>
        </w:rPr>
        <w:t>Селско стопанство</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T10: процент на земеделската земя, обхваната от договори за управление с цел подобряване на управлението на водите (област с поставен акцент 4Б)</w:t>
            </w:r>
          </w:p>
        </w:tc>
        <w:tc>
          <w:tcPr>
            <w:tcW w:w="1000" w:type="pct"/>
            <w:shd w:val="clear" w:color="auto" w:fill="FFFFFF"/>
            <w:noWrap w:val="0"/>
            <w:tcMar>
              <w:top w:w="60" w:type="dxa"/>
            </w:tcMar>
            <w:vAlign w:val="center"/>
          </w:tcPr>
          <w:p>
            <w:pPr>
              <w:spacing w:before="20" w:after="20"/>
              <w:jc w:val="right"/>
              <w:rPr>
                <w:b/>
                <w:sz w:val="16"/>
              </w:rPr>
            </w:pPr>
            <w:r>
              <w:rPr>
                <w:b/>
                <w:sz w:val="16"/>
              </w:rPr>
              <w:t>1,32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с цел подобряване на управлението на водите (ha) (област с поставен акцент 4Б)</w:t>
            </w:r>
          </w:p>
        </w:tc>
        <w:tc>
          <w:tcPr>
            <w:tcW w:w="1000" w:type="pct"/>
            <w:shd w:val="clear" w:color="auto" w:fill="FFFFFF"/>
            <w:noWrap w:val="0"/>
            <w:tcMar>
              <w:top w:w="60" w:type="dxa"/>
            </w:tcMar>
            <w:vAlign w:val="center"/>
          </w:tcPr>
          <w:p>
            <w:pPr>
              <w:spacing w:before="20" w:after="20"/>
              <w:jc w:val="right"/>
              <w:rPr>
                <w:b w:val="0"/>
                <w:sz w:val="16"/>
              </w:rPr>
            </w:pPr>
            <w:r>
              <w:rPr>
                <w:b w:val="0"/>
                <w:sz w:val="16"/>
              </w:rPr>
              <w:t>59 000,00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Pr>
        <w:rPr>
          <w:b/>
          <w:i/>
        </w:rPr>
      </w:pPr>
      <w:r>
        <w:rPr>
          <w:b/>
          <w:i/>
        </w:rPr>
        <w:t>Горско стопанство</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T11: процент на горската земя, обхваната от договори за управление с цел подобряване на управлението на водите (област с поставен акцент 4Б)</w:t>
            </w:r>
          </w:p>
        </w:tc>
        <w:tc>
          <w:tcPr>
            <w:tcW w:w="1000" w:type="pct"/>
            <w:shd w:val="clear" w:color="auto" w:fill="FFFFFF"/>
            <w:noWrap w:val="0"/>
            <w:tcMar>
              <w:top w:w="60" w:type="dxa"/>
            </w:tcMar>
            <w:vAlign w:val="center"/>
          </w:tcPr>
          <w:p>
            <w:pPr>
              <w:spacing w:before="20" w:after="20"/>
              <w:jc w:val="right"/>
              <w:rPr>
                <w:b/>
                <w:sz w:val="16"/>
              </w:rPr>
            </w:pPr>
            <w:r>
              <w:rPr>
                <w:b/>
                <w:sz w:val="16"/>
              </w:rPr>
              <w:t>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горска земя, обхваната от договори за управление с цел подобряване на управлението на водите (ha) (област с поставен акцент 4Б)</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Pr>
        <w:sectPr>
          <w:pgMar w:top="900" w:right="900" w:bottom="900" w:left="900" w:header="720" w:footer="720"/>
          <w:cols w:space="720"/>
        </w:sectPr>
      </w:pPr>
    </w:p>
    <w:p>
      <w:pPr>
        <w:pStyle w:val="Heading4"/>
        <w:jc w:val="left"/>
      </w:pPr>
      <w:r>
        <w:t>4В) Предотвратяване на ерозията на почвите и подобряване на управлението им</w:t>
      </w:r>
    </w:p>
    <w:p>
      <w:pPr>
        <w:rPr>
          <w:b/>
          <w:i/>
        </w:rPr>
      </w:pPr>
      <w:r>
        <w:rPr>
          <w:b/>
          <w:i/>
        </w:rPr>
        <w:t>Селско стопанство</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T12: процент на земеделската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1000" w:type="pct"/>
            <w:shd w:val="clear" w:color="auto" w:fill="FFFFFF"/>
            <w:noWrap w:val="0"/>
            <w:tcMar>
              <w:top w:w="60" w:type="dxa"/>
            </w:tcMar>
            <w:vAlign w:val="center"/>
          </w:tcPr>
          <w:p>
            <w:pPr>
              <w:spacing w:before="20" w:after="20"/>
              <w:jc w:val="right"/>
              <w:rPr>
                <w:b/>
                <w:sz w:val="16"/>
              </w:rPr>
            </w:pPr>
            <w:r>
              <w:rPr>
                <w:b/>
                <w:sz w:val="16"/>
              </w:rPr>
              <w:t>1,32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с цел подобряване на управлението на почвите и/или предотвратяване на почвената ерозия (ha) (област с поставен акцент 4В)</w:t>
            </w:r>
          </w:p>
        </w:tc>
        <w:tc>
          <w:tcPr>
            <w:tcW w:w="1000" w:type="pct"/>
            <w:shd w:val="clear" w:color="auto" w:fill="FFFFFF"/>
            <w:noWrap w:val="0"/>
            <w:tcMar>
              <w:top w:w="60" w:type="dxa"/>
            </w:tcMar>
            <w:vAlign w:val="center"/>
          </w:tcPr>
          <w:p>
            <w:pPr>
              <w:spacing w:before="20" w:after="20"/>
              <w:jc w:val="right"/>
              <w:rPr>
                <w:b w:val="0"/>
                <w:sz w:val="16"/>
              </w:rPr>
            </w:pPr>
            <w:r>
              <w:rPr>
                <w:b w:val="0"/>
                <w:sz w:val="16"/>
              </w:rPr>
              <w:t>59 000,00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Pr>
        <w:rPr>
          <w:b/>
          <w:i/>
        </w:rPr>
      </w:pPr>
      <w:r>
        <w:rPr>
          <w:b/>
          <w:i/>
        </w:rPr>
        <w:t>Горско стопанство</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T13: процент на горската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1000" w:type="pct"/>
            <w:shd w:val="clear" w:color="auto" w:fill="FFFFFF"/>
            <w:noWrap w:val="0"/>
            <w:tcMar>
              <w:top w:w="60" w:type="dxa"/>
            </w:tcMar>
            <w:vAlign w:val="center"/>
          </w:tcPr>
          <w:p>
            <w:pPr>
              <w:spacing w:before="20" w:after="20"/>
              <w:jc w:val="right"/>
              <w:rPr>
                <w:b/>
                <w:sz w:val="16"/>
              </w:rPr>
            </w:pPr>
            <w:r>
              <w:rPr>
                <w:b/>
                <w:sz w:val="16"/>
              </w:rPr>
              <w:t>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горска земя, обхваната от договори за управление с цел подобряване на управлението на почвите и/или предотвратяване на почвената ерозия (ha) (област с поставен акцент 4В)</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Pr>
        <w:sectPr>
          <w:pgMar w:top="900" w:right="900" w:bottom="900" w:left="900" w:header="720" w:footer="720"/>
          <w:cols w:space="720"/>
        </w:sectPr>
      </w:pPr>
    </w:p>
    <w:p>
      <w:pPr>
        <w:pStyle w:val="Heading3"/>
        <w:jc w:val="left"/>
        <w:rPr>
          <w:b w:val="0"/>
        </w:rPr>
      </w:pPr>
      <w:bookmarkStart w:id="172" w:name="_Toc256000172"/>
      <w:r>
        <w:rPr>
          <w:b w:val="0"/>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bookmarkEnd w:id="172"/>
      <w:r>
        <w:rPr>
          <w:b w:val="0"/>
        </w:rPr>
        <w:t xml:space="preserve"> </w:t>
      </w:r>
    </w:p>
    <w:p>
      <w:pPr>
        <w:pStyle w:val="Heading4"/>
        <w:jc w:val="left"/>
      </w:pPr>
      <w:r>
        <w:t xml:space="preserve">5А) Повишаване на ефективността при потреблението на вода в селското стопанство </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T14: процент на поливните площи, преминаващи към по-ефективна напоителна система (област с поставен акцент 5А)</w:t>
            </w:r>
          </w:p>
        </w:tc>
        <w:tc>
          <w:tcPr>
            <w:tcW w:w="1000" w:type="pct"/>
            <w:shd w:val="clear" w:color="auto" w:fill="FFFFFF"/>
            <w:noWrap w:val="0"/>
            <w:tcMar>
              <w:top w:w="60" w:type="dxa"/>
            </w:tcMar>
            <w:vAlign w:val="center"/>
          </w:tcPr>
          <w:p>
            <w:pPr>
              <w:spacing w:before="20" w:after="20"/>
              <w:jc w:val="right"/>
              <w:rPr>
                <w:b/>
                <w:sz w:val="16"/>
              </w:rPr>
            </w:pPr>
            <w:r>
              <w:rPr>
                <w:b/>
                <w:sz w:val="16"/>
              </w:rPr>
              <w:t>38,72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поливни площи, преминаващи към по-ефективни напоителни системи (ha) (област с поставен акцент 5A)</w:t>
            </w:r>
          </w:p>
        </w:tc>
        <w:tc>
          <w:tcPr>
            <w:tcW w:w="1000" w:type="pct"/>
            <w:shd w:val="clear" w:color="auto" w:fill="FFFFFF"/>
            <w:noWrap w:val="0"/>
            <w:tcMar>
              <w:top w:w="60" w:type="dxa"/>
            </w:tcMar>
            <w:vAlign w:val="center"/>
          </w:tcPr>
          <w:p>
            <w:pPr>
              <w:spacing w:before="20" w:after="20"/>
              <w:jc w:val="right"/>
              <w:rPr>
                <w:b w:val="0"/>
                <w:sz w:val="16"/>
              </w:rPr>
            </w:pPr>
            <w:r>
              <w:rPr>
                <w:b w:val="0"/>
                <w:sz w:val="16"/>
              </w:rPr>
              <w:t>35 000,00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20 Поливни площи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90 400,00</w:t>
            </w:r>
          </w:p>
        </w:tc>
      </w:tr>
    </w:tbl>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860,00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570 770,70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739 390,70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960,00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514 890,50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(4.1, 4.3)</w:t>
            </w:r>
          </w:p>
        </w:tc>
        <w:tc>
          <w:tcPr>
            <w:tcW w:w="750" w:type="pct"/>
            <w:shd w:val="clear" w:color="auto" w:fill="FFFFFF"/>
            <w:noWrap w:val="0"/>
            <w:tcMar>
              <w:top w:w="60" w:type="dxa"/>
            </w:tcMar>
            <w:vAlign w:val="center"/>
          </w:tcPr>
          <w:p>
            <w:pPr>
              <w:spacing w:before="20" w:after="20"/>
              <w:jc w:val="right"/>
              <w:rPr>
                <w:b w:val="0"/>
                <w:sz w:val="16"/>
              </w:rPr>
            </w:pPr>
            <w:r>
              <w:rPr>
                <w:b w:val="0"/>
                <w:sz w:val="16"/>
              </w:rPr>
              <w:t>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засегната от инвестиции за икономия на вода (напр. по-ефективни напоителни системи...)</w:t>
            </w:r>
          </w:p>
        </w:tc>
        <w:tc>
          <w:tcPr>
            <w:tcW w:w="750" w:type="pct"/>
            <w:shd w:val="clear" w:color="auto" w:fill="FFFFFF"/>
            <w:noWrap w:val="0"/>
            <w:tcMar>
              <w:top w:w="60" w:type="dxa"/>
            </w:tcMar>
            <w:vAlign w:val="center"/>
          </w:tcPr>
          <w:p>
            <w:pPr>
              <w:spacing w:before="20" w:after="20"/>
              <w:jc w:val="right"/>
              <w:rPr>
                <w:b w:val="0"/>
                <w:sz w:val="16"/>
              </w:rPr>
            </w:pPr>
            <w:r>
              <w:rPr>
                <w:b w:val="0"/>
                <w:sz w:val="16"/>
              </w:rPr>
              <w:t>35 000,00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153 989 245,20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119 875 735,80</w:t>
            </w:r>
          </w:p>
        </w:tc>
        <w:tc>
          <w:tcPr>
            <w:tcW w:w="750" w:type="pct"/>
            <w:shd w:val="clear" w:color="auto" w:fill="FFFFFF"/>
            <w:noWrap w:val="0"/>
            <w:tcMar>
              <w:top w:w="60" w:type="dxa"/>
            </w:tcMar>
            <w:vAlign w:val="center"/>
          </w:tcPr>
          <w:p>
            <w:pPr>
              <w:spacing w:before="20" w:after="20"/>
              <w:jc w:val="right"/>
              <w:rPr>
                <w:b w:val="0"/>
                <w:sz w:val="16"/>
              </w:rPr>
            </w:pPr>
            <w:r>
              <w:rPr>
                <w:b w:val="0"/>
                <w:sz w:val="16"/>
              </w:rPr>
              <w:t>11 164 379,00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639 545,60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4"/>
        <w:jc w:val="left"/>
      </w:pPr>
      <w:r>
        <w:t xml:space="preserve">5Б) Повишаване на ефективността при потреблението на енергия в селското стопанство и хранително-вкусовата промишленост </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T15: общи инвестиции за енергийна ефективност (в евро) (област с поставен акцент 5Б)</w:t>
            </w:r>
          </w:p>
        </w:tc>
        <w:tc>
          <w:tcPr>
            <w:tcW w:w="1000" w:type="pct"/>
            <w:shd w:val="clear" w:color="auto" w:fill="FFFFFF"/>
            <w:noWrap w:val="0"/>
            <w:tcMar>
              <w:top w:w="60" w:type="dxa"/>
            </w:tcMar>
            <w:vAlign w:val="center"/>
          </w:tcPr>
          <w:p>
            <w:pPr>
              <w:spacing w:before="20" w:after="20"/>
              <w:jc w:val="right"/>
              <w:rPr>
                <w:b/>
                <w:sz w:val="16"/>
              </w:rPr>
            </w:pPr>
            <w:r>
              <w:rPr>
                <w:b/>
                <w:sz w:val="16"/>
              </w:rPr>
              <w:t>294 373 873,60</w:t>
            </w:r>
          </w:p>
        </w:tc>
      </w:tr>
    </w:tbl>
    <w:p>
      <w:pPr>
        <w:jc w:val="center"/>
        <w:rPr>
          <w:b w:val="0"/>
          <w:sz w:val="16"/>
        </w:rPr>
      </w:pPr>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80,00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33 042,70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247 974,60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1 060,00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1 503 788,00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земеделски стопанства, за преработка и търговия със селскостопански продукти) (4.1, 4.2 и 4.3)</w:t>
            </w:r>
          </w:p>
        </w:tc>
        <w:tc>
          <w:tcPr>
            <w:tcW w:w="750" w:type="pct"/>
            <w:shd w:val="clear" w:color="auto" w:fill="FFFFFF"/>
            <w:noWrap w:val="0"/>
            <w:tcMar>
              <w:top w:w="60" w:type="dxa"/>
            </w:tcMar>
            <w:vAlign w:val="center"/>
          </w:tcPr>
          <w:p>
            <w:pPr>
              <w:spacing w:before="20" w:after="20"/>
              <w:jc w:val="right"/>
              <w:rPr>
                <w:b w:val="0"/>
                <w:sz w:val="16"/>
              </w:rPr>
            </w:pPr>
            <w:r>
              <w:rPr>
                <w:b w:val="0"/>
                <w:sz w:val="16"/>
              </w:rPr>
              <w:t>400,00</w:t>
            </w:r>
          </w:p>
        </w:tc>
        <w:tc>
          <w:tcPr>
            <w:tcW w:w="750" w:type="pct"/>
            <w:shd w:val="clear" w:color="auto" w:fill="FFFFFF"/>
            <w:noWrap w:val="0"/>
            <w:tcMar>
              <w:top w:w="60" w:type="dxa"/>
            </w:tcMar>
            <w:vAlign w:val="center"/>
          </w:tcPr>
          <w:p>
            <w:pPr>
              <w:spacing w:before="20" w:after="20"/>
              <w:jc w:val="right"/>
              <w:rPr>
                <w:b w:val="0"/>
                <w:sz w:val="16"/>
              </w:rPr>
            </w:pPr>
            <w:r>
              <w:rPr>
                <w:b w:val="0"/>
                <w:sz w:val="16"/>
              </w:rPr>
              <w:t>55,00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308 326 369,70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171 891 334,40</w:t>
            </w:r>
          </w:p>
        </w:tc>
        <w:tc>
          <w:tcPr>
            <w:tcW w:w="750" w:type="pct"/>
            <w:shd w:val="clear" w:color="auto" w:fill="FFFFFF"/>
            <w:noWrap w:val="0"/>
            <w:tcMar>
              <w:top w:w="60" w:type="dxa"/>
            </w:tcMar>
            <w:vAlign w:val="center"/>
          </w:tcPr>
          <w:p>
            <w:pPr>
              <w:spacing w:before="20" w:after="20"/>
              <w:jc w:val="right"/>
              <w:rPr>
                <w:b w:val="0"/>
                <w:sz w:val="16"/>
              </w:rPr>
            </w:pPr>
            <w:r>
              <w:rPr>
                <w:b w:val="0"/>
                <w:sz w:val="16"/>
              </w:rPr>
              <w:t>18 113 516,00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365 202,20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4"/>
        <w:jc w:val="left"/>
      </w:pPr>
      <w: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T16: общ размер на инвестициите в производство на енергия от възобновяеми източници (в евро) (област с поставен акцент 5В)</w:t>
            </w:r>
          </w:p>
        </w:tc>
        <w:tc>
          <w:tcPr>
            <w:tcW w:w="1000" w:type="pct"/>
            <w:shd w:val="clear" w:color="auto" w:fill="FFFFFF"/>
            <w:noWrap w:val="0"/>
            <w:tcMar>
              <w:top w:w="60" w:type="dxa"/>
            </w:tcMar>
            <w:vAlign w:val="center"/>
          </w:tcPr>
          <w:p>
            <w:pPr>
              <w:spacing w:before="20" w:after="20"/>
              <w:jc w:val="right"/>
              <w:rPr>
                <w:b/>
                <w:sz w:val="16"/>
              </w:rPr>
            </w:pPr>
            <w:r>
              <w:rPr>
                <w:b/>
                <w:sz w:val="16"/>
              </w:rPr>
              <w:t>115 887 288,00</w:t>
            </w:r>
          </w:p>
        </w:tc>
      </w:tr>
    </w:tbl>
    <w:p>
      <w:pPr>
        <w:jc w:val="center"/>
        <w:rPr>
          <w:b w:val="0"/>
          <w:sz w:val="16"/>
        </w:rPr>
      </w:pPr>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130,00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33 042,70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33 042,70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530,00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1 503 788,80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(4.1, 4.3)</w:t>
            </w:r>
          </w:p>
        </w:tc>
        <w:tc>
          <w:tcPr>
            <w:tcW w:w="750" w:type="pct"/>
            <w:shd w:val="clear" w:color="auto" w:fill="FFFFFF"/>
            <w:noWrap w:val="0"/>
            <w:tcMar>
              <w:top w:w="60" w:type="dxa"/>
            </w:tcMar>
            <w:vAlign w:val="center"/>
          </w:tcPr>
          <w:p>
            <w:pPr>
              <w:spacing w:before="20" w:after="20"/>
              <w:jc w:val="right"/>
              <w:rPr>
                <w:b w:val="0"/>
                <w:sz w:val="16"/>
              </w:rPr>
            </w:pPr>
            <w:r>
              <w:rPr>
                <w:b w:val="0"/>
                <w:sz w:val="16"/>
              </w:rPr>
              <w:t>50,00</w:t>
            </w:r>
          </w:p>
        </w:tc>
        <w:tc>
          <w:tcPr>
            <w:tcW w:w="750" w:type="pct"/>
            <w:shd w:val="clear" w:color="auto" w:fill="FFFFFF"/>
            <w:noWrap w:val="0"/>
            <w:tcMar>
              <w:top w:w="60" w:type="dxa"/>
            </w:tcMar>
            <w:vAlign w:val="center"/>
          </w:tcPr>
          <w:p>
            <w:pPr>
              <w:spacing w:before="20" w:after="20"/>
              <w:jc w:val="right"/>
              <w:rPr>
                <w:b w:val="0"/>
                <w:sz w:val="16"/>
              </w:rPr>
            </w:pPr>
            <w:r>
              <w:rPr>
                <w:b w:val="0"/>
                <w:sz w:val="16"/>
              </w:rPr>
              <w:t>15,00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121 077 004,40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61 539 435,10</w:t>
            </w:r>
          </w:p>
        </w:tc>
        <w:tc>
          <w:tcPr>
            <w:tcW w:w="750" w:type="pct"/>
            <w:shd w:val="clear" w:color="auto" w:fill="FFFFFF"/>
            <w:noWrap w:val="0"/>
            <w:tcMar>
              <w:top w:w="60" w:type="dxa"/>
            </w:tcMar>
            <w:vAlign w:val="center"/>
          </w:tcPr>
          <w:p>
            <w:pPr>
              <w:spacing w:before="20" w:after="20"/>
              <w:jc w:val="right"/>
              <w:rPr>
                <w:b w:val="0"/>
                <w:sz w:val="16"/>
              </w:rPr>
            </w:pPr>
            <w:r>
              <w:rPr>
                <w:b w:val="0"/>
                <w:sz w:val="16"/>
              </w:rPr>
              <w:t>19 709 756,00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малка по мащаби инфраструктура, включително инвестиции в енергия от възобновяеми източници и спестяване на енергия (7.2)</w:t>
            </w:r>
          </w:p>
        </w:tc>
        <w:tc>
          <w:tcPr>
            <w:tcW w:w="750" w:type="pct"/>
            <w:shd w:val="clear" w:color="auto" w:fill="FFFFFF"/>
            <w:noWrap w:val="0"/>
            <w:tcMar>
              <w:top w:w="60" w:type="dxa"/>
            </w:tcMar>
            <w:vAlign w:val="center"/>
          </w:tcPr>
          <w:p>
            <w:pPr>
              <w:spacing w:before="20" w:after="20"/>
              <w:jc w:val="right"/>
              <w:rPr>
                <w:b w:val="0"/>
                <w:sz w:val="16"/>
              </w:rPr>
            </w:pPr>
            <w:r>
              <w:rPr>
                <w:b w:val="0"/>
                <w:sz w:val="16"/>
              </w:rPr>
              <w:t>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42 729 898,70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42 729 898,70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562 804,40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bl>
    <w:p>
      <w:pPr>
        <w:sectPr>
          <w:pgMar w:top="900" w:right="900" w:bottom="900" w:left="900" w:header="720" w:footer="720"/>
          <w:cols w:space="720"/>
        </w:sectPr>
      </w:pPr>
    </w:p>
    <w:p>
      <w:pPr>
        <w:pStyle w:val="Heading4"/>
        <w:jc w:val="left"/>
      </w:pPr>
      <w:r>
        <w:t>5Г) Намаляване на емисиите на парникови газове и амоняк от селското стопанство</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tcW w:w="1000" w:type="pct"/>
            <w:shd w:val="clear" w:color="auto" w:fill="FFFFFF"/>
            <w:noWrap w:val="0"/>
            <w:tcMar>
              <w:top w:w="60" w:type="dxa"/>
            </w:tcMar>
            <w:vAlign w:val="center"/>
          </w:tcPr>
          <w:p>
            <w:pPr>
              <w:spacing w:before="20" w:after="20"/>
              <w:jc w:val="right"/>
              <w:rPr>
                <w:b/>
                <w:sz w:val="16"/>
              </w:rPr>
            </w:pPr>
            <w:r>
              <w:rPr>
                <w:b/>
                <w:sz w:val="16"/>
              </w:rPr>
              <w:t>2 000,00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T17: процент на 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tcW w:w="1000" w:type="pct"/>
            <w:shd w:val="clear" w:color="auto" w:fill="FFFFFF"/>
            <w:noWrap w:val="0"/>
            <w:tcMar>
              <w:top w:w="60" w:type="dxa"/>
            </w:tcMar>
            <w:vAlign w:val="center"/>
          </w:tcPr>
          <w:p>
            <w:pPr>
              <w:spacing w:before="20" w:after="20"/>
              <w:jc w:val="right"/>
              <w:rPr>
                <w:b w:val="0"/>
                <w:sz w:val="16"/>
              </w:rPr>
            </w:pPr>
            <w:r>
              <w:rPr>
                <w:b w:val="0"/>
                <w:sz w:val="16"/>
              </w:rPr>
              <w:t>0,17</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T18: процент на земеделската земя, обхваната от договори за управление за намаляване на емисиите на парникови газове и/или на амоняк (област с поставен акцент 5Г)</w:t>
            </w:r>
          </w:p>
        </w:tc>
        <w:tc>
          <w:tcPr>
            <w:tcW w:w="1000" w:type="pct"/>
            <w:shd w:val="clear" w:color="auto" w:fill="FFFFFF"/>
            <w:noWrap w:val="0"/>
            <w:tcMar>
              <w:top w:w="60" w:type="dxa"/>
            </w:tcMar>
            <w:vAlign w:val="center"/>
          </w:tcPr>
          <w:p>
            <w:pPr>
              <w:spacing w:before="20" w:after="20"/>
              <w:jc w:val="right"/>
              <w:rPr>
                <w:b/>
                <w:sz w:val="16"/>
              </w:rPr>
            </w:pPr>
            <w:r>
              <w:rPr>
                <w:b/>
                <w:sz w:val="16"/>
              </w:rPr>
              <w:t>0,16</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за намаляване на емисиите на парникови газове и/или на амоняк (ha) (област с поставен акцент 5Г)</w:t>
            </w:r>
          </w:p>
        </w:tc>
        <w:tc>
          <w:tcPr>
            <w:tcW w:w="1000" w:type="pct"/>
            <w:shd w:val="clear" w:color="auto" w:fill="FFFFFF"/>
            <w:noWrap w:val="0"/>
            <w:tcMar>
              <w:top w:w="60" w:type="dxa"/>
            </w:tcMar>
            <w:vAlign w:val="center"/>
          </w:tcPr>
          <w:p>
            <w:pPr>
              <w:spacing w:before="20" w:after="20"/>
              <w:jc w:val="right"/>
              <w:rPr>
                <w:b w:val="0"/>
                <w:sz w:val="16"/>
              </w:rPr>
            </w:pPr>
            <w:r>
              <w:rPr>
                <w:b w:val="0"/>
                <w:sz w:val="16"/>
              </w:rPr>
              <w:t>7 000,00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21 Животински единици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1 149 470,00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210,00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73 721,70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267 811,10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2 520,00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1 503 788,80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(напр. за съхранение и обработка на оборски тор) (4.1, 4,4 и 4.3)</w:t>
            </w:r>
          </w:p>
        </w:tc>
        <w:tc>
          <w:tcPr>
            <w:tcW w:w="750" w:type="pct"/>
            <w:shd w:val="clear" w:color="auto" w:fill="FFFFFF"/>
            <w:noWrap w:val="0"/>
            <w:tcMar>
              <w:top w:w="60" w:type="dxa"/>
            </w:tcMar>
            <w:vAlign w:val="center"/>
          </w:tcPr>
          <w:p>
            <w:pPr>
              <w:spacing w:before="20" w:after="20"/>
              <w:jc w:val="right"/>
              <w:rPr>
                <w:b w:val="0"/>
                <w:sz w:val="16"/>
              </w:rPr>
            </w:pPr>
            <w:r>
              <w:rPr>
                <w:b w:val="0"/>
                <w:sz w:val="16"/>
              </w:rPr>
              <w:t>30,00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Животински единици, засегнати от инвестиции в управление на добитък с оглед намаляване на емисиите на парникови газове и емисиите на амоняк </w:t>
            </w:r>
          </w:p>
        </w:tc>
        <w:tc>
          <w:tcPr>
            <w:tcW w:w="750" w:type="pct"/>
            <w:shd w:val="clear" w:color="auto" w:fill="FFFFFF"/>
            <w:noWrap w:val="0"/>
            <w:tcMar>
              <w:top w:w="60" w:type="dxa"/>
            </w:tcMar>
            <w:vAlign w:val="center"/>
          </w:tcPr>
          <w:p>
            <w:pPr>
              <w:spacing w:before="20" w:after="20"/>
              <w:jc w:val="right"/>
              <w:rPr>
                <w:b w:val="0"/>
                <w:sz w:val="16"/>
              </w:rPr>
            </w:pPr>
            <w:r>
              <w:rPr>
                <w:b w:val="0"/>
                <w:sz w:val="16"/>
              </w:rPr>
              <w:t>2 000,00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1 288 877,50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773 326,70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(напр. зелена покривка, междинни култури, намалено наторяване, екстензификация...)</w:t>
            </w:r>
          </w:p>
        </w:tc>
        <w:tc>
          <w:tcPr>
            <w:tcW w:w="750" w:type="pct"/>
            <w:shd w:val="clear" w:color="auto" w:fill="FFFFFF"/>
            <w:noWrap w:val="0"/>
            <w:tcMar>
              <w:top w:w="60" w:type="dxa"/>
            </w:tcMar>
            <w:vAlign w:val="center"/>
          </w:tcPr>
          <w:p>
            <w:pPr>
              <w:spacing w:before="20" w:after="20"/>
              <w:jc w:val="right"/>
              <w:rPr>
                <w:b w:val="0"/>
                <w:sz w:val="16"/>
              </w:rPr>
            </w:pPr>
            <w:r>
              <w:rPr>
                <w:b w:val="0"/>
                <w:sz w:val="16"/>
              </w:rPr>
              <w:t>7 000,00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Общо публични разходи (в евро) </w:t>
            </w:r>
          </w:p>
        </w:tc>
        <w:tc>
          <w:tcPr>
            <w:tcW w:w="750" w:type="pct"/>
            <w:shd w:val="clear" w:color="auto" w:fill="FFFFFF"/>
            <w:noWrap w:val="0"/>
            <w:tcMar>
              <w:top w:w="60" w:type="dxa"/>
            </w:tcMar>
            <w:vAlign w:val="center"/>
          </w:tcPr>
          <w:p>
            <w:pPr>
              <w:spacing w:before="20" w:after="20"/>
              <w:jc w:val="right"/>
              <w:rPr>
                <w:b w:val="0"/>
                <w:sz w:val="16"/>
              </w:rPr>
            </w:pPr>
            <w:r>
              <w:rPr>
                <w:b w:val="0"/>
                <w:sz w:val="16"/>
              </w:rPr>
              <w:t>35 042 332,60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773 258,90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4"/>
        <w:jc w:val="left"/>
      </w:pPr>
      <w:r>
        <w:t xml:space="preserve">5Д) Стимулиране на съхраняването и поглъщането на въглерода в сектора на селското и горското стопанство </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T19: процент от земеделските и горските земи, обхванати от договори за управление, допринасящи за улавяне и съхранение на въглерод (област с поставен акцент 5Д)</w:t>
            </w:r>
          </w:p>
        </w:tc>
        <w:tc>
          <w:tcPr>
            <w:tcW w:w="1000" w:type="pct"/>
            <w:shd w:val="clear" w:color="auto" w:fill="FFFFFF"/>
            <w:noWrap w:val="0"/>
            <w:tcMar>
              <w:top w:w="60" w:type="dxa"/>
            </w:tcMar>
            <w:vAlign w:val="center"/>
          </w:tcPr>
          <w:p>
            <w:pPr>
              <w:spacing w:before="20" w:after="20"/>
              <w:jc w:val="right"/>
              <w:rPr>
                <w:b/>
                <w:sz w:val="16"/>
              </w:rPr>
            </w:pPr>
            <w:r>
              <w:rPr>
                <w:b/>
                <w:sz w:val="16"/>
              </w:rPr>
              <w:t>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и горска земя под управление за насърчаване поглъщането/съхраняването на въглерод (ha) (област с поставен акцент 5Д)</w:t>
            </w:r>
          </w:p>
        </w:tc>
        <w:tc>
          <w:tcPr>
            <w:tcW w:w="1000" w:type="pct"/>
            <w:shd w:val="clear" w:color="auto" w:fill="FFFFFF"/>
            <w:noWrap w:val="0"/>
            <w:tcMar>
              <w:top w:w="60" w:type="dxa"/>
            </w:tcMar>
            <w:vAlign w:val="center"/>
          </w:tcPr>
          <w:p>
            <w:pPr>
              <w:spacing w:before="20" w:after="20"/>
              <w:jc w:val="right"/>
              <w:rPr>
                <w:b w:val="0"/>
                <w:sz w:val="16"/>
              </w:rPr>
            </w:pPr>
            <w:r>
              <w:rPr>
                <w:b w:val="0"/>
                <w:sz w:val="16"/>
              </w:rPr>
              <w:t>110,00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250,00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200 234,10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505 374,90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2 520,00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1 503 788,80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която ще бъде залесена (установяване — 8.1)</w:t>
            </w:r>
          </w:p>
        </w:tc>
        <w:tc>
          <w:tcPr>
            <w:tcW w:w="750" w:type="pct"/>
            <w:shd w:val="clear" w:color="auto" w:fill="FFFFFF"/>
            <w:noWrap w:val="0"/>
            <w:tcMar>
              <w:top w:w="60" w:type="dxa"/>
            </w:tcMar>
            <w:vAlign w:val="center"/>
          </w:tcPr>
          <w:p>
            <w:pPr>
              <w:spacing w:before="20" w:after="20"/>
              <w:jc w:val="right"/>
              <w:rPr>
                <w:b w:val="0"/>
                <w:sz w:val="16"/>
              </w:rPr>
            </w:pPr>
            <w:r>
              <w:rPr>
                <w:b w:val="0"/>
                <w:sz w:val="16"/>
              </w:rPr>
              <w:t>110,00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(8.1)</w:t>
            </w:r>
          </w:p>
        </w:tc>
        <w:tc>
          <w:tcPr>
            <w:tcW w:w="750" w:type="pct"/>
            <w:shd w:val="clear" w:color="auto" w:fill="FFFFFF"/>
            <w:noWrap w:val="0"/>
            <w:tcMar>
              <w:top w:w="60" w:type="dxa"/>
            </w:tcMar>
            <w:vAlign w:val="center"/>
          </w:tcPr>
          <w:p>
            <w:pPr>
              <w:spacing w:before="20" w:after="20"/>
              <w:jc w:val="right"/>
              <w:rPr>
                <w:b w:val="0"/>
                <w:sz w:val="16"/>
              </w:rPr>
            </w:pPr>
            <w:r>
              <w:rPr>
                <w:b w:val="0"/>
                <w:sz w:val="16"/>
              </w:rPr>
              <w:t>777 778,70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за установяване в агролесовъдни системи (8.2)</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(8.2)</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(8.3)</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(8.4)</w:t>
            </w:r>
          </w:p>
        </w:tc>
        <w:tc>
          <w:tcPr>
            <w:tcW w:w="750" w:type="pct"/>
            <w:shd w:val="clear" w:color="auto" w:fill="FFFFFF"/>
            <w:noWrap w:val="0"/>
            <w:tcMar>
              <w:top w:w="60" w:type="dxa"/>
            </w:tcMar>
            <w:vAlign w:val="center"/>
          </w:tcPr>
          <w:p>
            <w:pPr>
              <w:spacing w:before="20" w:after="20"/>
              <w:jc w:val="right"/>
              <w:rPr>
                <w:b w:val="0"/>
                <w:sz w:val="16"/>
              </w:rPr>
            </w:pPr>
            <w:r>
              <w:rPr>
                <w:b w:val="0"/>
                <w:sz w:val="16"/>
              </w:rPr>
              <w:t>2 397 058,80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(8.5)</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(инвестиции за подобряване на устойчивостта и екологичната стойност на горските екосистеми (8.5)</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(8.6)</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49 526,70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3"/>
        <w:jc w:val="left"/>
        <w:rPr>
          <w:b w:val="0"/>
        </w:rPr>
      </w:pPr>
      <w:bookmarkStart w:id="173" w:name="_Toc256000173"/>
      <w:r>
        <w:rPr>
          <w:b w:val="0"/>
        </w:rPr>
        <w:t>P6: Насърчаване на социалното приобщаване, намаляването на бедността и икономическото развитие в селските райони</w:t>
      </w:r>
      <w:bookmarkEnd w:id="173"/>
      <w:r>
        <w:rPr>
          <w:b w:val="0"/>
        </w:rPr>
        <w:t xml:space="preserve"> </w:t>
      </w:r>
    </w:p>
    <w:p>
      <w:pPr>
        <w:pStyle w:val="Heading4"/>
        <w:jc w:val="left"/>
      </w:pPr>
      <w:r>
        <w:t>6А) Улесняване на разнообразяването, създаването и развитието на малки предприятия, както и разкриването на работни места</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T20: работни места, разкрити в подпомогнатите проекти (област с поставен акцент 6А)</w:t>
            </w:r>
          </w:p>
        </w:tc>
        <w:tc>
          <w:tcPr>
            <w:tcW w:w="1000" w:type="pct"/>
            <w:shd w:val="clear" w:color="auto" w:fill="FFFFFF"/>
            <w:noWrap w:val="0"/>
            <w:tcMar>
              <w:top w:w="60" w:type="dxa"/>
            </w:tcMar>
            <w:vAlign w:val="center"/>
          </w:tcPr>
          <w:p>
            <w:pPr>
              <w:spacing w:before="20" w:after="20"/>
              <w:jc w:val="right"/>
              <w:rPr>
                <w:b/>
                <w:sz w:val="16"/>
              </w:rPr>
            </w:pPr>
            <w:r>
              <w:rPr>
                <w:b/>
                <w:sz w:val="16"/>
              </w:rPr>
              <w:t>3 500,00</w:t>
            </w:r>
          </w:p>
        </w:tc>
      </w:tr>
    </w:tbl>
    <w:p>
      <w:pPr>
        <w:jc w:val="center"/>
        <w:rPr>
          <w:b w:val="0"/>
          <w:sz w:val="16"/>
        </w:rPr>
      </w:pPr>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стартиране/подкрепа за инвестиции в неселскостопански дейности в селските райони (6.2 и 6.4)</w:t>
            </w:r>
          </w:p>
        </w:tc>
        <w:tc>
          <w:tcPr>
            <w:tcW w:w="750" w:type="pct"/>
            <w:shd w:val="clear" w:color="auto" w:fill="FFFFFF"/>
            <w:noWrap w:val="0"/>
            <w:tcMar>
              <w:top w:w="60" w:type="dxa"/>
            </w:tcMar>
            <w:vAlign w:val="center"/>
          </w:tcPr>
          <w:p>
            <w:pPr>
              <w:spacing w:before="20" w:after="20"/>
              <w:jc w:val="right"/>
              <w:rPr>
                <w:b w:val="0"/>
                <w:sz w:val="16"/>
              </w:rPr>
            </w:pPr>
            <w:r>
              <w:rPr>
                <w:b w:val="0"/>
                <w:sz w:val="16"/>
              </w:rPr>
              <w:t>420,00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70 242 861,60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33 990 111,60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Общо публични разходи (в евро) </w:t>
            </w:r>
          </w:p>
        </w:tc>
        <w:tc>
          <w:tcPr>
            <w:tcW w:w="750" w:type="pct"/>
            <w:shd w:val="clear" w:color="auto" w:fill="FFFFFF"/>
            <w:noWrap w:val="0"/>
            <w:tcMar>
              <w:top w:w="60" w:type="dxa"/>
            </w:tcMar>
            <w:vAlign w:val="center"/>
          </w:tcPr>
          <w:p>
            <w:pPr>
              <w:spacing w:before="20" w:after="20"/>
              <w:jc w:val="right"/>
              <w:rPr>
                <w:b w:val="0"/>
                <w:sz w:val="16"/>
              </w:rPr>
            </w:pPr>
            <w:r>
              <w:rPr>
                <w:b w:val="0"/>
                <w:sz w:val="16"/>
              </w:rPr>
              <w:t>3 880 357,50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МСП, получаващи подкрепа</w:t>
            </w:r>
          </w:p>
        </w:tc>
        <w:tc>
          <w:tcPr>
            <w:tcW w:w="750" w:type="pct"/>
            <w:shd w:val="clear" w:color="auto" w:fill="FFFFFF"/>
            <w:noWrap w:val="0"/>
            <w:tcMar>
              <w:top w:w="60" w:type="dxa"/>
            </w:tcMar>
            <w:vAlign w:val="center"/>
          </w:tcPr>
          <w:p>
            <w:pPr>
              <w:spacing w:before="20" w:after="20"/>
              <w:jc w:val="right"/>
              <w:rPr>
                <w:b w:val="0"/>
                <w:sz w:val="16"/>
              </w:rPr>
            </w:pPr>
            <w:r>
              <w:rPr>
                <w:b w:val="0"/>
                <w:sz w:val="16"/>
              </w:rPr>
              <w:t>190,00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M22 — Извънредно временно подпомагане за земеделските стопани и МСП, които са особено засегнати от последиците от руското нашествие в Украйна (член 39в)</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1 999 375,00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M22 — Извънредно временно подпомагане за земеделските стопани и МСП, които са особено засегнати от последиците от руското нашествие в Украйна (член 39в)</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МСП, получаващи подкрепа</w:t>
            </w:r>
          </w:p>
        </w:tc>
        <w:tc>
          <w:tcPr>
            <w:tcW w:w="750" w:type="pct"/>
            <w:shd w:val="clear" w:color="auto" w:fill="FFFFFF"/>
            <w:noWrap w:val="0"/>
            <w:tcMar>
              <w:top w:w="60" w:type="dxa"/>
            </w:tcMar>
            <w:vAlign w:val="center"/>
          </w:tcPr>
          <w:p>
            <w:pPr>
              <w:spacing w:before="20" w:after="20"/>
              <w:jc w:val="right"/>
              <w:rPr>
                <w:b w:val="0"/>
                <w:sz w:val="16"/>
              </w:rPr>
            </w:pPr>
            <w:r>
              <w:rPr>
                <w:b w:val="0"/>
                <w:sz w:val="16"/>
              </w:rPr>
              <w:t>120,00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4"/>
        <w:jc w:val="left"/>
      </w:pPr>
      <w:r>
        <w:t xml:space="preserve">6Б) Стимулиране на местното развитие в селските райони </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T21: процент от населението в селските райони, обхванато от стратегии за местно развитие (област с поставен акцент 6Б)</w:t>
            </w:r>
          </w:p>
        </w:tc>
        <w:tc>
          <w:tcPr>
            <w:tcW w:w="1000" w:type="pct"/>
            <w:shd w:val="clear" w:color="auto" w:fill="FFFFFF"/>
            <w:noWrap w:val="0"/>
            <w:tcMar>
              <w:top w:w="60" w:type="dxa"/>
            </w:tcMar>
            <w:vAlign w:val="center"/>
          </w:tcPr>
          <w:p>
            <w:pPr>
              <w:spacing w:before="20" w:after="20"/>
              <w:jc w:val="right"/>
              <w:rPr>
                <w:b/>
                <w:sz w:val="16"/>
              </w:rPr>
            </w:pPr>
            <w:r>
              <w:rPr>
                <w:b/>
                <w:sz w:val="16"/>
              </w:rPr>
              <w:t>22,91</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население в селските райони, обхванато от стратегии за местно развитие (област с поставен акцент 6Б)</w:t>
            </w:r>
          </w:p>
        </w:tc>
        <w:tc>
          <w:tcPr>
            <w:tcW w:w="1000" w:type="pct"/>
            <w:shd w:val="clear" w:color="auto" w:fill="FFFFFF"/>
            <w:noWrap w:val="0"/>
            <w:tcMar>
              <w:top w:w="60" w:type="dxa"/>
            </w:tcMar>
            <w:vAlign w:val="center"/>
          </w:tcPr>
          <w:p>
            <w:pPr>
              <w:spacing w:before="20" w:after="20"/>
              <w:jc w:val="right"/>
              <w:rPr>
                <w:b w:val="0"/>
                <w:sz w:val="16"/>
              </w:rPr>
            </w:pPr>
            <w:r>
              <w:rPr>
                <w:b w:val="0"/>
                <w:sz w:val="16"/>
              </w:rPr>
              <w:t>1 370 000,00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T22: процент от населението в селските райони, което се възползва от подобрените услуги/инфраструктура (област с поставен акцент 6Б)</w:t>
            </w:r>
          </w:p>
        </w:tc>
        <w:tc>
          <w:tcPr>
            <w:tcW w:w="1000" w:type="pct"/>
            <w:shd w:val="clear" w:color="auto" w:fill="FFFFFF"/>
            <w:noWrap w:val="0"/>
            <w:tcMar>
              <w:top w:w="60" w:type="dxa"/>
            </w:tcMar>
            <w:vAlign w:val="center"/>
          </w:tcPr>
          <w:p>
            <w:pPr>
              <w:spacing w:before="20" w:after="20"/>
              <w:jc w:val="right"/>
              <w:rPr>
                <w:b/>
                <w:sz w:val="16"/>
              </w:rPr>
            </w:pPr>
            <w:r>
              <w:rPr>
                <w:b/>
                <w:sz w:val="16"/>
              </w:rPr>
              <w:t>33,36</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T23: работни места, разкрити в подпомогнатите проекти (Leader) (област с поставен акцент 6Б)</w:t>
            </w:r>
          </w:p>
        </w:tc>
        <w:tc>
          <w:tcPr>
            <w:tcW w:w="1000" w:type="pct"/>
            <w:shd w:val="clear" w:color="auto" w:fill="FFFFFF"/>
            <w:noWrap w:val="0"/>
            <w:tcMar>
              <w:top w:w="60" w:type="dxa"/>
            </w:tcMar>
            <w:vAlign w:val="center"/>
          </w:tcPr>
          <w:p>
            <w:pPr>
              <w:spacing w:before="20" w:after="20"/>
              <w:jc w:val="right"/>
              <w:rPr>
                <w:b/>
                <w:sz w:val="16"/>
              </w:rPr>
            </w:pPr>
            <w:r>
              <w:rPr>
                <w:b/>
                <w:sz w:val="16"/>
              </w:rPr>
              <w:t>600,00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нетен брой на населението, което се възползва от подобрените услуги</w:t>
            </w:r>
          </w:p>
        </w:tc>
        <w:tc>
          <w:tcPr>
            <w:tcW w:w="1000" w:type="pct"/>
            <w:shd w:val="clear" w:color="auto" w:fill="FFFFFF"/>
            <w:noWrap w:val="0"/>
            <w:tcMar>
              <w:top w:w="60" w:type="dxa"/>
            </w:tcMar>
            <w:vAlign w:val="center"/>
          </w:tcPr>
          <w:p>
            <w:pPr>
              <w:spacing w:before="20" w:after="20"/>
              <w:jc w:val="right"/>
              <w:rPr>
                <w:b w:val="0"/>
                <w:sz w:val="16"/>
              </w:rPr>
            </w:pPr>
            <w:r>
              <w:rPr>
                <w:b w:val="0"/>
                <w:sz w:val="16"/>
              </w:rPr>
              <w:t>1 995 000,00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селски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37,30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междинни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44,80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7 284 552,00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специфично определение за селските райони, използвано за целевите стойности T21; T22 и T24 (ако е уместно)</w:t>
            </w:r>
          </w:p>
        </w:tc>
        <w:tc>
          <w:tcPr>
            <w:tcW w:w="1000" w:type="pct"/>
            <w:shd w:val="clear" w:color="auto" w:fill="FFFFFF"/>
            <w:noWrap w:val="0"/>
            <w:tcMar>
              <w:top w:w="60" w:type="dxa"/>
            </w:tcMar>
            <w:vAlign w:val="center"/>
          </w:tcPr>
          <w:p>
            <w:pPr>
              <w:spacing w:before="20" w:after="20"/>
              <w:jc w:val="right"/>
              <w:rPr>
                <w:b w:val="0"/>
                <w:sz w:val="16"/>
              </w:rPr>
            </w:pPr>
            <w:r>
              <w:rPr>
                <w:b w:val="0"/>
                <w:sz w:val="16"/>
              </w:rPr>
              <w:t>0</w:t>
            </w:r>
          </w:p>
        </w:tc>
      </w:tr>
    </w:tbl>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изготвяне на планове за развитие на селата и планове за управление за обекти по „Натура 2000“ и райони с висока природна стойност (7.1)</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малка по мащаби инфраструктура, включително инвестиции в енергия от възобновяеми източници и спестяване на енергия (7.2)</w:t>
            </w:r>
          </w:p>
        </w:tc>
        <w:tc>
          <w:tcPr>
            <w:tcW w:w="750" w:type="pct"/>
            <w:shd w:val="clear" w:color="auto" w:fill="FFFFFF"/>
            <w:noWrap w:val="0"/>
            <w:tcMar>
              <w:top w:w="60" w:type="dxa"/>
            </w:tcMar>
            <w:vAlign w:val="center"/>
          </w:tcPr>
          <w:p>
            <w:pPr>
              <w:spacing w:before="20" w:after="20"/>
              <w:jc w:val="right"/>
              <w:rPr>
                <w:b w:val="0"/>
                <w:sz w:val="16"/>
              </w:rPr>
            </w:pPr>
            <w:r>
              <w:rPr>
                <w:b w:val="0"/>
                <w:sz w:val="16"/>
              </w:rPr>
              <w:t>840,00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основни услуги на местно равнище за населението в селските райони (7.4)</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инфраструктура за отдих/туризъм (7.5)</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проучвания/инвестиции, свързани с природното и културното наследство на селата, в т.ч. обекти с висока природна стойност (7.6)</w:t>
            </w:r>
          </w:p>
        </w:tc>
        <w:tc>
          <w:tcPr>
            <w:tcW w:w="750" w:type="pct"/>
            <w:shd w:val="clear" w:color="auto" w:fill="FFFFFF"/>
            <w:noWrap w:val="0"/>
            <w:tcMar>
              <w:top w:w="60" w:type="dxa"/>
            </w:tcMar>
            <w:vAlign w:val="center"/>
          </w:tcPr>
          <w:p>
            <w:pPr>
              <w:spacing w:before="20" w:after="20"/>
              <w:jc w:val="right"/>
              <w:rPr>
                <w:b w:val="0"/>
                <w:sz w:val="16"/>
              </w:rPr>
            </w:pPr>
            <w:r>
              <w:rPr>
                <w:b w:val="0"/>
                <w:sz w:val="16"/>
              </w:rPr>
              <w:t>200,00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за преместване на дейности от съображения, свързани с опазването на околната среда/качеството на живот (7.7)</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Други (7.8)</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жители, които се ползват от подобрени услуги/инфраструктура (7.1; 7.2; 7.4; 7.5.;7.6; 7.7)</w:t>
            </w:r>
          </w:p>
        </w:tc>
        <w:tc>
          <w:tcPr>
            <w:tcW w:w="750" w:type="pct"/>
            <w:shd w:val="clear" w:color="auto" w:fill="FFFFFF"/>
            <w:noWrap w:val="0"/>
            <w:tcMar>
              <w:top w:w="60" w:type="dxa"/>
            </w:tcMar>
            <w:vAlign w:val="center"/>
          </w:tcPr>
          <w:p>
            <w:pPr>
              <w:spacing w:before="20" w:after="20"/>
              <w:jc w:val="right"/>
              <w:rPr>
                <w:b w:val="0"/>
                <w:sz w:val="16"/>
              </w:rPr>
            </w:pPr>
            <w:r>
              <w:rPr>
                <w:b w:val="0"/>
                <w:sz w:val="16"/>
              </w:rPr>
              <w:t>1 995 000,00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777 859 267,70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на избраните местни групи за действие</w:t>
            </w:r>
          </w:p>
        </w:tc>
        <w:tc>
          <w:tcPr>
            <w:tcW w:w="750" w:type="pct"/>
            <w:shd w:val="clear" w:color="auto" w:fill="FFFFFF"/>
            <w:noWrap w:val="0"/>
            <w:tcMar>
              <w:top w:w="60" w:type="dxa"/>
            </w:tcMar>
            <w:vAlign w:val="center"/>
          </w:tcPr>
          <w:p>
            <w:pPr>
              <w:spacing w:before="20" w:after="20"/>
              <w:jc w:val="right"/>
              <w:rPr>
                <w:b w:val="0"/>
                <w:sz w:val="16"/>
              </w:rPr>
            </w:pPr>
            <w:r>
              <w:rPr>
                <w:b w:val="0"/>
                <w:sz w:val="16"/>
              </w:rPr>
              <w:t>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жители, обхванати от местните групи за действие</w:t>
            </w:r>
          </w:p>
        </w:tc>
        <w:tc>
          <w:tcPr>
            <w:tcW w:w="750" w:type="pct"/>
            <w:shd w:val="clear" w:color="auto" w:fill="FFFFFF"/>
            <w:noWrap w:val="0"/>
            <w:tcMar>
              <w:top w:w="60" w:type="dxa"/>
            </w:tcMar>
            <w:vAlign w:val="center"/>
          </w:tcPr>
          <w:p>
            <w:pPr>
              <w:spacing w:before="20" w:after="20"/>
              <w:jc w:val="right"/>
              <w:rPr>
                <w:b w:val="0"/>
                <w:sz w:val="16"/>
              </w:rPr>
            </w:pPr>
            <w:r>
              <w:rPr>
                <w:b w:val="0"/>
                <w:sz w:val="16"/>
              </w:rPr>
              <w:t>1 370 000,00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подготвителна помощ (19.1)</w:t>
            </w:r>
          </w:p>
        </w:tc>
        <w:tc>
          <w:tcPr>
            <w:tcW w:w="750" w:type="pct"/>
            <w:shd w:val="clear" w:color="auto" w:fill="FFFFFF"/>
            <w:noWrap w:val="0"/>
            <w:tcMar>
              <w:top w:w="60" w:type="dxa"/>
            </w:tcMar>
            <w:vAlign w:val="center"/>
          </w:tcPr>
          <w:p>
            <w:pPr>
              <w:spacing w:before="20" w:after="20"/>
              <w:jc w:val="right"/>
              <w:rPr>
                <w:b w:val="0"/>
                <w:sz w:val="16"/>
              </w:rPr>
            </w:pPr>
            <w:r>
              <w:rPr>
                <w:b w:val="0"/>
                <w:sz w:val="16"/>
              </w:rPr>
              <w:t>5 470 116,40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подкрепа за изпълнение на операциите по водена от общностите стратегия за местно развитие (19.2)</w:t>
            </w:r>
          </w:p>
        </w:tc>
        <w:tc>
          <w:tcPr>
            <w:tcW w:w="750" w:type="pct"/>
            <w:shd w:val="clear" w:color="auto" w:fill="FFFFFF"/>
            <w:noWrap w:val="0"/>
            <w:tcMar>
              <w:top w:w="60" w:type="dxa"/>
            </w:tcMar>
            <w:vAlign w:val="center"/>
          </w:tcPr>
          <w:p>
            <w:pPr>
              <w:spacing w:before="20" w:after="20"/>
              <w:jc w:val="right"/>
              <w:rPr>
                <w:b w:val="0"/>
                <w:sz w:val="16"/>
              </w:rPr>
            </w:pPr>
            <w:r>
              <w:rPr>
                <w:b w:val="0"/>
                <w:sz w:val="16"/>
              </w:rPr>
              <w:t>117 639 892,80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подготовка и изпълнение на дейности за сътрудничество на местната група за действие (19.3)</w:t>
            </w:r>
          </w:p>
        </w:tc>
        <w:tc>
          <w:tcPr>
            <w:tcW w:w="750" w:type="pct"/>
            <w:shd w:val="clear" w:color="auto" w:fill="FFFFFF"/>
            <w:noWrap w:val="0"/>
            <w:tcMar>
              <w:top w:w="60" w:type="dxa"/>
            </w:tcMar>
            <w:vAlign w:val="center"/>
          </w:tcPr>
          <w:p>
            <w:pPr>
              <w:spacing w:before="20" w:after="20"/>
              <w:jc w:val="right"/>
              <w:rPr>
                <w:b w:val="0"/>
                <w:sz w:val="16"/>
              </w:rPr>
            </w:pPr>
            <w:r>
              <w:rPr>
                <w:b w:val="0"/>
                <w:sz w:val="16"/>
              </w:rPr>
              <w:t>5 193 207,80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подкрепа за текущи разходи и разходи за стимулиране на интерес (19.4)</w:t>
            </w:r>
          </w:p>
        </w:tc>
        <w:tc>
          <w:tcPr>
            <w:tcW w:w="750" w:type="pct"/>
            <w:shd w:val="clear" w:color="auto" w:fill="FFFFFF"/>
            <w:noWrap w:val="0"/>
            <w:tcMar>
              <w:top w:w="60" w:type="dxa"/>
            </w:tcMar>
            <w:vAlign w:val="center"/>
          </w:tcPr>
          <w:p>
            <w:pPr>
              <w:spacing w:before="20" w:after="20"/>
              <w:jc w:val="right"/>
              <w:rPr>
                <w:b w:val="0"/>
                <w:sz w:val="16"/>
              </w:rPr>
            </w:pPr>
            <w:r>
              <w:rPr>
                <w:b w:val="0"/>
                <w:sz w:val="16"/>
              </w:rPr>
              <w:t>38 128 912,40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4"/>
        <w:jc w:val="left"/>
      </w:pPr>
      <w:r>
        <w:t>6В) Подобряване на достъпа до информационни и комуникационни технологии (ИКТ), използването и качеството им в селските райони</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нетен брой на населението, което се възползва от подобрените услуги</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T24: процент от населението в селските райони, което се възползва от нови или подобрени услуги/инфраструктура (ИКТ) (област с поставен акцент 6В)</w:t>
            </w:r>
          </w:p>
        </w:tc>
        <w:tc>
          <w:tcPr>
            <w:tcW w:w="1000" w:type="pct"/>
            <w:shd w:val="clear" w:color="auto" w:fill="FFFFFF"/>
            <w:noWrap w:val="0"/>
            <w:tcMar>
              <w:top w:w="60" w:type="dxa"/>
            </w:tcMar>
            <w:vAlign w:val="center"/>
          </w:tcPr>
          <w:p>
            <w:pPr>
              <w:spacing w:before="20" w:after="20"/>
              <w:jc w:val="right"/>
              <w:rPr>
                <w:b/>
                <w:sz w:val="16"/>
              </w:rPr>
            </w:pPr>
            <w:r>
              <w:rPr>
                <w:b/>
                <w:sz w:val="16"/>
              </w:rPr>
              <w:t>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селски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37,30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междинни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44,80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7 284 552,00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специфично определение за селските райони, използвано за целевите стойности T21; T22 и T24 (ако е уместно)</w:t>
            </w:r>
          </w:p>
        </w:tc>
        <w:tc>
          <w:tcPr>
            <w:tcW w:w="1000" w:type="pct"/>
            <w:shd w:val="clear" w:color="auto" w:fill="FFFFFF"/>
            <w:noWrap w:val="0"/>
            <w:tcMar>
              <w:top w:w="60" w:type="dxa"/>
            </w:tcMar>
            <w:vAlign w:val="center"/>
          </w:tcPr>
          <w:p>
            <w:pPr>
              <w:spacing w:before="20" w:after="20"/>
              <w:jc w:val="right"/>
              <w:rPr>
                <w:b w:val="0"/>
                <w:sz w:val="16"/>
              </w:rPr>
            </w:pPr>
            <w:r>
              <w:rPr>
                <w:b w:val="0"/>
                <w:sz w:val="16"/>
              </w:rPr>
              <w:t>0</w:t>
            </w:r>
          </w:p>
        </w:tc>
      </w:tr>
    </w:tbl>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широколентова инфраструктура и достъп до нея, в т.ч. електронно правителство (7.3)</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жители, които се ползват от нова или подобрена ИТ инфраструктура (напр. широколентов интернет)</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bl>
    <w:p>
      <w:pPr>
        <w:sectPr>
          <w:pgMar w:top="900" w:right="900" w:bottom="900" w:left="900" w:header="720" w:footer="720"/>
          <w:cols w:space="720"/>
        </w:sectPr>
      </w:pPr>
    </w:p>
    <w:p>
      <w:pPr>
        <w:sectPr>
          <w:type w:val="nextPage"/>
          <w:pgMar w:top="900" w:right="900" w:bottom="900" w:left="900" w:header="720" w:footer="720"/>
          <w:cols w:space="720"/>
        </w:sectPr>
      </w:pPr>
    </w:p>
    <w:p>
      <w:pPr>
        <w:pStyle w:val="Heading2"/>
      </w:pPr>
      <w:bookmarkStart w:id="174" w:name="_Toc256000174"/>
      <w:r>
        <w:t>Преглед на планираното изпълнение и на планираните разходи по мерки и по области с поставен акцент (генериран автоматично)</w:t>
      </w:r>
      <w:bookmarkEnd w:id="17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5"/>
        <w:gridCol w:w="835"/>
        <w:gridCol w:w="835"/>
        <w:gridCol w:w="835"/>
        <w:gridCol w:w="835"/>
        <w:gridCol w:w="2"/>
        <w:gridCol w:w="833"/>
        <w:gridCol w:w="835"/>
        <w:gridCol w:w="3"/>
        <w:gridCol w:w="832"/>
        <w:gridCol w:w="835"/>
        <w:gridCol w:w="835"/>
        <w:gridCol w:w="2"/>
        <w:gridCol w:w="3"/>
        <w:gridCol w:w="830"/>
        <w:gridCol w:w="2"/>
        <w:gridCol w:w="833"/>
        <w:gridCol w:w="2"/>
        <w:gridCol w:w="833"/>
        <w:gridCol w:w="2"/>
        <w:gridCol w:w="833"/>
        <w:gridCol w:w="2"/>
        <w:gridCol w:w="833"/>
        <w:gridCol w:w="2"/>
        <w:gridCol w:w="6"/>
        <w:gridCol w:w="827"/>
        <w:gridCol w:w="2"/>
        <w:gridCol w:w="833"/>
        <w:gridCol w:w="2"/>
        <w:gridCol w:w="833"/>
        <w:gridCol w:w="2"/>
        <w:gridCol w:w="8"/>
        <w:gridCol w:w="83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vMerge w:val="restart"/>
            <w:shd w:val="clear" w:color="auto" w:fill="C0C0C0"/>
            <w:noWrap w:val="0"/>
            <w:tcMar>
              <w:top w:w="20" w:type="dxa"/>
              <w:left w:w="20" w:type="dxa"/>
              <w:bottom w:w="20" w:type="dxa"/>
            </w:tcMar>
            <w:vAlign w:val="center"/>
          </w:tcPr>
          <w:p>
            <w:pPr>
              <w:jc w:val="center"/>
              <w:rPr>
                <w:b w:val="0"/>
                <w:sz w:val="16"/>
              </w:rPr>
            </w:pPr>
            <w:r>
              <w:rPr>
                <w:b w:val="0"/>
                <w:sz w:val="16"/>
              </w:rPr>
              <w:t>Мерки</w:t>
            </w:r>
          </w:p>
        </w:tc>
        <w:tc>
          <w:tcPr>
            <w:tcW w:w="750" w:type="pct"/>
            <w:vMerge w:val="restart"/>
            <w:shd w:val="clear" w:color="auto" w:fill="C0C0C0"/>
            <w:noWrap w:val="0"/>
            <w:tcMar>
              <w:top w:w="20" w:type="dxa"/>
              <w:left w:w="20" w:type="dxa"/>
              <w:bottom w:w="20" w:type="dxa"/>
            </w:tcMar>
            <w:vAlign w:val="center"/>
          </w:tcPr>
          <w:p>
            <w:pPr>
              <w:jc w:val="center"/>
              <w:rPr>
                <w:b w:val="0"/>
                <w:sz w:val="16"/>
              </w:rPr>
            </w:pPr>
            <w:r>
              <w:rPr>
                <w:b w:val="0"/>
                <w:sz w:val="16"/>
              </w:rPr>
              <w:t>Показатели</w:t>
            </w:r>
          </w:p>
        </w:tc>
        <w:tc>
          <w:tcPr>
            <w:tcW w:w="750" w:type="pct"/>
            <w:gridSpan w:val="4"/>
            <w:shd w:val="clear" w:color="auto" w:fill="C0C0C0"/>
            <w:noWrap w:val="0"/>
            <w:tcMar>
              <w:top w:w="20" w:type="dxa"/>
              <w:left w:w="20" w:type="dxa"/>
              <w:bottom w:w="20" w:type="dxa"/>
            </w:tcMar>
            <w:vAlign w:val="center"/>
          </w:tcPr>
          <w:p>
            <w:pPr>
              <w:jc w:val="center"/>
              <w:rPr>
                <w:b w:val="0"/>
                <w:sz w:val="16"/>
              </w:rPr>
            </w:pPr>
            <w:r>
              <w:rPr>
                <w:b w:val="0"/>
                <w:sz w:val="16"/>
              </w:rPr>
              <w:t>P2</w:t>
            </w:r>
          </w:p>
        </w:tc>
        <w:tc>
          <w:tcPr>
            <w:tcW w:w="750" w:type="pct"/>
            <w:gridSpan w:val="3"/>
            <w:shd w:val="clear" w:color="auto" w:fill="C0C0C0"/>
            <w:noWrap w:val="0"/>
            <w:tcMar>
              <w:top w:w="20" w:type="dxa"/>
              <w:left w:w="20" w:type="dxa"/>
              <w:bottom w:w="20" w:type="dxa"/>
            </w:tcMar>
            <w:vAlign w:val="center"/>
          </w:tcPr>
          <w:p>
            <w:pPr>
              <w:jc w:val="center"/>
              <w:rPr>
                <w:b w:val="0"/>
                <w:sz w:val="16"/>
              </w:rPr>
            </w:pPr>
            <w:r>
              <w:rPr>
                <w:b w:val="0"/>
                <w:sz w:val="16"/>
              </w:rPr>
              <w:t>P3</w:t>
            </w:r>
          </w:p>
        </w:tc>
        <w:tc>
          <w:tcPr>
            <w:tcW w:w="750" w:type="pct"/>
            <w:gridSpan w:val="5"/>
            <w:shd w:val="clear" w:color="auto" w:fill="C0C0C0"/>
            <w:noWrap w:val="0"/>
            <w:tcMar>
              <w:top w:w="20" w:type="dxa"/>
              <w:left w:w="20" w:type="dxa"/>
              <w:bottom w:w="20" w:type="dxa"/>
            </w:tcMar>
            <w:vAlign w:val="center"/>
          </w:tcPr>
          <w:p>
            <w:pPr>
              <w:jc w:val="center"/>
              <w:rPr>
                <w:b w:val="0"/>
                <w:sz w:val="16"/>
              </w:rPr>
            </w:pPr>
            <w:r>
              <w:rPr>
                <w:b w:val="0"/>
                <w:sz w:val="16"/>
              </w:rPr>
              <w:t>P4</w:t>
            </w:r>
          </w:p>
        </w:tc>
        <w:tc>
          <w:tcPr>
            <w:tcW w:w="750" w:type="pct"/>
            <w:gridSpan w:val="11"/>
            <w:shd w:val="clear" w:color="auto" w:fill="C0C0C0"/>
            <w:noWrap w:val="0"/>
            <w:tcMar>
              <w:top w:w="20" w:type="dxa"/>
              <w:left w:w="20" w:type="dxa"/>
              <w:bottom w:w="20" w:type="dxa"/>
            </w:tcMar>
            <w:vAlign w:val="center"/>
          </w:tcPr>
          <w:p>
            <w:pPr>
              <w:jc w:val="center"/>
              <w:rPr>
                <w:b w:val="0"/>
                <w:sz w:val="16"/>
              </w:rPr>
            </w:pPr>
            <w:r>
              <w:rPr>
                <w:b w:val="0"/>
                <w:sz w:val="16"/>
              </w:rPr>
              <w:t>P5</w:t>
            </w:r>
          </w:p>
        </w:tc>
        <w:tc>
          <w:tcPr>
            <w:tcW w:w="750" w:type="pct"/>
            <w:gridSpan w:val="7"/>
            <w:shd w:val="clear" w:color="auto" w:fill="C0C0C0"/>
            <w:noWrap w:val="0"/>
            <w:tcMar>
              <w:top w:w="20" w:type="dxa"/>
              <w:left w:w="20" w:type="dxa"/>
              <w:bottom w:w="20" w:type="dxa"/>
            </w:tcMar>
            <w:vAlign w:val="center"/>
          </w:tcPr>
          <w:p>
            <w:pPr>
              <w:jc w:val="center"/>
              <w:rPr>
                <w:b w:val="0"/>
                <w:sz w:val="16"/>
              </w:rPr>
            </w:pPr>
            <w:r>
              <w:rPr>
                <w:b w:val="0"/>
                <w:sz w:val="16"/>
              </w:rPr>
              <w:t>P6</w:t>
            </w:r>
          </w:p>
        </w:tc>
        <w:tc>
          <w:tcPr>
            <w:tcW w:w="750" w:type="pct"/>
            <w:shd w:val="clear" w:color="auto" w:fill="C0C0C0"/>
            <w:noWrap w:val="0"/>
            <w:tcMar>
              <w:top w:w="20" w:type="dxa"/>
              <w:left w:w="20" w:type="dxa"/>
              <w:bottom w:w="20" w:type="dxa"/>
            </w:tcMar>
            <w:vAlign w:val="center"/>
          </w:tcPr>
          <w:p>
            <w:pPr>
              <w:jc w:val="center"/>
              <w:rPr>
                <w:b w:val="0"/>
                <w:sz w:val="16"/>
              </w:rPr>
            </w:pPr>
            <w:r>
              <w:rPr>
                <w:b w:val="0"/>
                <w:sz w:val="16"/>
              </w:rPr>
              <w:t>Общо</w:t>
            </w:r>
          </w:p>
        </w:tc>
      </w:tr>
      <w:tr>
        <w:tblPrEx>
          <w:tblW w:w="5000" w:type="pct"/>
          <w:tblCellMar>
            <w:left w:w="108" w:type="dxa"/>
            <w:right w:w="108" w:type="dxa"/>
          </w:tblCellMar>
        </w:tblPrEx>
        <w:tc>
          <w:tcPr>
            <w:tcW w:w="750" w:type="pct"/>
            <w:vMerge/>
            <w:shd w:val="clear" w:color="auto" w:fill="C0C0C0"/>
            <w:noWrap w:val="0"/>
            <w:tcMar>
              <w:top w:w="20" w:type="dxa"/>
              <w:left w:w="20" w:type="dxa"/>
              <w:bottom w:w="20" w:type="dxa"/>
            </w:tcMar>
            <w:vAlign w:val="center"/>
          </w:tcPr>
          <w:p>
            <w:pPr>
              <w:jc w:val="center"/>
              <w:rPr>
                <w:b w:val="0"/>
                <w:sz w:val="16"/>
              </w:rPr>
            </w:pPr>
          </w:p>
        </w:tc>
        <w:tc>
          <w:tcPr>
            <w:tcW w:w="750" w:type="pct"/>
            <w:vMerge/>
            <w:shd w:val="clear" w:color="auto" w:fill="C0C0C0"/>
            <w:noWrap w:val="0"/>
            <w:tcMar>
              <w:top w:w="20" w:type="dxa"/>
              <w:left w:w="20" w:type="dxa"/>
              <w:bottom w:w="20" w:type="dxa"/>
            </w:tcMar>
            <w:vAlign w:val="center"/>
          </w:tcPr>
          <w:p>
            <w:pPr>
              <w:jc w:val="center"/>
              <w:rPr>
                <w:b w:val="0"/>
                <w:sz w:val="16"/>
              </w:rPr>
            </w:pPr>
          </w:p>
        </w:tc>
        <w:tc>
          <w:tcPr>
            <w:tcW w:w="750" w:type="pct"/>
            <w:shd w:val="clear" w:color="auto" w:fill="C0C0C0"/>
            <w:noWrap w:val="0"/>
            <w:tcMar>
              <w:top w:w="20" w:type="dxa"/>
              <w:left w:w="20" w:type="dxa"/>
              <w:bottom w:w="20" w:type="dxa"/>
            </w:tcMar>
            <w:vAlign w:val="center"/>
          </w:tcPr>
          <w:p>
            <w:pPr>
              <w:jc w:val="center"/>
              <w:rPr>
                <w:b w:val="0"/>
                <w:sz w:val="16"/>
              </w:rPr>
            </w:pPr>
            <w:r>
              <w:rPr>
                <w:b w:val="0"/>
                <w:sz w:val="16"/>
              </w:rPr>
              <w:t>2A</w:t>
            </w:r>
          </w:p>
        </w:tc>
        <w:tc>
          <w:tcPr>
            <w:tcW w:w="750" w:type="pct"/>
            <w:shd w:val="clear" w:color="auto" w:fill="C0C0C0"/>
            <w:noWrap w:val="0"/>
            <w:tcMar>
              <w:top w:w="20" w:type="dxa"/>
              <w:left w:w="20" w:type="dxa"/>
              <w:bottom w:w="20" w:type="dxa"/>
            </w:tcMar>
            <w:vAlign w:val="center"/>
          </w:tcPr>
          <w:p>
            <w:pPr>
              <w:jc w:val="center"/>
              <w:rPr>
                <w:b w:val="0"/>
                <w:sz w:val="16"/>
              </w:rPr>
            </w:pPr>
            <w:r>
              <w:rPr>
                <w:b w:val="0"/>
                <w:sz w:val="16"/>
              </w:rPr>
              <w:t>2B</w:t>
            </w:r>
          </w:p>
        </w:tc>
        <w:tc>
          <w:tcPr>
            <w:tcW w:w="750" w:type="pct"/>
            <w:shd w:val="clear" w:color="auto" w:fill="C0C0C0"/>
            <w:noWrap w:val="0"/>
            <w:tcMar>
              <w:top w:w="20" w:type="dxa"/>
              <w:left w:w="20" w:type="dxa"/>
              <w:bottom w:w="20" w:type="dxa"/>
            </w:tcMar>
            <w:vAlign w:val="center"/>
          </w:tcPr>
          <w:p>
            <w:pPr>
              <w:jc w:val="center"/>
              <w:rPr>
                <w:b w:val="0"/>
                <w:sz w:val="16"/>
              </w:rPr>
            </w:pPr>
            <w:r>
              <w:rPr>
                <w:b w:val="0"/>
                <w:sz w:val="16"/>
              </w:rPr>
              <w:t>2C+</w:t>
            </w:r>
          </w:p>
        </w:tc>
        <w:tc>
          <w:tcPr>
            <w:tcW w:w="750" w:type="pct"/>
            <w:gridSpan w:val="2"/>
            <w:shd w:val="clear" w:color="auto" w:fill="C0C0C0"/>
            <w:noWrap w:val="0"/>
            <w:tcMar>
              <w:top w:w="20" w:type="dxa"/>
              <w:left w:w="20" w:type="dxa"/>
              <w:bottom w:w="20" w:type="dxa"/>
            </w:tcMar>
            <w:vAlign w:val="center"/>
          </w:tcPr>
          <w:p>
            <w:pPr>
              <w:jc w:val="center"/>
              <w:rPr>
                <w:b w:val="0"/>
                <w:sz w:val="16"/>
              </w:rPr>
            </w:pPr>
            <w:r>
              <w:rPr>
                <w:b w:val="0"/>
                <w:sz w:val="16"/>
              </w:rPr>
              <w:t>3A</w:t>
            </w:r>
          </w:p>
        </w:tc>
        <w:tc>
          <w:tcPr>
            <w:tcW w:w="750" w:type="pct"/>
            <w:shd w:val="clear" w:color="auto" w:fill="C0C0C0"/>
            <w:noWrap w:val="0"/>
            <w:tcMar>
              <w:top w:w="20" w:type="dxa"/>
              <w:left w:w="20" w:type="dxa"/>
              <w:bottom w:w="20" w:type="dxa"/>
            </w:tcMar>
            <w:vAlign w:val="center"/>
          </w:tcPr>
          <w:p>
            <w:pPr>
              <w:jc w:val="center"/>
              <w:rPr>
                <w:b w:val="0"/>
                <w:sz w:val="16"/>
              </w:rPr>
            </w:pPr>
            <w:r>
              <w:rPr>
                <w:b w:val="0"/>
                <w:sz w:val="16"/>
              </w:rPr>
              <w:t>3B</w:t>
            </w:r>
          </w:p>
        </w:tc>
        <w:tc>
          <w:tcPr>
            <w:tcW w:w="750" w:type="pct"/>
            <w:gridSpan w:val="2"/>
            <w:shd w:val="clear" w:color="auto" w:fill="C0C0C0"/>
            <w:noWrap w:val="0"/>
            <w:tcMar>
              <w:top w:w="20" w:type="dxa"/>
              <w:left w:w="20" w:type="dxa"/>
              <w:bottom w:w="20" w:type="dxa"/>
            </w:tcMar>
            <w:vAlign w:val="center"/>
          </w:tcPr>
          <w:p>
            <w:pPr>
              <w:jc w:val="center"/>
              <w:rPr>
                <w:b w:val="0"/>
                <w:sz w:val="16"/>
              </w:rPr>
            </w:pPr>
            <w:r>
              <w:rPr>
                <w:b w:val="0"/>
                <w:sz w:val="16"/>
              </w:rPr>
              <w:t>4A</w:t>
            </w:r>
          </w:p>
        </w:tc>
        <w:tc>
          <w:tcPr>
            <w:tcW w:w="750" w:type="pct"/>
            <w:shd w:val="clear" w:color="auto" w:fill="C0C0C0"/>
            <w:noWrap w:val="0"/>
            <w:tcMar>
              <w:top w:w="20" w:type="dxa"/>
              <w:left w:w="20" w:type="dxa"/>
              <w:bottom w:w="20" w:type="dxa"/>
            </w:tcMar>
            <w:vAlign w:val="center"/>
          </w:tcPr>
          <w:p>
            <w:pPr>
              <w:jc w:val="center"/>
              <w:rPr>
                <w:b w:val="0"/>
                <w:sz w:val="16"/>
              </w:rPr>
            </w:pPr>
            <w:r>
              <w:rPr>
                <w:b w:val="0"/>
                <w:sz w:val="16"/>
              </w:rPr>
              <w:t>4B</w:t>
            </w:r>
          </w:p>
        </w:tc>
        <w:tc>
          <w:tcPr>
            <w:tcW w:w="750" w:type="pct"/>
            <w:shd w:val="clear" w:color="auto" w:fill="C0C0C0"/>
            <w:noWrap w:val="0"/>
            <w:tcMar>
              <w:top w:w="20" w:type="dxa"/>
              <w:left w:w="20" w:type="dxa"/>
              <w:bottom w:w="20" w:type="dxa"/>
            </w:tcMar>
            <w:vAlign w:val="center"/>
          </w:tcPr>
          <w:p>
            <w:pPr>
              <w:jc w:val="center"/>
              <w:rPr>
                <w:b w:val="0"/>
                <w:sz w:val="16"/>
              </w:rPr>
            </w:pPr>
            <w:r>
              <w:rPr>
                <w:b w:val="0"/>
                <w:sz w:val="16"/>
              </w:rPr>
              <w:t>4C</w:t>
            </w:r>
          </w:p>
        </w:tc>
        <w:tc>
          <w:tcPr>
            <w:tcW w:w="750" w:type="pct"/>
            <w:gridSpan w:val="3"/>
            <w:shd w:val="clear" w:color="auto" w:fill="C0C0C0"/>
            <w:noWrap w:val="0"/>
            <w:tcMar>
              <w:top w:w="20" w:type="dxa"/>
              <w:left w:w="20" w:type="dxa"/>
              <w:bottom w:w="20" w:type="dxa"/>
            </w:tcMar>
            <w:vAlign w:val="center"/>
          </w:tcPr>
          <w:p>
            <w:pPr>
              <w:jc w:val="center"/>
              <w:rPr>
                <w:b w:val="0"/>
                <w:sz w:val="16"/>
              </w:rPr>
            </w:pPr>
            <w:r>
              <w:rPr>
                <w:b w:val="0"/>
                <w:sz w:val="16"/>
              </w:rPr>
              <w:t>5A</w:t>
            </w:r>
          </w:p>
        </w:tc>
        <w:tc>
          <w:tcPr>
            <w:tcW w:w="750" w:type="pct"/>
            <w:gridSpan w:val="2"/>
            <w:shd w:val="clear" w:color="auto" w:fill="C0C0C0"/>
            <w:noWrap w:val="0"/>
            <w:tcMar>
              <w:top w:w="20" w:type="dxa"/>
              <w:left w:w="20" w:type="dxa"/>
              <w:bottom w:w="20" w:type="dxa"/>
            </w:tcMar>
            <w:vAlign w:val="center"/>
          </w:tcPr>
          <w:p>
            <w:pPr>
              <w:jc w:val="center"/>
              <w:rPr>
                <w:b w:val="0"/>
                <w:sz w:val="16"/>
              </w:rPr>
            </w:pPr>
            <w:r>
              <w:rPr>
                <w:b w:val="0"/>
                <w:sz w:val="16"/>
              </w:rPr>
              <w:t>5B</w:t>
            </w:r>
          </w:p>
        </w:tc>
        <w:tc>
          <w:tcPr>
            <w:tcW w:w="750" w:type="pct"/>
            <w:gridSpan w:val="2"/>
            <w:shd w:val="clear" w:color="auto" w:fill="C0C0C0"/>
            <w:noWrap w:val="0"/>
            <w:tcMar>
              <w:top w:w="20" w:type="dxa"/>
              <w:left w:w="20" w:type="dxa"/>
              <w:bottom w:w="20" w:type="dxa"/>
            </w:tcMar>
            <w:vAlign w:val="center"/>
          </w:tcPr>
          <w:p>
            <w:pPr>
              <w:jc w:val="center"/>
              <w:rPr>
                <w:b w:val="0"/>
                <w:sz w:val="16"/>
              </w:rPr>
            </w:pPr>
            <w:r>
              <w:rPr>
                <w:b w:val="0"/>
                <w:sz w:val="16"/>
              </w:rPr>
              <w:t>5C</w:t>
            </w:r>
          </w:p>
        </w:tc>
        <w:tc>
          <w:tcPr>
            <w:tcW w:w="750" w:type="pct"/>
            <w:gridSpan w:val="2"/>
            <w:shd w:val="clear" w:color="auto" w:fill="C0C0C0"/>
            <w:noWrap w:val="0"/>
            <w:tcMar>
              <w:top w:w="20" w:type="dxa"/>
              <w:left w:w="20" w:type="dxa"/>
              <w:bottom w:w="20" w:type="dxa"/>
            </w:tcMar>
            <w:vAlign w:val="center"/>
          </w:tcPr>
          <w:p>
            <w:pPr>
              <w:jc w:val="center"/>
              <w:rPr>
                <w:b w:val="0"/>
                <w:sz w:val="16"/>
              </w:rPr>
            </w:pPr>
            <w:r>
              <w:rPr>
                <w:b w:val="0"/>
                <w:sz w:val="16"/>
              </w:rPr>
              <w:t>5D</w:t>
            </w:r>
          </w:p>
        </w:tc>
        <w:tc>
          <w:tcPr>
            <w:tcW w:w="750" w:type="pct"/>
            <w:gridSpan w:val="2"/>
            <w:shd w:val="clear" w:color="auto" w:fill="C0C0C0"/>
            <w:noWrap w:val="0"/>
            <w:tcMar>
              <w:top w:w="20" w:type="dxa"/>
              <w:left w:w="20" w:type="dxa"/>
              <w:bottom w:w="20" w:type="dxa"/>
            </w:tcMar>
            <w:vAlign w:val="center"/>
          </w:tcPr>
          <w:p>
            <w:pPr>
              <w:jc w:val="center"/>
              <w:rPr>
                <w:b w:val="0"/>
                <w:sz w:val="16"/>
              </w:rPr>
            </w:pPr>
            <w:r>
              <w:rPr>
                <w:b w:val="0"/>
                <w:sz w:val="16"/>
              </w:rPr>
              <w:t>5E</w:t>
            </w:r>
          </w:p>
        </w:tc>
        <w:tc>
          <w:tcPr>
            <w:tcW w:w="750" w:type="pct"/>
            <w:gridSpan w:val="3"/>
            <w:shd w:val="clear" w:color="auto" w:fill="C0C0C0"/>
            <w:noWrap w:val="0"/>
            <w:tcMar>
              <w:top w:w="20" w:type="dxa"/>
              <w:left w:w="20" w:type="dxa"/>
              <w:bottom w:w="20" w:type="dxa"/>
            </w:tcMar>
            <w:vAlign w:val="center"/>
          </w:tcPr>
          <w:p>
            <w:pPr>
              <w:jc w:val="center"/>
              <w:rPr>
                <w:b w:val="0"/>
                <w:sz w:val="16"/>
              </w:rPr>
            </w:pPr>
            <w:r>
              <w:rPr>
                <w:b w:val="0"/>
                <w:sz w:val="16"/>
              </w:rPr>
              <w:t>6A</w:t>
            </w:r>
          </w:p>
        </w:tc>
        <w:tc>
          <w:tcPr>
            <w:tcW w:w="750" w:type="pct"/>
            <w:gridSpan w:val="2"/>
            <w:shd w:val="clear" w:color="auto" w:fill="C0C0C0"/>
            <w:noWrap w:val="0"/>
            <w:tcMar>
              <w:top w:w="20" w:type="dxa"/>
              <w:left w:w="20" w:type="dxa"/>
              <w:bottom w:w="20" w:type="dxa"/>
            </w:tcMar>
            <w:vAlign w:val="center"/>
          </w:tcPr>
          <w:p>
            <w:pPr>
              <w:jc w:val="center"/>
              <w:rPr>
                <w:b w:val="0"/>
                <w:sz w:val="16"/>
              </w:rPr>
            </w:pPr>
            <w:r>
              <w:rPr>
                <w:b w:val="0"/>
                <w:sz w:val="16"/>
              </w:rPr>
              <w:t>6B</w:t>
            </w:r>
          </w:p>
        </w:tc>
        <w:tc>
          <w:tcPr>
            <w:tcW w:w="750" w:type="pct"/>
            <w:gridSpan w:val="2"/>
            <w:shd w:val="clear" w:color="auto" w:fill="C0C0C0"/>
            <w:noWrap w:val="0"/>
            <w:tcMar>
              <w:top w:w="20" w:type="dxa"/>
              <w:left w:w="20" w:type="dxa"/>
              <w:bottom w:w="20" w:type="dxa"/>
            </w:tcMar>
            <w:vAlign w:val="center"/>
          </w:tcPr>
          <w:p>
            <w:pPr>
              <w:jc w:val="center"/>
              <w:rPr>
                <w:b w:val="0"/>
                <w:sz w:val="16"/>
              </w:rPr>
            </w:pPr>
            <w:r>
              <w:rPr>
                <w:b w:val="0"/>
                <w:sz w:val="16"/>
              </w:rPr>
              <w:t>6C</w:t>
            </w:r>
          </w:p>
        </w:tc>
        <w:tc>
          <w:tcPr>
            <w:tcW w:w="750" w:type="pct"/>
            <w:gridSpan w:val="3"/>
            <w:shd w:val="clear" w:color="auto" w:fill="C0C0C0"/>
            <w:noWrap w:val="0"/>
            <w:tcMar>
              <w:top w:w="20" w:type="dxa"/>
              <w:left w:w="20" w:type="dxa"/>
              <w:bottom w:w="20" w:type="dxa"/>
            </w:tcMar>
            <w:vAlign w:val="center"/>
          </w:tcPr>
          <w:p>
            <w:pPr>
              <w:jc w:val="center"/>
              <w:rPr>
                <w:b w:val="0"/>
                <w:sz w:val="16"/>
              </w:rPr>
            </w:pP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M01</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Обучение/придобиване на умения (1.1) — брой на участниците в обученията</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600</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400</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160</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1,250</w:t>
            </w: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430</w:t>
            </w: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860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80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130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210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250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4,370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874,527.1</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532,809.1</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65,533.3</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1,013,355.3</w:t>
            </w: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235,043</w:t>
            </w: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570,770.7</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33,042.7</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33,042.7</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73,721.7</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200,234.1</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3,632,079.7</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(обучения, обмен между стопанствата, демонстрации) (от 1.1 до 1.3)</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1,949,788.6</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532,809.1</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65,533.3</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1,013,355.3</w:t>
            </w: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944,920</w:t>
            </w: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739,390.7</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247,974.6</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33,042.7</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267,811.1</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505,374.9</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6,300,000.3</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M02</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Брой консултирани бенефициери (2.1)</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7,130</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720</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2,200</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230</w:t>
            </w: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3,420</w:t>
            </w: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960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1,060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530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2,520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2,520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21,290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(2.1 — 2.3)</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6,809,982.1</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1,874,999.8</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825,208.5</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825,208.5</w:t>
            </w: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3,963,165</w:t>
            </w: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514,890.5</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1,503,788</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1,503,788.8</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1,503,788.8</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1,503,788.8</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20,828,608.8</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M04</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инвестиции в евро (публични + частни)</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635,283,233</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138,314,516.6</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760,636,107</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79,135,342</w:t>
            </w: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153,989,245.2</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308,326,369.7</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121,077,004.4</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1,288,877.5</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2,198,050,695.4</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408,199,492.8</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82,861,651.1</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380,483,392.6</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45,456,017</w:t>
            </w: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119,875,735.8</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171,891,334.4</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61,539,435.1</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773,326.7</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1,271,080,385.5</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M05</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 xml:space="preserve">Брой бенефициери, получаващи подкрепа за превантивни мерки (5.1) — земеделски стопанства </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60</w:t>
            </w: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Брой бенефициери, плучаващи подкрепа за превантивни мерки (5.1) — публичноправни субекти</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1</w:t>
            </w: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(5.1 — 5.2)</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15,589,335</w:t>
            </w: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15,589,335</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M06</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инвестиции в евро (публични + частни)</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79,506,176.5</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84,085,243.2</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70,242,861.6</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233,834,281.3</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79,506,176.5</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84,085,243.2</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33,990,111.6</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197,581,531.3</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M07</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42,729,898.7</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777,859,267.7</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820,589,166.4</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M08</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(8.1)</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777,778.7</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777,778.7</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(8.2)</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(8.3)</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16,791,949.4</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16,791,949.4</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(8.4)</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2,397,058.8</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2,397,058.8</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(8.5)</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(8.6)</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17,264,706</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17,264,706</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M09</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6,538,724.2</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6,538,724.2</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M10</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по ангажименти за агроекология и климат (10.1)</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113,000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113,000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(напр. зелена покривка, междинни култури, намалено наторяване, екстензификация...)</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7,000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7,000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 xml:space="preserve">Общо публични разходи (в евро) </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235,832,284</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35,042,332.6</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270,874,616.6</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M11</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 преминаване към биологично земеделие (11.1)</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23,000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23,000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 поддържане на биологично земеделие (11.2)</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29,000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29,000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209,510,105</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209,510,105</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M12</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 земеделска земя по „Натура 2000“ (12.1)</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385,000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385,000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198,409,370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198,409,370</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M13</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 планински райони (13.1)</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310,000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310,000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 други райони със значителни природни ограничения (13.2)</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220,000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220,000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 райони със специфични ограничения (13.3)</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10,000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10,000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383,825,341</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383,825,341</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M14</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 xml:space="preserve">Брой бенефициери </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600</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22,709,183.5</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22,709,183.5</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M16</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Брой земеделски стопанства, участващи в сътрудничество/дейности на местно равнище за популяризиране между участниците във веригата на доставки (16.4)</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15</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15</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(16.1 — 16.9)</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2,361,837.8</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1,198,905.6</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2,062,252</w:t>
            </w: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639,545.6</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365,202.2</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562,804.4</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773,258.9</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49,526.7</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8,013,333.2</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M19</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Брой на избраните местни групи за действие</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Брой жители, обхванати от местните групи за действие</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1,370,000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1,370,000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подготвителна помощ (19.1)</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5,470,116.4</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5,470,116.4</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подкрепа за изпълнение на операциите по водена от общностите стратегия за местно развитие (19.2)</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117,639,892.8</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117,639,892.8</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подготовка и изпълнение на дейности за сътрудничество на местната група за действие (19.3)</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5,193,207.8</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5,193,207.8</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подкрепа за текущи разходи и разходи за стимулиране на интерес (19.4)</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38,128,912.4</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38,128,912.4</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M21</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 xml:space="preserve">Общо публични разходи (в евро) </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38,237,487.4</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3,880,357.5</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42,117,844.9</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Брой стопанства, получаващи подкрепа</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29,000</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29,000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Брой МСП, получаващи подкрепа</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190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190</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M22</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29,859,419</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1,999,375</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31,858,794</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Брой стопанства, получаващи подкрепа</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31,000</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31,000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Брой МСП, получаващи подкрепа</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120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120</w:t>
            </w:r>
          </w:p>
        </w:tc>
      </w:tr>
    </w:tbl>
    <w:p>
      <w:pPr>
        <w:sectPr>
          <w:pgSz w:w="15840" w:h="12240" w:orient="landscape"/>
          <w:pgMar w:top="900" w:right="46" w:bottom="900" w:left="46" w:header="720" w:footer="720"/>
          <w:cols w:space="720"/>
        </w:sectPr>
      </w:pPr>
    </w:p>
    <w:p>
      <w:pPr>
        <w:pStyle w:val="Heading2"/>
      </w:pPr>
      <w:bookmarkStart w:id="175" w:name="_Toc256000175"/>
      <w:r>
        <w:t>Вторични въздействия: установяване на потенциалния принос на мерките/подмерките за развитие на селските райони по дадена област с поставен акцент към други области с поставен акцент / цели</w:t>
      </w:r>
      <w:bookmarkEnd w:id="17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756"/>
        <w:gridCol w:w="756"/>
        <w:gridCol w:w="756"/>
        <w:gridCol w:w="756"/>
        <w:gridCol w:w="756"/>
        <w:gridCol w:w="756"/>
        <w:gridCol w:w="756"/>
        <w:gridCol w:w="756"/>
        <w:gridCol w:w="756"/>
        <w:gridCol w:w="756"/>
        <w:gridCol w:w="756"/>
        <w:gridCol w:w="756"/>
        <w:gridCol w:w="756"/>
        <w:gridCol w:w="756"/>
        <w:gridCol w:w="756"/>
        <w:gridCol w:w="756"/>
        <w:gridCol w:w="756"/>
        <w:gridCol w:w="756"/>
        <w:gridCol w:w="756"/>
        <w:gridCol w:w="756"/>
        <w:gridCol w:w="75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0" w:type="auto"/>
            <w:vMerge w:val="restart"/>
            <w:shd w:val="clear" w:color="auto" w:fill="808080"/>
            <w:noWrap w:val="0"/>
            <w:tcMar>
              <w:top w:w="20" w:type="dxa"/>
              <w:left w:w="20" w:type="dxa"/>
              <w:bottom w:w="20" w:type="dxa"/>
            </w:tcMar>
            <w:vAlign w:val="center"/>
          </w:tcPr>
          <w:p>
            <w:pPr>
              <w:jc w:val="center"/>
              <w:rPr>
                <w:b/>
                <w:sz w:val="20"/>
              </w:rPr>
            </w:pPr>
            <w:r>
              <w:rPr>
                <w:b w:val="0"/>
                <w:sz w:val="16"/>
              </w:rPr>
              <w:t>Област с поставен акцент от плана на показателите</w:t>
            </w:r>
          </w:p>
        </w:tc>
        <w:tc>
          <w:tcPr>
            <w:tcW w:w="0" w:type="auto"/>
            <w:vMerge w:val="restart"/>
            <w:shd w:val="clear" w:color="auto" w:fill="808080"/>
            <w:noWrap w:val="0"/>
            <w:tcMar>
              <w:top w:w="20" w:type="dxa"/>
              <w:left w:w="20" w:type="dxa"/>
              <w:bottom w:w="20" w:type="dxa"/>
            </w:tcMar>
            <w:vAlign w:val="center"/>
          </w:tcPr>
          <w:p>
            <w:pPr>
              <w:jc w:val="center"/>
              <w:rPr>
                <w:b/>
                <w:sz w:val="20"/>
              </w:rPr>
            </w:pPr>
            <w:r>
              <w:rPr>
                <w:b/>
                <w:sz w:val="20"/>
              </w:rPr>
              <w:t>Мярка</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P1</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P2</w:t>
            </w:r>
          </w:p>
        </w:tc>
        <w:tc>
          <w:tcPr>
            <w:tcW w:w="0" w:type="auto"/>
            <w:gridSpan w:val="2"/>
            <w:shd w:val="clear" w:color="auto" w:fill="808080"/>
            <w:noWrap w:val="0"/>
            <w:tcMar>
              <w:top w:w="20" w:type="dxa"/>
              <w:left w:w="20" w:type="dxa"/>
              <w:bottom w:w="20" w:type="dxa"/>
            </w:tcMar>
            <w:vAlign w:val="center"/>
          </w:tcPr>
          <w:p>
            <w:pPr>
              <w:jc w:val="center"/>
              <w:rPr>
                <w:b/>
                <w:sz w:val="20"/>
              </w:rPr>
            </w:pPr>
            <w:r>
              <w:rPr>
                <w:b/>
                <w:sz w:val="20"/>
              </w:rPr>
              <w:t>P3</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P4</w:t>
            </w:r>
          </w:p>
        </w:tc>
        <w:tc>
          <w:tcPr>
            <w:tcW w:w="0" w:type="auto"/>
            <w:gridSpan w:val="5"/>
            <w:shd w:val="clear" w:color="auto" w:fill="808080"/>
            <w:noWrap w:val="0"/>
            <w:tcMar>
              <w:top w:w="20" w:type="dxa"/>
              <w:left w:w="20" w:type="dxa"/>
              <w:bottom w:w="20" w:type="dxa"/>
            </w:tcMar>
            <w:vAlign w:val="center"/>
          </w:tcPr>
          <w:p>
            <w:pPr>
              <w:jc w:val="center"/>
              <w:rPr>
                <w:b/>
                <w:sz w:val="20"/>
              </w:rPr>
            </w:pPr>
            <w:r>
              <w:rPr>
                <w:b/>
                <w:sz w:val="20"/>
              </w:rPr>
              <w:t>P5</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P6</w:t>
            </w:r>
          </w:p>
        </w:tc>
      </w:tr>
      <w:tr>
        <w:tblPrEx>
          <w:tblW w:w="5000" w:type="pct"/>
          <w:tblCellMar>
            <w:left w:w="108" w:type="dxa"/>
            <w:right w:w="108" w:type="dxa"/>
          </w:tblCellMar>
        </w:tblPrEx>
        <w:tc>
          <w:tcPr>
            <w:tcW w:w="0" w:type="auto"/>
            <w:vMerge/>
            <w:shd w:val="clear" w:color="auto" w:fill="808080"/>
            <w:noWrap w:val="0"/>
            <w:tcMar>
              <w:top w:w="20" w:type="dxa"/>
              <w:left w:w="20" w:type="dxa"/>
              <w:bottom w:w="20" w:type="dxa"/>
            </w:tcMar>
            <w:vAlign w:val="center"/>
          </w:tcPr>
          <w:p>
            <w:pPr>
              <w:jc w:val="center"/>
              <w:rPr>
                <w:b/>
                <w:sz w:val="20"/>
              </w:rPr>
            </w:pPr>
          </w:p>
        </w:tc>
        <w:tc>
          <w:tcPr>
            <w:tcW w:w="0" w:type="auto"/>
            <w:vMerge/>
            <w:shd w:val="clear" w:color="auto" w:fill="808080"/>
            <w:noWrap w:val="0"/>
            <w:tcMar>
              <w:top w:w="20" w:type="dxa"/>
              <w:left w:w="20" w:type="dxa"/>
              <w:bottom w:w="20" w:type="dxa"/>
            </w:tcMar>
            <w:vAlign w:val="center"/>
          </w:tcPr>
          <w:p>
            <w:pPr>
              <w:jc w:val="center"/>
              <w:rPr>
                <w:b/>
                <w:sz w:val="20"/>
              </w:rPr>
            </w:pP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1A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1B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1C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2A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2B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2C+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3A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3B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4A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4B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4C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5D</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5E</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6A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6B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6C</w:t>
            </w: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2A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M22 — Извънредно временно подпомагане за земеделските стопани и МСП, които са особено засегнати от последиците от руското нашествие в Украйна (член 39в)</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2B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2C+</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М08 — Инвестиции в развитие на горските райони и подобряване на жизнеспособността на горите (членове 21 — 26)</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3A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M09 — Създаване на групи и организации на производителите (член 27)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M14 — Хуманно отношение към животните (член 33)</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3B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5C</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М07 — Основни услуги и обновяване на селата в селските райони (член 20)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5D</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M10 — Агроекология и климат (член 28)</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5E</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М08 — Инвестиции в развитие на горските райони и подобряване на жизнеспособността на горите (членове 21 — 26)</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6A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M22 — Извънредно временно подпомагане за земеделските стопани и МСП, които са особено засегнати от последиците от руското нашествие в Украйна (член 39в)</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6B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М07 — Основни услуги и обновяване на селата в селските райони (член 20)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M19 — Подкрепа за местно развитие по LEADER (ВОМР — водено от общностите местно развитие) (член 35 от Регламент (ЕС) № 1303/2013)</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6C</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М07 — Основни услуги и обновяване на селата в селските райони (член 20)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P4 (FOREST)</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М08 — Инвестиции в развитие на горските райони и подобряване на жизнеспособността на горите (членове 21 — 26)</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M12 — Плащания по „Натура 2000“ и Рамковата директива за водите (член 30)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P4 (AGRI)</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M10 — Агроекология и климат (член 28)</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М11 — Биологично земеделие (член 29)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M12 — Плащания по „Натура 2000“ и Рамковата директива за водите (член 30)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М13 — Плащания за райони, изправени пред природни или други специфични ограничения (член 31)</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bl>
    <w:p>
      <w:pPr>
        <w:sectPr>
          <w:pgSz w:w="15840" w:h="12240" w:orient="landscape"/>
          <w:pgMar w:top="900" w:right="46" w:bottom="900" w:left="46" w:header="720" w:footer="720"/>
          <w:cols w:space="720"/>
        </w:sectPr>
      </w:pPr>
    </w:p>
    <w:p>
      <w:pPr>
        <w:pStyle w:val="Heading2"/>
      </w:pPr>
      <w:r>
        <w:t xml:space="preserve"> </w:t>
      </w:r>
      <w:bookmarkStart w:id="176" w:name="_Toc256000176"/>
      <w:r>
        <w:t>Помощна таблица, с която да се покаже по какъв начин са програмирани мярката/схемите за околната среда, така че да се постигнат една (или повече) от целите в областта на околната среда/климата</w:t>
      </w:r>
      <w:bookmarkEnd w:id="176"/>
    </w:p>
    <w:p>
      <w:pPr>
        <w:pStyle w:val="Heading3"/>
        <w:jc w:val="left"/>
        <w:rPr>
          <w:b w:val="0"/>
        </w:rPr>
      </w:pPr>
      <w:r>
        <w:rPr>
          <w:b w:val="0"/>
        </w:rPr>
        <w:t xml:space="preserve"> </w:t>
      </w:r>
      <w:bookmarkStart w:id="177" w:name="_Toc256000177"/>
      <w:r>
        <w:rPr>
          <w:b w:val="0"/>
        </w:rPr>
        <w:t>Земеделска земя</w:t>
      </w:r>
      <w:bookmarkEnd w:id="177"/>
    </w:p>
    <w:p>
      <w:pPr>
        <w:pStyle w:val="Heading4"/>
        <w:jc w:val="left"/>
        <w:rPr>
          <w:b w:val="0"/>
        </w:rPr>
      </w:pPr>
      <w:r>
        <w:rPr>
          <w:b w:val="0"/>
        </w:rPr>
        <w:t>M10 — Агроекология и климат (член 28)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584"/>
        <w:gridCol w:w="1584"/>
        <w:gridCol w:w="1584"/>
        <w:gridCol w:w="1584"/>
        <w:gridCol w:w="1584"/>
        <w:gridCol w:w="1584"/>
        <w:gridCol w:w="1584"/>
        <w:gridCol w:w="1584"/>
        <w:gridCol w:w="15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Вид операция или група на вида операция</w:t>
            </w:r>
          </w:p>
        </w:tc>
        <w:tc>
          <w:tcPr>
            <w:tcW w:w="1000" w:type="pct"/>
            <w:shd w:val="clear" w:color="auto" w:fill="C0C0C0"/>
            <w:noWrap w:val="0"/>
            <w:tcMar>
              <w:top w:w="60" w:type="dxa"/>
            </w:tcMar>
            <w:vAlign w:val="top"/>
          </w:tcPr>
          <w:p>
            <w:pPr>
              <w:jc w:val="center"/>
              <w:rPr>
                <w:b/>
                <w:sz w:val="20"/>
              </w:rPr>
            </w:pPr>
            <w:r>
              <w:rPr>
                <w:b/>
                <w:sz w:val="20"/>
              </w:rPr>
              <w:t>Типология на ангажиментите за агроекология и климат</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10.1.5Опазване на застрашени от изчезване местни породи, важни за селското стопанство</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37 867 213,30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10.1.1.Възстановяване и поддържане на затревени площи с висока природна стойност (ВПС)</w:t>
            </w:r>
          </w:p>
        </w:tc>
        <w:tc>
          <w:tcPr>
            <w:tcW w:w="1000" w:type="pct"/>
            <w:shd w:val="clear" w:color="auto" w:fill="FFFFFF"/>
            <w:noWrap w:val="0"/>
            <w:tcMar>
              <w:top w:w="60" w:type="dxa"/>
            </w:tcMar>
            <w:vAlign w:val="top"/>
          </w:tcPr>
          <w:p>
            <w:pPr>
              <w:jc w:val="left"/>
              <w:rPr>
                <w:b w:val="0"/>
                <w:sz w:val="16"/>
              </w:rPr>
            </w:pPr>
            <w:r>
              <w:rPr>
                <w:b w:val="0"/>
                <w:sz w:val="16"/>
              </w:rPr>
              <w:t>Поддържане на земеделие с висока природна стойност, обработваема земя и ливади (напр. техники за коситба, оставяне на стърнища в обработваемите земи през зимата), въвеждане на екстензивна паша, превръщане на обработваема земя в пасища.</w:t>
            </w:r>
          </w:p>
        </w:tc>
        <w:tc>
          <w:tcPr>
            <w:tcW w:w="750" w:type="pct"/>
            <w:shd w:val="clear" w:color="auto" w:fill="FFFFFF"/>
            <w:noWrap w:val="0"/>
            <w:tcMar>
              <w:top w:w="60" w:type="dxa"/>
            </w:tcMar>
            <w:vAlign w:val="top"/>
          </w:tcPr>
          <w:p>
            <w:pPr>
              <w:jc w:val="right"/>
              <w:rPr>
                <w:b w:val="0"/>
                <w:sz w:val="16"/>
              </w:rPr>
            </w:pPr>
            <w:r>
              <w:rPr>
                <w:b w:val="0"/>
                <w:sz w:val="16"/>
              </w:rPr>
              <w:t>59 783 427,70</w:t>
            </w:r>
          </w:p>
        </w:tc>
        <w:tc>
          <w:tcPr>
            <w:tcW w:w="750" w:type="pct"/>
            <w:shd w:val="clear" w:color="auto" w:fill="FFFFFF"/>
            <w:noWrap w:val="0"/>
            <w:tcMar>
              <w:top w:w="60" w:type="dxa"/>
            </w:tcMar>
            <w:vAlign w:val="top"/>
          </w:tcPr>
          <w:p>
            <w:pPr>
              <w:jc w:val="right"/>
              <w:rPr>
                <w:b w:val="0"/>
                <w:sz w:val="16"/>
              </w:rPr>
            </w:pPr>
            <w:r>
              <w:rPr>
                <w:b w:val="0"/>
                <w:sz w:val="16"/>
              </w:rPr>
              <w:t>47 000,00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10.1.2. Поддържане на местообитанията на защитени видове в обработваеми земи с орнитологично значение</w:t>
            </w:r>
          </w:p>
        </w:tc>
        <w:tc>
          <w:tcPr>
            <w:tcW w:w="1000" w:type="pct"/>
            <w:shd w:val="clear" w:color="auto" w:fill="FFFFFF"/>
            <w:noWrap w:val="0"/>
            <w:tcMar>
              <w:top w:w="60" w:type="dxa"/>
            </w:tcMar>
            <w:vAlign w:val="top"/>
          </w:tcPr>
          <w:p>
            <w:pPr>
              <w:jc w:val="left"/>
              <w:rPr>
                <w:b w:val="0"/>
                <w:sz w:val="16"/>
              </w:rPr>
            </w:pPr>
            <w:r>
              <w:rPr>
                <w:b w:val="0"/>
                <w:sz w:val="16"/>
              </w:rPr>
              <w:t>Поддържане на земеделие с висока природна стойност, обработваема земя и ливади (напр. техники за коситба, оставяне на стърнища в обработваемите земи през зимата), въвеждане на екстензивна паша, превръщане на обработваема земя в пасища.</w:t>
            </w:r>
          </w:p>
        </w:tc>
        <w:tc>
          <w:tcPr>
            <w:tcW w:w="750" w:type="pct"/>
            <w:shd w:val="clear" w:color="auto" w:fill="FFFFFF"/>
            <w:noWrap w:val="0"/>
            <w:tcMar>
              <w:top w:w="60" w:type="dxa"/>
            </w:tcMar>
            <w:vAlign w:val="top"/>
          </w:tcPr>
          <w:p>
            <w:pPr>
              <w:jc w:val="right"/>
              <w:rPr>
                <w:b w:val="0"/>
                <w:sz w:val="16"/>
              </w:rPr>
            </w:pPr>
            <w:r>
              <w:rPr>
                <w:b w:val="0"/>
                <w:sz w:val="16"/>
              </w:rPr>
              <w:t>29 447 213,30</w:t>
            </w:r>
          </w:p>
        </w:tc>
        <w:tc>
          <w:tcPr>
            <w:tcW w:w="750" w:type="pct"/>
            <w:shd w:val="clear" w:color="auto" w:fill="FFFFFF"/>
            <w:noWrap w:val="0"/>
            <w:tcMar>
              <w:top w:w="60" w:type="dxa"/>
            </w:tcMar>
            <w:vAlign w:val="top"/>
          </w:tcPr>
          <w:p>
            <w:pPr>
              <w:jc w:val="right"/>
              <w:rPr>
                <w:b w:val="0"/>
                <w:sz w:val="16"/>
              </w:rPr>
            </w:pPr>
            <w:r>
              <w:rPr>
                <w:b w:val="0"/>
                <w:sz w:val="16"/>
              </w:rPr>
              <w:t>14 000,00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10.1.4. Традиционни практики за сезонна паша (пасторализъм)</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57 200 546,70</w:t>
            </w:r>
          </w:p>
        </w:tc>
        <w:tc>
          <w:tcPr>
            <w:tcW w:w="750" w:type="pct"/>
            <w:shd w:val="clear" w:color="auto" w:fill="FFFFFF"/>
            <w:noWrap w:val="0"/>
            <w:tcMar>
              <w:top w:w="60" w:type="dxa"/>
            </w:tcMar>
            <w:vAlign w:val="top"/>
          </w:tcPr>
          <w:p>
            <w:pPr>
              <w:jc w:val="right"/>
              <w:rPr>
                <w:b w:val="0"/>
                <w:sz w:val="16"/>
              </w:rPr>
            </w:pPr>
            <w:r>
              <w:rPr>
                <w:b w:val="0"/>
                <w:sz w:val="16"/>
              </w:rPr>
              <w:t>35 000,00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Направление10.1.5 Опазване на застрашени от изчезване местни сортове, важни за селското стопанство</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46 533 882,70</w:t>
            </w:r>
          </w:p>
        </w:tc>
        <w:tc>
          <w:tcPr>
            <w:tcW w:w="750" w:type="pct"/>
            <w:shd w:val="clear" w:color="auto" w:fill="FFFFFF"/>
            <w:noWrap w:val="0"/>
            <w:tcMar>
              <w:top w:w="60" w:type="dxa"/>
            </w:tcMar>
            <w:vAlign w:val="top"/>
          </w:tcPr>
          <w:p>
            <w:pPr>
              <w:jc w:val="right"/>
              <w:rPr>
                <w:b w:val="0"/>
                <w:sz w:val="16"/>
              </w:rPr>
            </w:pPr>
            <w:r>
              <w:rPr>
                <w:b w:val="0"/>
                <w:sz w:val="16"/>
              </w:rPr>
              <w:t>10 000,00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10.1.3. Контрол на почвената ерозия</w:t>
            </w:r>
          </w:p>
        </w:tc>
        <w:tc>
          <w:tcPr>
            <w:tcW w:w="1000" w:type="pct"/>
            <w:shd w:val="clear" w:color="auto" w:fill="FFFFFF"/>
            <w:noWrap w:val="0"/>
            <w:tcMar>
              <w:top w:w="60" w:type="dxa"/>
            </w:tcMar>
            <w:vAlign w:val="top"/>
          </w:tcPr>
          <w:p>
            <w:pPr>
              <w:jc w:val="left"/>
              <w:rPr>
                <w:b w:val="0"/>
                <w:sz w:val="16"/>
              </w:rPr>
            </w:pPr>
            <w:r>
              <w:rPr>
                <w:b w:val="0"/>
                <w:sz w:val="16"/>
              </w:rPr>
              <w:t>Почвена покривка, техники за оран, плитка оран, консервационно земеделие</w:t>
            </w:r>
          </w:p>
        </w:tc>
        <w:tc>
          <w:tcPr>
            <w:tcW w:w="750" w:type="pct"/>
            <w:shd w:val="clear" w:color="auto" w:fill="FFFFFF"/>
            <w:noWrap w:val="0"/>
            <w:tcMar>
              <w:top w:w="60" w:type="dxa"/>
            </w:tcMar>
            <w:vAlign w:val="top"/>
          </w:tcPr>
          <w:p>
            <w:pPr>
              <w:jc w:val="right"/>
              <w:rPr>
                <w:b w:val="0"/>
                <w:sz w:val="16"/>
              </w:rPr>
            </w:pPr>
            <w:r>
              <w:rPr>
                <w:b w:val="0"/>
                <w:sz w:val="16"/>
              </w:rPr>
              <w:t>35 042 332,60</w:t>
            </w:r>
          </w:p>
        </w:tc>
        <w:tc>
          <w:tcPr>
            <w:tcW w:w="750" w:type="pct"/>
            <w:shd w:val="clear" w:color="auto" w:fill="FFFFFF"/>
            <w:noWrap w:val="0"/>
            <w:tcMar>
              <w:top w:w="60" w:type="dxa"/>
            </w:tcMar>
            <w:vAlign w:val="top"/>
          </w:tcPr>
          <w:p>
            <w:pPr>
              <w:jc w:val="right"/>
              <w:rPr>
                <w:b w:val="0"/>
                <w:sz w:val="16"/>
              </w:rPr>
            </w:pPr>
            <w:r>
              <w:rPr>
                <w:b w:val="0"/>
                <w:sz w:val="16"/>
              </w:rPr>
              <w:t>7 000,00</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10.1.7 Подсигуряване разнообразна паша на пчелите и осигуряване на естествено опрашване</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5 000 000,00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bl>
    <w:p>
      <w:pPr>
        <w:pStyle w:val="Heading4"/>
        <w:jc w:val="left"/>
        <w:rPr>
          <w:b/>
        </w:rPr>
      </w:pPr>
      <w:r>
        <w:rPr>
          <w:b/>
        </w:rPr>
        <w:t>М11 — Биологично земеделие (член 29)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11.1 — плащания за преминаване към практики и методи за биологично земеделие</w:t>
            </w:r>
          </w:p>
        </w:tc>
        <w:tc>
          <w:tcPr>
            <w:tcW w:w="750" w:type="pct"/>
            <w:shd w:val="clear" w:color="auto" w:fill="FFFFFF"/>
            <w:noWrap w:val="0"/>
            <w:tcMar>
              <w:top w:w="60" w:type="dxa"/>
            </w:tcMar>
            <w:vAlign w:val="top"/>
          </w:tcPr>
          <w:p>
            <w:pPr>
              <w:jc w:val="right"/>
              <w:rPr>
                <w:b w:val="0"/>
                <w:sz w:val="16"/>
              </w:rPr>
            </w:pPr>
            <w:r>
              <w:rPr>
                <w:b w:val="0"/>
                <w:sz w:val="16"/>
              </w:rPr>
              <w:t>109 536 389,30</w:t>
            </w:r>
          </w:p>
        </w:tc>
        <w:tc>
          <w:tcPr>
            <w:tcW w:w="750" w:type="pct"/>
            <w:shd w:val="clear" w:color="auto" w:fill="FFFFFF"/>
            <w:noWrap w:val="0"/>
            <w:tcMar>
              <w:top w:w="60" w:type="dxa"/>
            </w:tcMar>
            <w:vAlign w:val="top"/>
          </w:tcPr>
          <w:p>
            <w:pPr>
              <w:jc w:val="right"/>
              <w:rPr>
                <w:b w:val="0"/>
                <w:sz w:val="16"/>
              </w:rPr>
            </w:pPr>
            <w:r>
              <w:rPr>
                <w:b w:val="0"/>
                <w:sz w:val="16"/>
              </w:rPr>
              <w:t>23 000,00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11.2 — плащания за поддържане на практики и методи за биологично земеделие</w:t>
            </w:r>
          </w:p>
        </w:tc>
        <w:tc>
          <w:tcPr>
            <w:tcW w:w="750" w:type="pct"/>
            <w:shd w:val="clear" w:color="auto" w:fill="FFFFFF"/>
            <w:noWrap w:val="0"/>
            <w:tcMar>
              <w:top w:w="60" w:type="dxa"/>
            </w:tcMar>
            <w:vAlign w:val="top"/>
          </w:tcPr>
          <w:p>
            <w:pPr>
              <w:jc w:val="right"/>
              <w:rPr>
                <w:b w:val="0"/>
                <w:sz w:val="16"/>
              </w:rPr>
            </w:pPr>
            <w:r>
              <w:rPr>
                <w:b w:val="0"/>
                <w:sz w:val="16"/>
              </w:rPr>
              <w:t>99 973 716,70</w:t>
            </w:r>
          </w:p>
        </w:tc>
        <w:tc>
          <w:tcPr>
            <w:tcW w:w="750" w:type="pct"/>
            <w:shd w:val="clear" w:color="auto" w:fill="FFFFFF"/>
            <w:noWrap w:val="0"/>
            <w:tcMar>
              <w:top w:w="60" w:type="dxa"/>
            </w:tcMar>
            <w:vAlign w:val="top"/>
          </w:tcPr>
          <w:p>
            <w:pPr>
              <w:jc w:val="right"/>
              <w:rPr>
                <w:b w:val="0"/>
                <w:sz w:val="16"/>
              </w:rPr>
            </w:pPr>
            <w:r>
              <w:rPr>
                <w:b w:val="0"/>
                <w:sz w:val="16"/>
              </w:rPr>
              <w:t>29 000,00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bl>
    <w:p>
      <w:pPr>
        <w:pStyle w:val="Heading4"/>
        <w:jc w:val="left"/>
        <w:rPr>
          <w:b/>
        </w:rPr>
      </w:pPr>
      <w:r>
        <w:rPr>
          <w:b/>
        </w:rPr>
        <w:t>M12 — Плащания по „Натура 2000“ и Рамковата директива за водите (член 30)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12.3 — компенсационни плащания за селскостопански райони, включени в плановете за управление на речните басейни</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right"/>
              <w:rPr>
                <w:b w:val="0"/>
                <w:sz w:val="16"/>
              </w:rPr>
            </w:pPr>
            <w:r>
              <w:rPr>
                <w:b w:val="0"/>
                <w:sz w:val="16"/>
              </w:rPr>
              <w:t>0,00</w:t>
            </w:r>
          </w:p>
        </w:tc>
        <w:tc>
          <w:tcPr>
            <w:tcW w:w="250" w:type="pct"/>
            <w:shd w:val="clear" w:color="auto" w:fill="C0C0C0"/>
            <w:noWrap w:val="0"/>
            <w:tcMar>
              <w:top w:w="60" w:type="dxa"/>
            </w:tcMar>
            <w:vAlign w:val="top"/>
          </w:tcPr>
          <w:p>
            <w:pPr>
              <w:jc w:val="left"/>
              <w:rPr>
                <w:b w:val="0"/>
                <w:sz w:val="16"/>
              </w:rPr>
            </w:pPr>
          </w:p>
        </w:tc>
        <w:tc>
          <w:tcPr>
            <w:tcW w:w="2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12.1 — компенсационни плащания по „Натура 2000“ за земеделски площи</w:t>
            </w:r>
          </w:p>
        </w:tc>
        <w:tc>
          <w:tcPr>
            <w:tcW w:w="750" w:type="pct"/>
            <w:shd w:val="clear" w:color="auto" w:fill="FFFFFF"/>
            <w:noWrap w:val="0"/>
            <w:tcMar>
              <w:top w:w="60" w:type="dxa"/>
            </w:tcMar>
            <w:vAlign w:val="top"/>
          </w:tcPr>
          <w:p>
            <w:pPr>
              <w:jc w:val="right"/>
              <w:rPr>
                <w:b w:val="0"/>
                <w:sz w:val="16"/>
              </w:rPr>
            </w:pPr>
            <w:r>
              <w:rPr>
                <w:b w:val="0"/>
                <w:sz w:val="16"/>
              </w:rPr>
              <w:t>198 409 369,90</w:t>
            </w:r>
          </w:p>
        </w:tc>
        <w:tc>
          <w:tcPr>
            <w:tcW w:w="750" w:type="pct"/>
            <w:shd w:val="clear" w:color="auto" w:fill="FFFFFF"/>
            <w:noWrap w:val="0"/>
            <w:tcMar>
              <w:top w:w="60" w:type="dxa"/>
            </w:tcMar>
            <w:vAlign w:val="top"/>
          </w:tcPr>
          <w:p>
            <w:pPr>
              <w:jc w:val="right"/>
              <w:rPr>
                <w:b w:val="0"/>
                <w:sz w:val="16"/>
              </w:rPr>
            </w:pPr>
            <w:r>
              <w:rPr>
                <w:b w:val="0"/>
                <w:sz w:val="16"/>
              </w:rPr>
              <w:t>385 000,00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bl>
    <w:p>
      <w:pPr>
        <w:pStyle w:val="Heading4"/>
        <w:jc w:val="left"/>
        <w:rPr>
          <w:b/>
        </w:rPr>
      </w:pPr>
      <w:r>
        <w:rPr>
          <w:b/>
        </w:rPr>
        <w:t>М08 — Инвестиции в развитие на горските райони и подобряване на жизнеспособността на горите (членове 21 — 26)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8.1 - подпомагане за залесяване и създаване на горски масиви</w:t>
            </w:r>
          </w:p>
        </w:tc>
        <w:tc>
          <w:tcPr>
            <w:tcW w:w="750" w:type="pct"/>
            <w:shd w:val="clear" w:color="auto" w:fill="FFFFFF"/>
            <w:noWrap w:val="0"/>
            <w:tcMar>
              <w:top w:w="60" w:type="dxa"/>
            </w:tcMar>
            <w:vAlign w:val="top"/>
          </w:tcPr>
          <w:p>
            <w:pPr>
              <w:jc w:val="right"/>
              <w:rPr>
                <w:b w:val="0"/>
                <w:sz w:val="16"/>
              </w:rPr>
            </w:pPr>
            <w:r>
              <w:rPr>
                <w:b w:val="0"/>
                <w:sz w:val="16"/>
              </w:rPr>
              <w:t>777 778,70</w:t>
            </w:r>
          </w:p>
        </w:tc>
        <w:tc>
          <w:tcPr>
            <w:tcW w:w="750" w:type="pct"/>
            <w:shd w:val="clear" w:color="auto" w:fill="FFFFFF"/>
            <w:noWrap w:val="0"/>
            <w:tcMar>
              <w:top w:w="60" w:type="dxa"/>
            </w:tcMar>
            <w:vAlign w:val="top"/>
          </w:tcPr>
          <w:p>
            <w:pPr>
              <w:jc w:val="right"/>
              <w:rPr>
                <w:b w:val="0"/>
                <w:sz w:val="16"/>
              </w:rPr>
            </w:pPr>
            <w:r>
              <w:rPr>
                <w:b w:val="0"/>
                <w:sz w:val="16"/>
              </w:rPr>
              <w:t>110,00</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FFFFFF"/>
            <w:noWrap w:val="0"/>
            <w:tcMar>
              <w:top w:w="60" w:type="dxa"/>
            </w:tcMar>
            <w:vAlign w:val="top"/>
          </w:tcPr>
          <w:p>
            <w:pPr>
              <w:jc w:val="center"/>
              <w:rPr>
                <w:b w:val="0"/>
                <w:sz w:val="20"/>
              </w:rPr>
            </w:pPr>
            <w:r>
              <w:rPr>
                <w:b w:val="0"/>
                <w:sz w:val="20"/>
              </w:rPr>
              <w:t xml:space="preserve"> X </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8.2 — подпомагане за създаване на агролесовъдни системи</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250" w:type="pct"/>
            <w:shd w:val="clear" w:color="auto" w:fill="C0C0C0"/>
            <w:noWrap w:val="0"/>
            <w:tcMar>
              <w:top w:w="60" w:type="dxa"/>
            </w:tcMar>
            <w:vAlign w:val="top"/>
          </w:tcPr>
          <w:p>
            <w:pPr>
              <w:jc w:val="left"/>
              <w:rPr>
                <w:b w:val="0"/>
                <w:sz w:val="16"/>
              </w:rPr>
            </w:pPr>
          </w:p>
        </w:tc>
        <w:tc>
          <w:tcPr>
            <w:tcW w:w="250" w:type="pct"/>
            <w:shd w:val="clear" w:color="auto" w:fill="FFFFFF"/>
            <w:noWrap w:val="0"/>
            <w:tcMar>
              <w:top w:w="60" w:type="dxa"/>
            </w:tcMar>
            <w:vAlign w:val="top"/>
          </w:tcPr>
          <w:p>
            <w:pPr>
              <w:jc w:val="center"/>
              <w:rPr>
                <w:b w:val="0"/>
                <w:sz w:val="20"/>
              </w:rPr>
            </w:pPr>
            <w:r>
              <w:rPr>
                <w:b w:val="0"/>
                <w:sz w:val="20"/>
              </w:rPr>
              <w:t xml:space="preserve">   </w:t>
            </w:r>
          </w:p>
        </w:tc>
      </w:tr>
    </w:tbl>
    <w:p>
      <w:pPr>
        <w:rPr>
          <w:b/>
        </w:rPr>
        <w:sectPr>
          <w:pgSz w:w="15840" w:h="12240" w:orient="landscape"/>
          <w:pgMar w:top="900" w:right="900" w:bottom="900" w:left="900" w:header="720" w:footer="720"/>
          <w:cols w:space="720"/>
        </w:sectPr>
      </w:pPr>
    </w:p>
    <w:p>
      <w:pPr>
        <w:pStyle w:val="Heading3"/>
        <w:jc w:val="left"/>
        <w:rPr>
          <w:b w:val="0"/>
        </w:rPr>
      </w:pPr>
      <w:r>
        <w:rPr>
          <w:b w:val="0"/>
        </w:rPr>
        <w:t xml:space="preserve"> </w:t>
      </w:r>
      <w:bookmarkStart w:id="178" w:name="_Toc256000178"/>
      <w:r>
        <w:rPr>
          <w:b w:val="0"/>
        </w:rPr>
        <w:t>Горски площи</w:t>
      </w:r>
      <w:bookmarkEnd w:id="178"/>
    </w:p>
    <w:p>
      <w:pPr>
        <w:pStyle w:val="Heading4"/>
        <w:jc w:val="left"/>
        <w:rPr>
          <w:b w:val="0"/>
        </w:rPr>
      </w:pPr>
      <w:r>
        <w:rPr>
          <w:b w:val="0"/>
        </w:rPr>
        <w:t>М15 — Екологични услуги и услуги във връзка с климата в горското стопанство и опазване на горите (член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376"/>
        <w:gridCol w:w="2376"/>
        <w:gridCol w:w="2376"/>
        <w:gridCol w:w="2376"/>
        <w:gridCol w:w="2376"/>
        <w:gridCol w:w="237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Вид операция или група на вида операция</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val="0"/>
                <w:sz w:val="20"/>
              </w:rPr>
            </w:pPr>
            <w:r>
              <w:rPr>
                <w:b/>
                <w:sz w:val="20"/>
              </w:rPr>
              <w:t>Управление на почвите област с поставен акцент 4В</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Ecoforestry payments</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Forest genetic resources</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bl>
    <w:p>
      <w:pPr>
        <w:pStyle w:val="Heading4"/>
        <w:jc w:val="left"/>
        <w:rPr>
          <w:b/>
        </w:rPr>
      </w:pPr>
      <w:r>
        <w:rPr>
          <w:b/>
        </w:rPr>
        <w:t>M12 — Плащания по „Натура 2000“ и Рамковата директива за водите (член 30)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376"/>
        <w:gridCol w:w="2376"/>
        <w:gridCol w:w="2376"/>
        <w:gridCol w:w="2376"/>
        <w:gridCol w:w="2376"/>
        <w:gridCol w:w="237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val="0"/>
                <w:sz w:val="20"/>
              </w:rPr>
            </w:pPr>
            <w:r>
              <w:rPr>
                <w:b/>
                <w:sz w:val="20"/>
              </w:rPr>
              <w:t>Управление на почвите област с поставен акцент 4В</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12.2 — компенсационни плащания по „Натура 2000“ за горски райони</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bl>
    <w:p>
      <w:pPr>
        <w:pStyle w:val="Heading4"/>
        <w:jc w:val="left"/>
        <w:rPr>
          <w:b/>
        </w:rPr>
      </w:pPr>
      <w:r>
        <w:rPr>
          <w:b/>
        </w:rPr>
        <w:t>М08 — Инвестиции в развитие на горските райони и подобряване на жизнеспособността на горите (членове 21 — 26)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376"/>
        <w:gridCol w:w="2376"/>
        <w:gridCol w:w="2376"/>
        <w:gridCol w:w="2376"/>
        <w:gridCol w:w="2376"/>
        <w:gridCol w:w="237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val="0"/>
                <w:sz w:val="20"/>
              </w:rPr>
            </w:pPr>
            <w:r>
              <w:rPr>
                <w:b/>
                <w:sz w:val="20"/>
              </w:rPr>
              <w:t>Управление на почвите област с поставен акцент 4В</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8.5 — подпомагане за инвестиции за подобряване на устойчивостта и екологичната стойност на горските екосистеми</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bl>
    <w:p>
      <w:pPr>
        <w:rPr>
          <w:b/>
        </w:rPr>
        <w:sectPr>
          <w:type w:val="nextPage"/>
          <w:pgSz w:w="15840" w:h="12240" w:orient="landscape"/>
          <w:pgMar w:top="900" w:right="900" w:bottom="900" w:left="900" w:header="720" w:footer="720"/>
          <w:cols w:space="720"/>
        </w:sectPr>
      </w:pPr>
    </w:p>
    <w:p>
      <w:pPr>
        <w:pStyle w:val="Heading2"/>
      </w:pPr>
      <w:bookmarkStart w:id="179" w:name="_Toc256000179"/>
      <w:r>
        <w:t>Специфични за програмата цел и изпълнение</w:t>
      </w:r>
      <w:bookmarkEnd w:id="179"/>
    </w:p>
    <w:p>
      <w:r>
        <w:t>Специфичен(и) целеви показател(и)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131"/>
        <w:gridCol w:w="2131"/>
        <w:gridCol w:w="2131"/>
        <w:gridCol w:w="2131"/>
        <w:gridCol w:w="213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tcPr>
          <w:p>
            <w:pPr>
              <w:jc w:val="center"/>
              <w:rPr>
                <w:b/>
                <w:sz w:val="20"/>
              </w:rPr>
            </w:pPr>
            <w:r>
              <w:rPr>
                <w:b/>
                <w:sz w:val="20"/>
              </w:rPr>
              <w:t>Код</w:t>
            </w:r>
          </w:p>
        </w:tc>
        <w:tc>
          <w:tcPr>
            <w:tcW w:w="1000" w:type="pct"/>
            <w:shd w:val="clear" w:color="auto" w:fill="C0C0C0"/>
          </w:tcPr>
          <w:p>
            <w:pPr>
              <w:jc w:val="center"/>
              <w:rPr>
                <w:b/>
                <w:sz w:val="20"/>
              </w:rPr>
            </w:pPr>
            <w:r>
              <w:rPr>
                <w:b/>
                <w:sz w:val="20"/>
              </w:rPr>
              <w:t>Наименование на целевия показател</w:t>
            </w:r>
          </w:p>
        </w:tc>
        <w:tc>
          <w:tcPr>
            <w:tcW w:w="1000" w:type="pct"/>
            <w:shd w:val="clear" w:color="auto" w:fill="C0C0C0"/>
          </w:tcPr>
          <w:p>
            <w:pPr>
              <w:jc w:val="center"/>
              <w:rPr>
                <w:b/>
                <w:sz w:val="20"/>
              </w:rPr>
            </w:pPr>
            <w:r>
              <w:rPr>
                <w:b/>
                <w:sz w:val="20"/>
              </w:rPr>
              <w:t>Област с поставен акцент</w:t>
            </w:r>
          </w:p>
        </w:tc>
        <w:tc>
          <w:tcPr>
            <w:tcW w:w="1000" w:type="pct"/>
            <w:shd w:val="clear" w:color="auto" w:fill="C0C0C0"/>
          </w:tcPr>
          <w:p>
            <w:pPr>
              <w:jc w:val="center"/>
              <w:rPr>
                <w:b/>
                <w:sz w:val="20"/>
              </w:rPr>
            </w:pPr>
            <w:r>
              <w:rPr>
                <w:b/>
                <w:sz w:val="20"/>
              </w:rPr>
              <w:t>Целева стойност 2025 г.</w:t>
            </w:r>
          </w:p>
        </w:tc>
        <w:tc>
          <w:tcPr>
            <w:tcW w:w="1000" w:type="pct"/>
            <w:shd w:val="clear" w:color="auto" w:fill="C0C0C0"/>
          </w:tcPr>
          <w:p>
            <w:pPr>
              <w:jc w:val="center"/>
              <w:rPr>
                <w:b w:val="0"/>
                <w:sz w:val="20"/>
              </w:rPr>
            </w:pPr>
            <w:r>
              <w:rPr>
                <w:b/>
                <w:sz w:val="20"/>
              </w:rPr>
              <w:t>Мерна единица</w:t>
            </w:r>
          </w:p>
        </w:tc>
      </w:tr>
      <w:tr>
        <w:tblPrEx>
          <w:tblW w:w="5000" w:type="pct"/>
          <w:tblCellMar>
            <w:left w:w="108" w:type="dxa"/>
            <w:right w:w="108" w:type="dxa"/>
          </w:tblCellMar>
        </w:tblPrEx>
        <w:tc>
          <w:tcPr>
            <w:tcW w:w="1000" w:type="pct"/>
            <w:shd w:val="clear" w:color="auto" w:fill="FFFFFF"/>
          </w:tcPr>
          <w:p>
            <w:pPr>
              <w:spacing w:before="20" w:after="20"/>
              <w:jc w:val="left"/>
              <w:rPr>
                <w:b w:val="0"/>
                <w:sz w:val="16"/>
              </w:rPr>
            </w:pPr>
            <w:r>
              <w:rPr>
                <w:b w:val="0"/>
                <w:sz w:val="16"/>
              </w:rPr>
              <w:t>Т7</w:t>
            </w:r>
          </w:p>
        </w:tc>
        <w:tc>
          <w:tcPr>
            <w:tcW w:w="1000" w:type="pct"/>
            <w:shd w:val="clear" w:color="auto" w:fill="FFFFFF"/>
          </w:tcPr>
          <w:p>
            <w:pPr>
              <w:spacing w:before="20" w:after="20"/>
              <w:jc w:val="left"/>
              <w:rPr>
                <w:b w:val="0"/>
                <w:sz w:val="16"/>
              </w:rPr>
            </w:pPr>
            <w:r>
              <w:rPr>
                <w:b w:val="0"/>
                <w:sz w:val="16"/>
              </w:rPr>
              <w:t>Брой на участниците в обучения по Мярка 1 "Трансфер на знания и действия за осведомяване "</w:t>
            </w:r>
          </w:p>
        </w:tc>
        <w:tc>
          <w:tcPr>
            <w:tcW w:w="1000" w:type="pct"/>
            <w:shd w:val="clear" w:color="auto" w:fill="FFFFFF"/>
          </w:tcPr>
          <w:p>
            <w:pPr>
              <w:spacing w:before="20" w:after="20"/>
              <w:jc w:val="left"/>
              <w:rPr>
                <w:b w:val="0"/>
                <w:sz w:val="16"/>
              </w:rPr>
            </w:pPr>
            <w:r>
              <w:rPr>
                <w:b w:val="0"/>
                <w:sz w:val="16"/>
              </w:rPr>
              <w:t>3B</w:t>
            </w:r>
          </w:p>
        </w:tc>
        <w:tc>
          <w:tcPr>
            <w:tcW w:w="1000" w:type="pct"/>
            <w:shd w:val="clear" w:color="auto" w:fill="FFFFFF"/>
          </w:tcPr>
          <w:p>
            <w:pPr>
              <w:spacing w:before="20" w:after="20"/>
              <w:jc w:val="right"/>
              <w:rPr>
                <w:b w:val="0"/>
                <w:sz w:val="16"/>
              </w:rPr>
            </w:pPr>
            <w:r>
              <w:rPr>
                <w:b w:val="0"/>
                <w:sz w:val="16"/>
              </w:rPr>
              <w:t>200,00</w:t>
            </w:r>
          </w:p>
        </w:tc>
        <w:tc>
          <w:tcPr>
            <w:tcW w:w="1000" w:type="pct"/>
            <w:shd w:val="clear" w:color="auto" w:fill="FFFFFF"/>
          </w:tcPr>
          <w:p>
            <w:pPr>
              <w:spacing w:before="20" w:after="20"/>
              <w:jc w:val="left"/>
              <w:rPr>
                <w:b w:val="0"/>
                <w:sz w:val="16"/>
              </w:rPr>
            </w:pPr>
            <w:r>
              <w:rPr>
                <w:b w:val="0"/>
                <w:sz w:val="16"/>
              </w:rPr>
              <w:t>number</w:t>
            </w:r>
          </w:p>
        </w:tc>
      </w:tr>
      <w:tr>
        <w:tblPrEx>
          <w:tblW w:w="5000" w:type="pct"/>
          <w:tblCellMar>
            <w:left w:w="108" w:type="dxa"/>
            <w:right w:w="108" w:type="dxa"/>
          </w:tblCellMar>
        </w:tblPrEx>
        <w:tc>
          <w:tcPr>
            <w:tcW w:w="1000" w:type="pct"/>
            <w:shd w:val="clear" w:color="auto" w:fill="FFFFFF"/>
          </w:tcPr>
          <w:p>
            <w:pPr>
              <w:spacing w:before="20" w:after="20"/>
              <w:jc w:val="left"/>
              <w:rPr>
                <w:b w:val="0"/>
                <w:sz w:val="16"/>
              </w:rPr>
            </w:pPr>
          </w:p>
        </w:tc>
        <w:tc>
          <w:tcPr>
            <w:tcW w:w="1000" w:type="pct"/>
            <w:shd w:val="clear" w:color="auto" w:fill="FFFFFF"/>
          </w:tcPr>
          <w:p>
            <w:pPr>
              <w:spacing w:before="20" w:after="20"/>
              <w:jc w:val="left"/>
              <w:rPr>
                <w:b w:val="0"/>
                <w:sz w:val="16"/>
              </w:rPr>
            </w:pPr>
            <w:r>
              <w:rPr>
                <w:b w:val="0"/>
                <w:sz w:val="16"/>
              </w:rPr>
              <w:t xml:space="preserve">Фирми, получили подпомагане </w:t>
            </w:r>
          </w:p>
        </w:tc>
        <w:tc>
          <w:tcPr>
            <w:tcW w:w="1000" w:type="pct"/>
            <w:shd w:val="clear" w:color="auto" w:fill="FFFFFF"/>
          </w:tcPr>
          <w:p>
            <w:pPr>
              <w:spacing w:before="20" w:after="20"/>
              <w:jc w:val="left"/>
              <w:rPr>
                <w:b w:val="0"/>
                <w:sz w:val="16"/>
              </w:rPr>
            </w:pPr>
            <w:r>
              <w:rPr>
                <w:b w:val="0"/>
                <w:sz w:val="16"/>
              </w:rPr>
              <w:t>2C+</w:t>
            </w:r>
          </w:p>
        </w:tc>
        <w:tc>
          <w:tcPr>
            <w:tcW w:w="1000" w:type="pct"/>
            <w:shd w:val="clear" w:color="auto" w:fill="FFFFFF"/>
          </w:tcPr>
          <w:p>
            <w:pPr>
              <w:spacing w:before="20" w:after="20"/>
              <w:jc w:val="right"/>
              <w:rPr>
                <w:b w:val="0"/>
                <w:sz w:val="16"/>
              </w:rPr>
            </w:pPr>
            <w:r>
              <w:rPr>
                <w:b w:val="0"/>
                <w:sz w:val="16"/>
              </w:rPr>
              <w:t>100,00</w:t>
            </w:r>
          </w:p>
        </w:tc>
        <w:tc>
          <w:tcPr>
            <w:tcW w:w="1000" w:type="pct"/>
            <w:shd w:val="clear" w:color="auto" w:fill="FFFFFF"/>
          </w:tcPr>
          <w:p>
            <w:pPr>
              <w:spacing w:before="20" w:after="20"/>
              <w:jc w:val="left"/>
              <w:rPr>
                <w:b w:val="0"/>
                <w:sz w:val="16"/>
              </w:rPr>
            </w:pPr>
            <w:r>
              <w:rPr>
                <w:b w:val="0"/>
                <w:sz w:val="16"/>
              </w:rPr>
              <w:t>брой</w:t>
            </w:r>
          </w:p>
        </w:tc>
      </w:tr>
    </w:tbl>
    <w:p>
      <w:r>
        <w:t>Специфичен(и) показател(и) за изпълнението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522"/>
        <w:gridCol w:w="1522"/>
        <w:gridCol w:w="1522"/>
        <w:gridCol w:w="1522"/>
        <w:gridCol w:w="1522"/>
        <w:gridCol w:w="1522"/>
        <w:gridCol w:w="152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tcPr>
          <w:p>
            <w:pPr>
              <w:jc w:val="center"/>
              <w:rPr>
                <w:b/>
                <w:sz w:val="20"/>
              </w:rPr>
            </w:pPr>
            <w:r>
              <w:rPr>
                <w:b/>
                <w:sz w:val="20"/>
              </w:rPr>
              <w:t>Код</w:t>
            </w:r>
          </w:p>
        </w:tc>
        <w:tc>
          <w:tcPr>
            <w:tcW w:w="1000" w:type="pct"/>
            <w:shd w:val="clear" w:color="auto" w:fill="C0C0C0"/>
          </w:tcPr>
          <w:p>
            <w:pPr>
              <w:jc w:val="center"/>
              <w:rPr>
                <w:b/>
                <w:sz w:val="20"/>
              </w:rPr>
            </w:pPr>
            <w:r>
              <w:rPr>
                <w:b/>
                <w:sz w:val="20"/>
              </w:rPr>
              <w:t>Наименование на показателя за изпълнението</w:t>
            </w:r>
          </w:p>
        </w:tc>
        <w:tc>
          <w:tcPr>
            <w:tcW w:w="1000" w:type="pct"/>
            <w:shd w:val="clear" w:color="auto" w:fill="C0C0C0"/>
          </w:tcPr>
          <w:p>
            <w:pPr>
              <w:jc w:val="center"/>
              <w:rPr>
                <w:b/>
                <w:sz w:val="20"/>
              </w:rPr>
            </w:pPr>
            <w:r>
              <w:rPr>
                <w:b/>
                <w:sz w:val="20"/>
              </w:rPr>
              <w:t>Мярка</w:t>
            </w:r>
          </w:p>
        </w:tc>
        <w:tc>
          <w:tcPr>
            <w:tcW w:w="1000" w:type="pct"/>
            <w:shd w:val="clear" w:color="auto" w:fill="C0C0C0"/>
          </w:tcPr>
          <w:p>
            <w:pPr>
              <w:jc w:val="center"/>
              <w:rPr>
                <w:b/>
                <w:sz w:val="20"/>
              </w:rPr>
            </w:pPr>
            <w:r>
              <w:rPr>
                <w:b/>
                <w:sz w:val="20"/>
              </w:rPr>
              <w:t>Област с поставен акцент</w:t>
            </w:r>
          </w:p>
        </w:tc>
        <w:tc>
          <w:tcPr>
            <w:tcW w:w="1000" w:type="pct"/>
            <w:shd w:val="clear" w:color="auto" w:fill="C0C0C0"/>
          </w:tcPr>
          <w:p>
            <w:pPr>
              <w:jc w:val="center"/>
              <w:rPr>
                <w:b/>
                <w:sz w:val="20"/>
              </w:rPr>
            </w:pPr>
            <w:r>
              <w:rPr>
                <w:b/>
                <w:sz w:val="20"/>
              </w:rPr>
              <w:t>Планирано изпълнение</w:t>
            </w:r>
          </w:p>
        </w:tc>
        <w:tc>
          <w:tcPr>
            <w:tcW w:w="1000" w:type="pct"/>
            <w:shd w:val="clear" w:color="auto" w:fill="C0C0C0"/>
          </w:tcPr>
          <w:p>
            <w:pPr>
              <w:jc w:val="center"/>
              <w:rPr>
                <w:b/>
                <w:sz w:val="20"/>
              </w:rPr>
            </w:pPr>
            <w:r>
              <w:rPr>
                <w:b/>
                <w:sz w:val="20"/>
              </w:rPr>
              <w:t>от които по линия на EURI</w:t>
            </w:r>
          </w:p>
        </w:tc>
        <w:tc>
          <w:tcPr>
            <w:tcW w:w="1000" w:type="pct"/>
            <w:shd w:val="clear" w:color="auto" w:fill="C0C0C0"/>
          </w:tcPr>
          <w:p>
            <w:pPr>
              <w:jc w:val="center"/>
              <w:rPr>
                <w:b w:val="0"/>
                <w:sz w:val="20"/>
              </w:rPr>
            </w:pPr>
            <w:r>
              <w:rPr>
                <w:b/>
                <w:sz w:val="20"/>
              </w:rPr>
              <w:t>Мерна единица</w:t>
            </w:r>
          </w:p>
        </w:tc>
      </w:tr>
      <w:tr>
        <w:tblPrEx>
          <w:tblW w:w="5000" w:type="pct"/>
          <w:tblCellMar>
            <w:left w:w="108" w:type="dxa"/>
            <w:right w:w="108" w:type="dxa"/>
          </w:tblCellMar>
        </w:tblPrEx>
        <w:tc>
          <w:tcPr>
            <w:tcW w:w="1000" w:type="pct"/>
            <w:shd w:val="clear" w:color="auto" w:fill="FFFFFF"/>
          </w:tcPr>
          <w:p>
            <w:pPr>
              <w:spacing w:before="20" w:after="20"/>
              <w:jc w:val="left"/>
              <w:rPr>
                <w:b w:val="0"/>
                <w:sz w:val="16"/>
              </w:rPr>
            </w:pPr>
          </w:p>
        </w:tc>
        <w:tc>
          <w:tcPr>
            <w:tcW w:w="1000" w:type="pct"/>
            <w:shd w:val="clear" w:color="auto" w:fill="FFFFFF"/>
          </w:tcPr>
          <w:p>
            <w:pPr>
              <w:spacing w:before="20" w:after="20"/>
              <w:jc w:val="left"/>
              <w:rPr>
                <w:b w:val="0"/>
                <w:sz w:val="16"/>
              </w:rPr>
            </w:pPr>
            <w:r>
              <w:rPr>
                <w:b w:val="0"/>
                <w:sz w:val="16"/>
              </w:rPr>
              <w:t>Брой операции, получаващи подкрепа за инвестиции (в земеделски стопанства, за преработка и търговия със селскостопански продукти) (4.2 )</w:t>
            </w:r>
          </w:p>
        </w:tc>
        <w:tc>
          <w:tcPr>
            <w:tcW w:w="1000" w:type="pct"/>
            <w:shd w:val="clear" w:color="auto" w:fill="FFFFFF"/>
          </w:tcPr>
          <w:p>
            <w:pPr>
              <w:spacing w:before="20" w:after="20"/>
              <w:jc w:val="left"/>
              <w:rPr>
                <w:b w:val="0"/>
                <w:sz w:val="16"/>
              </w:rPr>
            </w:pPr>
            <w:r>
              <w:rPr>
                <w:b w:val="0"/>
                <w:sz w:val="16"/>
              </w:rPr>
              <w:t>M04</w:t>
            </w:r>
          </w:p>
        </w:tc>
        <w:tc>
          <w:tcPr>
            <w:tcW w:w="1000" w:type="pct"/>
            <w:shd w:val="clear" w:color="auto" w:fill="FFFFFF"/>
          </w:tcPr>
          <w:p>
            <w:pPr>
              <w:spacing w:before="20" w:after="20"/>
              <w:jc w:val="left"/>
              <w:rPr>
                <w:b w:val="0"/>
                <w:sz w:val="16"/>
              </w:rPr>
            </w:pPr>
            <w:r>
              <w:rPr>
                <w:b w:val="0"/>
                <w:sz w:val="16"/>
              </w:rPr>
              <w:t>5B</w:t>
            </w:r>
          </w:p>
        </w:tc>
        <w:tc>
          <w:tcPr>
            <w:tcW w:w="1000" w:type="pct"/>
            <w:shd w:val="clear" w:color="auto" w:fill="FFFFFF"/>
          </w:tcPr>
          <w:p>
            <w:pPr>
              <w:spacing w:before="20" w:after="20"/>
              <w:jc w:val="right"/>
              <w:rPr>
                <w:b w:val="0"/>
                <w:sz w:val="16"/>
              </w:rPr>
            </w:pPr>
            <w:r>
              <w:rPr>
                <w:b w:val="0"/>
                <w:sz w:val="16"/>
              </w:rPr>
              <w:t>100,00</w:t>
            </w:r>
          </w:p>
        </w:tc>
        <w:tc>
          <w:tcPr>
            <w:tcW w:w="1000" w:type="pct"/>
            <w:shd w:val="clear" w:color="auto" w:fill="FFFFFF"/>
          </w:tcPr>
          <w:p>
            <w:pPr>
              <w:spacing w:before="20" w:after="20"/>
              <w:jc w:val="right"/>
              <w:rPr>
                <w:b w:val="0"/>
                <w:sz w:val="16"/>
              </w:rPr>
            </w:pPr>
            <w:r>
              <w:rPr>
                <w:b w:val="0"/>
                <w:sz w:val="16"/>
              </w:rPr>
              <w:t>0,00</w:t>
            </w:r>
          </w:p>
        </w:tc>
        <w:tc>
          <w:tcPr>
            <w:tcW w:w="1000" w:type="pct"/>
            <w:shd w:val="clear" w:color="auto" w:fill="FFFFFF"/>
          </w:tcPr>
          <w:p>
            <w:pPr>
              <w:spacing w:before="20" w:after="20"/>
              <w:jc w:val="left"/>
              <w:rPr>
                <w:b w:val="0"/>
                <w:sz w:val="16"/>
              </w:rPr>
            </w:pPr>
            <w:r>
              <w:rPr>
                <w:b w:val="0"/>
                <w:sz w:val="16"/>
              </w:rPr>
              <w:t>броя</w:t>
            </w:r>
          </w:p>
        </w:tc>
      </w:tr>
    </w:tbl>
    <w:p>
      <w:pPr>
        <w:sectPr>
          <w:pgMar w:top="900" w:right="900" w:bottom="900" w:left="900" w:header="720" w:footer="720"/>
          <w:cols w:space="720"/>
        </w:sectPr>
      </w:pPr>
    </w:p>
    <w:p>
      <w:pPr>
        <w:pStyle w:val="Heading1"/>
      </w:pPr>
      <w:bookmarkStart w:id="180" w:name="_Toc256000180"/>
      <w:r>
        <w:t>Допълнително национално финансиране</w:t>
      </w:r>
      <w:bookmarkEnd w:id="180"/>
    </w:p>
    <w:p>
      <w:pPr>
        <w:rPr>
          <w:b w:val="0"/>
          <w:i w:val="0"/>
        </w:rPr>
      </w:pPr>
      <w:r>
        <w:rPr>
          <w:b w:val="0"/>
          <w:i w:val="0"/>
        </w:rPr>
        <w:t>За мерките и операциите, попадащи в обхвата на член 42 от Договора, следва да се изготви таблица за допълнителното национално финансиране за всяка мярка в съответствие с член 82 от Регламент (ЕС) № 1305/2013, в т.ч. сумите за всяка мярка, както и да се посочи съответствието с критериите от регламента относно развитието на селските райони.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top"/>
          </w:tcPr>
          <w:p>
            <w:pPr>
              <w:jc w:val="center"/>
              <w:rPr>
                <w:b/>
                <w:i w:val="0"/>
                <w:sz w:val="16"/>
              </w:rPr>
            </w:pPr>
            <w:r>
              <w:rPr>
                <w:b/>
                <w:i w:val="0"/>
                <w:sz w:val="16"/>
              </w:rPr>
              <w:t>Мярка</w:t>
            </w:r>
          </w:p>
        </w:tc>
        <w:tc>
          <w:tcPr>
            <w:tcW w:w="1000" w:type="pct"/>
            <w:shd w:val="clear" w:color="auto" w:fill="C0C0C0"/>
            <w:noWrap w:val="0"/>
            <w:tcMar>
              <w:top w:w="60" w:type="dxa"/>
            </w:tcMar>
            <w:vAlign w:val="top"/>
          </w:tcPr>
          <w:p>
            <w:pPr>
              <w:jc w:val="center"/>
              <w:rPr>
                <w:b w:val="0"/>
                <w:i w:val="0"/>
                <w:sz w:val="16"/>
              </w:rPr>
            </w:pPr>
            <w:r>
              <w:rPr>
                <w:b/>
                <w:i w:val="0"/>
                <w:sz w:val="16"/>
              </w:rPr>
              <w:t>Допълнително национално финансиране през периода 2014—2022 г. (в евро)</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М01 — Трансфер на знания и действия за осведомяване (член 14)</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М02 —  Консултантски услуги, услуги по управление на стопанство и услуги по заместване в стопанство (член 15)</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M04 — Инвестиции в материални активи (член 17)</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M06 — Развитие на стопанства и предприятия (член 19)</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М07 — Основни услуги и обновяване на селата в селските райони (член 20)</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М08 — Инвестиции в развитие на горските райони и подобряване на жизнеспособността на горите (членове 21 — 26)</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M09 — Създаване на групи и организации на производителите (член 27)</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M10 — Агроекология и климат (член 28)</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М11 — Биологично земеделие (член 29)</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M12 — Плащания по „Натура 2000“ и Рамковата директива за водите (член 30)</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М13 — Плащания за райони, изправени пред природни или други специфични ограничения (член 31)</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M14 — Хуманно отношение към животните (член 33)</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M16 — Сътрудничество (член 35)</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M19 — Подкрепа за местно развитие по LEADER (ВОМР — водено от общностите местно развитие) (член 35 от Регламент (ЕС) № 1303/2013)</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М20 — Техническа помощ държави членки (членове 51 — 54)</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M22 — Извънредно временно подпомагане за земеделските стопани и МСП, които са особено засегнати от последиците от руското нашествие в Украйна (член 39в)</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C0C0C0"/>
            <w:noWrap w:val="0"/>
            <w:tcMar>
              <w:top w:w="60" w:type="dxa"/>
            </w:tcMar>
            <w:vAlign w:val="top"/>
          </w:tcPr>
          <w:p>
            <w:pPr>
              <w:jc w:val="left"/>
              <w:rPr>
                <w:b w:val="0"/>
                <w:i w:val="0"/>
                <w:sz w:val="16"/>
              </w:rPr>
            </w:pPr>
            <w:r>
              <w:rPr>
                <w:b w:val="0"/>
                <w:i w:val="0"/>
                <w:sz w:val="16"/>
              </w:rPr>
              <w:t>Общо</w:t>
            </w:r>
          </w:p>
        </w:tc>
        <w:tc>
          <w:tcPr>
            <w:tcW w:w="1000" w:type="pct"/>
            <w:shd w:val="clear" w:color="auto" w:fill="C0C0C0"/>
            <w:noWrap w:val="0"/>
            <w:tcMar>
              <w:top w:w="60" w:type="dxa"/>
            </w:tcMar>
            <w:vAlign w:val="top"/>
          </w:tcPr>
          <w:p>
            <w:pPr>
              <w:jc w:val="right"/>
              <w:rPr>
                <w:b w:val="0"/>
                <w:i w:val="0"/>
                <w:sz w:val="16"/>
              </w:rPr>
            </w:pPr>
            <w:r>
              <w:rPr>
                <w:b w:val="0"/>
                <w:i w:val="0"/>
                <w:sz w:val="16"/>
              </w:rPr>
              <w:t>0,00</w:t>
            </w:r>
          </w:p>
        </w:tc>
      </w:tr>
    </w:tbl>
    <w:p>
      <w:pPr>
        <w:pStyle w:val="Heading2"/>
        <w:rPr>
          <w:b/>
          <w:i w:val="0"/>
        </w:rPr>
      </w:pPr>
      <w:bookmarkStart w:id="181" w:name="_Toc256000181"/>
      <w:r>
        <w:rPr>
          <w:b/>
          <w:i w:val="0"/>
        </w:rPr>
        <w:t>М01 — Трансфер на знания и действия за осведомяване (член 14)</w:t>
      </w:r>
      <w:bookmarkEnd w:id="181"/>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pStyle w:val="BodyText"/>
              <w:jc w:val="both"/>
              <w:rPr>
                <w:b/>
                <w:i w:val="0"/>
              </w:rPr>
            </w:pPr>
          </w:p>
        </w:tc>
      </w:tr>
    </w:tbl>
    <w:p>
      <w:pPr>
        <w:pStyle w:val="Heading2"/>
        <w:rPr>
          <w:b/>
          <w:i w:val="0"/>
        </w:rPr>
      </w:pPr>
      <w:bookmarkStart w:id="182" w:name="_Toc256000182"/>
      <w:r>
        <w:rPr>
          <w:b/>
          <w:i w:val="0"/>
        </w:rPr>
        <w:t>М02 —  Консултантски услуги, услуги по управление на стопанство и услуги по заместване в стопанство (член 15)</w:t>
      </w:r>
      <w:bookmarkEnd w:id="182"/>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3" w:name="_Toc256000183"/>
      <w:r>
        <w:rPr>
          <w:b/>
          <w:i w:val="0"/>
        </w:rPr>
        <w:t>M04 — Инвестиции в материални активи (член 17)</w:t>
      </w:r>
      <w:bookmarkEnd w:id="183"/>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4" w:name="_Toc256000184"/>
      <w:r>
        <w:rPr>
          <w:b/>
          <w:i w:val="0"/>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bookmarkEnd w:id="184"/>
      <w:r>
        <w:rPr>
          <w:b/>
          <w:i w:val="0"/>
        </w:rPr>
        <w:t xml:space="preserve"> </w:t>
      </w:r>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pStyle w:val="BodyText"/>
              <w:jc w:val="both"/>
              <w:rPr>
                <w:b/>
                <w:i w:val="0"/>
              </w:rPr>
            </w:pPr>
          </w:p>
        </w:tc>
      </w:tr>
    </w:tbl>
    <w:p>
      <w:pPr>
        <w:pStyle w:val="Heading2"/>
        <w:rPr>
          <w:b/>
          <w:i w:val="0"/>
        </w:rPr>
      </w:pPr>
      <w:bookmarkStart w:id="185" w:name="_Toc256000185"/>
      <w:r>
        <w:rPr>
          <w:b/>
          <w:i w:val="0"/>
        </w:rPr>
        <w:t>M06 — Развитие на стопанства и предприятия (член 19)</w:t>
      </w:r>
      <w:bookmarkEnd w:id="185"/>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6" w:name="_Toc256000186"/>
      <w:r>
        <w:rPr>
          <w:b/>
          <w:i w:val="0"/>
        </w:rPr>
        <w:t>М07 — Основни услуги и обновяване на селата в селските райони (член 20)</w:t>
      </w:r>
      <w:bookmarkEnd w:id="186"/>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7" w:name="_Toc256000187"/>
      <w:r>
        <w:rPr>
          <w:b/>
          <w:i w:val="0"/>
        </w:rPr>
        <w:t>М08 — Инвестиции в развитие на горските райони и подобряване на жизнеспособността на горите (членове 21 — 26)</w:t>
      </w:r>
      <w:bookmarkEnd w:id="187"/>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8" w:name="_Toc256000188"/>
      <w:r>
        <w:rPr>
          <w:b/>
          <w:i w:val="0"/>
        </w:rPr>
        <w:t>M09 — Създаване на групи и организации на производителите (член 27)</w:t>
      </w:r>
      <w:bookmarkEnd w:id="188"/>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9" w:name="_Toc256000189"/>
      <w:r>
        <w:rPr>
          <w:b/>
          <w:i w:val="0"/>
        </w:rPr>
        <w:t>M10 — Агроекология и климат (член 28)</w:t>
      </w:r>
      <w:bookmarkEnd w:id="189"/>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0" w:name="_Toc256000190"/>
      <w:r>
        <w:rPr>
          <w:b/>
          <w:i w:val="0"/>
        </w:rPr>
        <w:t>М11 — Биологично земеделие (член 29)</w:t>
      </w:r>
      <w:bookmarkEnd w:id="190"/>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1" w:name="_Toc256000191"/>
      <w:r>
        <w:rPr>
          <w:b/>
          <w:i w:val="0"/>
        </w:rPr>
        <w:t>M12 — Плащания по „Натура 2000“ и Рамковата директива за водите (член 30)</w:t>
      </w:r>
      <w:bookmarkEnd w:id="191"/>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2" w:name="_Toc256000192"/>
      <w:r>
        <w:rPr>
          <w:b/>
          <w:i w:val="0"/>
        </w:rPr>
        <w:t>М13 — Плащания за райони, изправени пред природни или други специфични ограничения (член 31)</w:t>
      </w:r>
      <w:bookmarkEnd w:id="192"/>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3" w:name="_Toc256000193"/>
      <w:r>
        <w:rPr>
          <w:b/>
          <w:i w:val="0"/>
        </w:rPr>
        <w:t>M14 — Хуманно отношение към животните (член 33)</w:t>
      </w:r>
      <w:bookmarkEnd w:id="193"/>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4" w:name="_Toc256000194"/>
      <w:r>
        <w:rPr>
          <w:b/>
          <w:i w:val="0"/>
        </w:rPr>
        <w:t>M16 — Сътрудничество (член 35)</w:t>
      </w:r>
      <w:bookmarkEnd w:id="194"/>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5" w:name="_Toc256000195"/>
      <w:r>
        <w:rPr>
          <w:b/>
          <w:i w:val="0"/>
        </w:rPr>
        <w:t>M19 — Подкрепа за местно развитие по LEADER (ВОМР — водено от общностите местно развитие) (член 35 от Регламент (ЕС) № 1303/2013)</w:t>
      </w:r>
      <w:bookmarkEnd w:id="195"/>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6" w:name="_Toc256000196"/>
      <w:r>
        <w:rPr>
          <w:b/>
          <w:i w:val="0"/>
        </w:rPr>
        <w:t>М20 — Техническа помощ държави членки (членове 51 — 54)</w:t>
      </w:r>
      <w:bookmarkEnd w:id="196"/>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7" w:name="_Toc256000197"/>
      <w:r>
        <w:rPr>
          <w:b/>
          <w:i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bookmarkEnd w:id="197"/>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i w:val="0"/>
              </w:rPr>
            </w:pPr>
          </w:p>
        </w:tc>
      </w:tr>
    </w:tbl>
    <w:p>
      <w:pPr>
        <w:pStyle w:val="Heading2"/>
        <w:rPr>
          <w:b/>
          <w:i w:val="0"/>
        </w:rPr>
      </w:pPr>
      <w:bookmarkStart w:id="198" w:name="_Toc256000198"/>
      <w:r>
        <w:rPr>
          <w:b/>
          <w:i w:val="0"/>
        </w:rPr>
        <w:t>M22 — Извънредно временно подпомагане за земеделските стопани и МСП, които са особено засегнати от последиците от руското нашествие в Украйна (член 39в)</w:t>
      </w:r>
      <w:bookmarkEnd w:id="198"/>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i w:val="0"/>
              </w:rPr>
            </w:pPr>
          </w:p>
        </w:tc>
      </w:tr>
    </w:tbl>
    <w:p>
      <w:pPr>
        <w:rPr>
          <w:b/>
          <w:i w:val="0"/>
        </w:rPr>
        <w:sectPr>
          <w:pgMar w:top="900" w:right="900" w:bottom="900" w:left="900" w:header="720" w:footer="720"/>
          <w:cols w:space="720"/>
        </w:sectPr>
      </w:pPr>
    </w:p>
    <w:p>
      <w:pPr>
        <w:pStyle w:val="Heading1"/>
      </w:pPr>
      <w:bookmarkStart w:id="199" w:name="_Toc256000199"/>
      <w:r>
        <w:t>Елементи, необходими за оценка на държавната помощ</w:t>
      </w:r>
      <w:bookmarkEnd w:id="199"/>
    </w:p>
    <w:p>
      <w:r>
        <w:t>За мерки и операции, които попадат извън обхвата на член 42 от Договора, таблица на схемите за помощ, попадащи в обхвата на член 81, параграф 1 от Регламент (ЕС) № 1305/2013, които да бъдат използвани за изпълнението на програмите, включително наименованието на схемата за помощ, както и участието на ЕЗФРСР, националното съфинансиране и допълнителното национално финансиране. Съвместимостта с правилата на Съюза в областта на държавната помощ трябва да бъде гарантирана през цялата продължителност на програмата.</w:t>
      </w:r>
    </w:p>
    <w:p>
      <w:r>
        <w:t>Таблицата се придружава от ангажимент от страна на държавата членка, че когато по силата на правилата за държавни помощи или при определени условия на решението за одобрение на държавна помощ това е необходимо, подобни мерки ще бъдат индивидуално нотифицирани съгласно член 108, параграф 3 от Договора.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376"/>
        <w:gridCol w:w="2376"/>
        <w:gridCol w:w="2376"/>
        <w:gridCol w:w="2376"/>
        <w:gridCol w:w="2376"/>
        <w:gridCol w:w="237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00" w:type="pct"/>
            <w:shd w:val="clear" w:color="auto" w:fill="C0C0C0"/>
            <w:noWrap w:val="0"/>
            <w:tcMar>
              <w:top w:w="60" w:type="dxa"/>
            </w:tcMar>
            <w:vAlign w:val="top"/>
          </w:tcPr>
          <w:p>
            <w:pPr>
              <w:rPr>
                <w:b/>
              </w:rPr>
            </w:pPr>
            <w:r>
              <w:rPr>
                <w:b/>
              </w:rPr>
              <w:t>Мярка</w:t>
            </w:r>
          </w:p>
        </w:tc>
        <w:tc>
          <w:tcPr>
            <w:tcW w:w="1200" w:type="pct"/>
            <w:shd w:val="clear" w:color="auto" w:fill="C0C0C0"/>
            <w:noWrap w:val="0"/>
            <w:tcMar>
              <w:top w:w="60" w:type="dxa"/>
            </w:tcMar>
            <w:vAlign w:val="top"/>
          </w:tcPr>
          <w:p>
            <w:pPr>
              <w:rPr>
                <w:b/>
              </w:rPr>
            </w:pPr>
            <w:r>
              <w:rPr>
                <w:b/>
              </w:rPr>
              <w:t>Наименование на схемата за помощ</w:t>
            </w:r>
          </w:p>
        </w:tc>
        <w:tc>
          <w:tcPr>
            <w:tcW w:w="650" w:type="pct"/>
            <w:shd w:val="clear" w:color="auto" w:fill="C0C0C0"/>
            <w:noWrap w:val="0"/>
            <w:tcMar>
              <w:top w:w="60" w:type="dxa"/>
            </w:tcMar>
            <w:vAlign w:val="top"/>
          </w:tcPr>
          <w:p>
            <w:pPr>
              <w:rPr>
                <w:b/>
              </w:rPr>
            </w:pPr>
            <w:r>
              <w:rPr>
                <w:b/>
              </w:rPr>
              <w:t>ЕЗФРСР (в евро)</w:t>
            </w:r>
          </w:p>
        </w:tc>
        <w:tc>
          <w:tcPr>
            <w:tcW w:w="650" w:type="pct"/>
            <w:shd w:val="clear" w:color="auto" w:fill="C0C0C0"/>
            <w:noWrap w:val="0"/>
            <w:tcMar>
              <w:top w:w="60" w:type="dxa"/>
            </w:tcMar>
            <w:vAlign w:val="top"/>
          </w:tcPr>
          <w:p>
            <w:pPr>
              <w:rPr>
                <w:b/>
              </w:rPr>
            </w:pPr>
            <w:r>
              <w:rPr>
                <w:b/>
              </w:rPr>
              <w:t>Национално съфинансиране (в евро)</w:t>
            </w:r>
          </w:p>
        </w:tc>
        <w:tc>
          <w:tcPr>
            <w:tcW w:w="650" w:type="pct"/>
            <w:shd w:val="clear" w:color="auto" w:fill="C0C0C0"/>
            <w:noWrap w:val="0"/>
            <w:tcMar>
              <w:top w:w="60" w:type="dxa"/>
            </w:tcMar>
            <w:vAlign w:val="top"/>
          </w:tcPr>
          <w:p>
            <w:pPr>
              <w:rPr>
                <w:b/>
              </w:rPr>
            </w:pPr>
            <w:r>
              <w:rPr>
                <w:b/>
              </w:rPr>
              <w:t>Допълнително национално финансиране (в евро)</w:t>
            </w:r>
          </w:p>
        </w:tc>
        <w:tc>
          <w:tcPr>
            <w:tcW w:w="650" w:type="pct"/>
            <w:shd w:val="clear" w:color="auto" w:fill="C0C0C0"/>
            <w:noWrap w:val="0"/>
            <w:tcMar>
              <w:top w:w="60" w:type="dxa"/>
            </w:tcMar>
            <w:vAlign w:val="top"/>
          </w:tcPr>
          <w:p>
            <w:pPr>
              <w:rPr>
                <w:b w:val="0"/>
              </w:rPr>
            </w:pPr>
            <w:r>
              <w:rPr>
                <w:b/>
              </w:rPr>
              <w:t>Общо (в EUR)</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М01 — Трансфер на знания и действия за осведомяване (член 14)</w:t>
            </w:r>
          </w:p>
        </w:tc>
        <w:tc>
          <w:tcPr>
            <w:tcW w:w="1200" w:type="pct"/>
            <w:shd w:val="clear" w:color="auto" w:fill="FFFFFF"/>
            <w:noWrap w:val="0"/>
            <w:tcMar>
              <w:top w:w="60" w:type="dxa"/>
            </w:tcMar>
            <w:vAlign w:val="top"/>
          </w:tcPr>
          <w:p>
            <w:pPr>
              <w:jc w:val="left"/>
              <w:rPr>
                <w:b w:val="0"/>
                <w:sz w:val="16"/>
              </w:rPr>
            </w:pPr>
            <w:r>
              <w:rPr>
                <w:b w:val="0"/>
                <w:sz w:val="16"/>
              </w:rPr>
              <w:t xml:space="preserve">Професионално обучение и придобиване на умения – обучение на лица, ангажирани в сектора на горското стопанство  Демонстрационни дейности и действия по осведомяване - обучение на лица, ангажирани в сектора на горското стопанство Краткосрочен обмен на опит </w:t>
            </w:r>
          </w:p>
        </w:tc>
        <w:tc>
          <w:tcPr>
            <w:tcW w:w="650" w:type="pct"/>
            <w:shd w:val="clear" w:color="auto" w:fill="FFFFFF"/>
            <w:noWrap w:val="0"/>
            <w:tcMar>
              <w:top w:w="60" w:type="dxa"/>
            </w:tcMar>
            <w:vAlign w:val="top"/>
          </w:tcPr>
          <w:p>
            <w:pPr>
              <w:jc w:val="right"/>
              <w:rPr>
                <w:b w:val="0"/>
                <w:sz w:val="16"/>
              </w:rPr>
            </w:pPr>
            <w:r>
              <w:rPr>
                <w:b w:val="0"/>
                <w:sz w:val="16"/>
              </w:rPr>
              <w:t>13 500 000,00</w:t>
            </w:r>
          </w:p>
        </w:tc>
        <w:tc>
          <w:tcPr>
            <w:tcW w:w="650" w:type="pct"/>
            <w:shd w:val="clear" w:color="auto" w:fill="FFFFFF"/>
            <w:noWrap w:val="0"/>
            <w:tcMar>
              <w:top w:w="60" w:type="dxa"/>
            </w:tcMar>
            <w:vAlign w:val="top"/>
          </w:tcPr>
          <w:p>
            <w:pPr>
              <w:jc w:val="right"/>
              <w:rPr>
                <w:b w:val="0"/>
                <w:sz w:val="16"/>
              </w:rPr>
            </w:pPr>
            <w:r>
              <w:rPr>
                <w:b w:val="0"/>
                <w:sz w:val="16"/>
              </w:rPr>
              <w:t>1 500 000,00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15 000 000,00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200" w:type="pct"/>
            <w:shd w:val="clear" w:color="auto" w:fill="FFFFFF"/>
            <w:noWrap w:val="0"/>
            <w:tcMar>
              <w:top w:w="60" w:type="dxa"/>
            </w:tcMar>
            <w:vAlign w:val="top"/>
          </w:tcPr>
          <w:p>
            <w:pPr>
              <w:jc w:val="left"/>
              <w:rPr>
                <w:b w:val="0"/>
                <w:sz w:val="16"/>
              </w:rPr>
            </w:pPr>
            <w:r>
              <w:rPr>
                <w:b w:val="0"/>
                <w:sz w:val="16"/>
              </w:rPr>
              <w:t xml:space="preserve">Помощ за обучение на консултанти </w:t>
            </w:r>
          </w:p>
        </w:tc>
        <w:tc>
          <w:tcPr>
            <w:tcW w:w="650" w:type="pct"/>
            <w:shd w:val="clear" w:color="auto" w:fill="FFFFFF"/>
            <w:noWrap w:val="0"/>
            <w:tcMar>
              <w:top w:w="60" w:type="dxa"/>
            </w:tcMar>
            <w:vAlign w:val="top"/>
          </w:tcPr>
          <w:p>
            <w:pPr>
              <w:jc w:val="right"/>
              <w:rPr>
                <w:b w:val="0"/>
                <w:sz w:val="16"/>
              </w:rPr>
            </w:pPr>
            <w:r>
              <w:rPr>
                <w:b w:val="0"/>
                <w:sz w:val="16"/>
              </w:rPr>
              <w:t>850 000,00</w:t>
            </w:r>
          </w:p>
        </w:tc>
        <w:tc>
          <w:tcPr>
            <w:tcW w:w="650" w:type="pct"/>
            <w:shd w:val="clear" w:color="auto" w:fill="FFFFFF"/>
            <w:noWrap w:val="0"/>
            <w:tcMar>
              <w:top w:w="60" w:type="dxa"/>
            </w:tcMar>
            <w:vAlign w:val="top"/>
          </w:tcPr>
          <w:p>
            <w:pPr>
              <w:jc w:val="right"/>
              <w:rPr>
                <w:b w:val="0"/>
                <w:sz w:val="16"/>
              </w:rPr>
            </w:pPr>
            <w:r>
              <w:rPr>
                <w:b w:val="0"/>
                <w:sz w:val="16"/>
              </w:rPr>
              <w:t>150 000,00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200" w:type="pct"/>
            <w:shd w:val="clear" w:color="auto" w:fill="FFFFFF"/>
            <w:noWrap w:val="0"/>
            <w:tcMar>
              <w:top w:w="60" w:type="dxa"/>
            </w:tcMar>
            <w:vAlign w:val="top"/>
          </w:tcPr>
          <w:p>
            <w:pPr>
              <w:jc w:val="left"/>
              <w:rPr>
                <w:b w:val="0"/>
                <w:sz w:val="16"/>
              </w:rPr>
            </w:pPr>
            <w:r>
              <w:rPr>
                <w:b w:val="0"/>
                <w:sz w:val="16"/>
              </w:rPr>
              <w:t xml:space="preserve">Помощ за осигуряване на консултантски услуги – консултиране на горски стопани </w:t>
            </w:r>
          </w:p>
        </w:tc>
        <w:tc>
          <w:tcPr>
            <w:tcW w:w="650" w:type="pct"/>
            <w:shd w:val="clear" w:color="auto" w:fill="FFFFFF"/>
            <w:noWrap w:val="0"/>
            <w:tcMar>
              <w:top w:w="60" w:type="dxa"/>
            </w:tcMar>
            <w:vAlign w:val="top"/>
          </w:tcPr>
          <w:p>
            <w:pPr>
              <w:jc w:val="right"/>
              <w:rPr>
                <w:b w:val="0"/>
                <w:sz w:val="16"/>
              </w:rPr>
            </w:pPr>
            <w:r>
              <w:rPr>
                <w:b w:val="0"/>
                <w:sz w:val="16"/>
              </w:rPr>
              <w:t>42 500,00</w:t>
            </w:r>
          </w:p>
        </w:tc>
        <w:tc>
          <w:tcPr>
            <w:tcW w:w="650" w:type="pct"/>
            <w:shd w:val="clear" w:color="auto" w:fill="FFFFFF"/>
            <w:noWrap w:val="0"/>
            <w:tcMar>
              <w:top w:w="60" w:type="dxa"/>
            </w:tcMar>
            <w:vAlign w:val="top"/>
          </w:tcPr>
          <w:p>
            <w:pPr>
              <w:jc w:val="right"/>
              <w:rPr>
                <w:b w:val="0"/>
                <w:sz w:val="16"/>
              </w:rPr>
            </w:pPr>
            <w:r>
              <w:rPr>
                <w:b w:val="0"/>
                <w:sz w:val="16"/>
              </w:rPr>
              <w:t>7 500,00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50 000,00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M04 — Инвестиции в материални активи (член 17)</w:t>
            </w:r>
          </w:p>
        </w:tc>
        <w:tc>
          <w:tcPr>
            <w:tcW w:w="1200" w:type="pct"/>
            <w:shd w:val="clear" w:color="auto" w:fill="FFFFFF"/>
            <w:noWrap w:val="0"/>
            <w:tcMar>
              <w:top w:w="60" w:type="dxa"/>
            </w:tcMar>
            <w:vAlign w:val="top"/>
          </w:tcPr>
          <w:p>
            <w:pPr>
              <w:jc w:val="left"/>
              <w:rPr>
                <w:b w:val="0"/>
                <w:sz w:val="16"/>
              </w:rPr>
            </w:pPr>
            <w:r>
              <w:rPr>
                <w:b w:val="0"/>
                <w:sz w:val="16"/>
              </w:rPr>
              <w:t>Подпомагане на предприятия за преработка, маркетинг на продукти, които не са включени в Анекс І от Договора за функциониране на ЕС</w:t>
            </w:r>
          </w:p>
        </w:tc>
        <w:tc>
          <w:tcPr>
            <w:tcW w:w="650" w:type="pct"/>
            <w:shd w:val="clear" w:color="auto" w:fill="FFFFFF"/>
            <w:noWrap w:val="0"/>
            <w:tcMar>
              <w:top w:w="60" w:type="dxa"/>
            </w:tcMar>
            <w:vAlign w:val="top"/>
          </w:tcPr>
          <w:p>
            <w:pPr>
              <w:jc w:val="right"/>
              <w:rPr>
                <w:b w:val="0"/>
                <w:sz w:val="16"/>
              </w:rPr>
            </w:pPr>
            <w:r>
              <w:rPr>
                <w:b w:val="0"/>
                <w:sz w:val="16"/>
              </w:rPr>
              <w:t>63 750 000,00</w:t>
            </w:r>
          </w:p>
        </w:tc>
        <w:tc>
          <w:tcPr>
            <w:tcW w:w="650" w:type="pct"/>
            <w:shd w:val="clear" w:color="auto" w:fill="FFFFFF"/>
            <w:noWrap w:val="0"/>
            <w:tcMar>
              <w:top w:w="60" w:type="dxa"/>
            </w:tcMar>
            <w:vAlign w:val="top"/>
          </w:tcPr>
          <w:p>
            <w:pPr>
              <w:jc w:val="right"/>
              <w:rPr>
                <w:b w:val="0"/>
                <w:sz w:val="16"/>
              </w:rPr>
            </w:pPr>
            <w:r>
              <w:rPr>
                <w:b w:val="0"/>
                <w:sz w:val="16"/>
              </w:rPr>
              <w:t>11 250 000,00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75 000 000,00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M06 — Развитие на стопанства и предприятия (член 19)</w:t>
            </w:r>
          </w:p>
        </w:tc>
        <w:tc>
          <w:tcPr>
            <w:tcW w:w="1200" w:type="pct"/>
            <w:shd w:val="clear" w:color="auto" w:fill="FFFFFF"/>
            <w:noWrap w:val="0"/>
            <w:tcMar>
              <w:top w:w="60" w:type="dxa"/>
            </w:tcMar>
            <w:vAlign w:val="top"/>
          </w:tcPr>
          <w:p>
            <w:pPr>
              <w:jc w:val="left"/>
              <w:rPr>
                <w:b w:val="0"/>
                <w:sz w:val="16"/>
              </w:rPr>
            </w:pPr>
            <w:r>
              <w:rPr>
                <w:b w:val="0"/>
                <w:sz w:val="16"/>
              </w:rPr>
              <w:t xml:space="preserve">Стартова помощ за неземеделски дейности в селските райони и инвестиционна подкрепа за неземеделски дейности, в т.ч. и за тематичната подпрограма </w:t>
            </w:r>
          </w:p>
        </w:tc>
        <w:tc>
          <w:tcPr>
            <w:tcW w:w="650" w:type="pct"/>
            <w:shd w:val="clear" w:color="auto" w:fill="FFFFFF"/>
            <w:noWrap w:val="0"/>
            <w:tcMar>
              <w:top w:w="60" w:type="dxa"/>
            </w:tcMar>
            <w:vAlign w:val="top"/>
          </w:tcPr>
          <w:p>
            <w:pPr>
              <w:jc w:val="right"/>
              <w:rPr>
                <w:b w:val="0"/>
                <w:sz w:val="16"/>
              </w:rPr>
            </w:pPr>
            <w:r>
              <w:rPr>
                <w:b w:val="0"/>
                <w:sz w:val="16"/>
              </w:rPr>
              <w:t>113 222 370,40</w:t>
            </w:r>
          </w:p>
        </w:tc>
        <w:tc>
          <w:tcPr>
            <w:tcW w:w="650" w:type="pct"/>
            <w:shd w:val="clear" w:color="auto" w:fill="FFFFFF"/>
            <w:noWrap w:val="0"/>
            <w:tcMar>
              <w:top w:w="60" w:type="dxa"/>
            </w:tcMar>
            <w:vAlign w:val="top"/>
          </w:tcPr>
          <w:p>
            <w:pPr>
              <w:jc w:val="right"/>
              <w:rPr>
                <w:b w:val="0"/>
                <w:sz w:val="16"/>
              </w:rPr>
            </w:pPr>
            <w:r>
              <w:rPr>
                <w:b w:val="0"/>
                <w:sz w:val="16"/>
              </w:rPr>
              <w:t>19 980 418,30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133 202 788,70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200" w:type="pct"/>
            <w:shd w:val="clear" w:color="auto" w:fill="FFFFFF"/>
            <w:noWrap w:val="0"/>
            <w:tcMar>
              <w:top w:w="60" w:type="dxa"/>
            </w:tcMar>
            <w:vAlign w:val="top"/>
          </w:tcPr>
          <w:p>
            <w:pPr>
              <w:jc w:val="left"/>
              <w:rPr>
                <w:b w:val="0"/>
                <w:sz w:val="16"/>
              </w:rPr>
            </w:pPr>
            <w:r>
              <w:rPr>
                <w:b w:val="0"/>
                <w:sz w:val="16"/>
              </w:rPr>
              <w:t>Изграждане, реконструкция и/или рехабилитация на ВиК системи и съоръжения и инвестиции в създаването, подобряването или разширяването на малка по мащаби инфраструктура</w:t>
            </w:r>
          </w:p>
        </w:tc>
        <w:tc>
          <w:tcPr>
            <w:tcW w:w="650" w:type="pct"/>
            <w:shd w:val="clear" w:color="auto" w:fill="FFFFFF"/>
            <w:noWrap w:val="0"/>
            <w:tcMar>
              <w:top w:w="60" w:type="dxa"/>
            </w:tcMar>
            <w:vAlign w:val="top"/>
          </w:tcPr>
          <w:p>
            <w:pPr>
              <w:jc w:val="right"/>
              <w:rPr>
                <w:b w:val="0"/>
                <w:sz w:val="16"/>
              </w:rPr>
            </w:pPr>
            <w:r>
              <w:rPr>
                <w:b w:val="0"/>
                <w:sz w:val="16"/>
              </w:rPr>
              <w:t>229 500 000,00</w:t>
            </w:r>
          </w:p>
        </w:tc>
        <w:tc>
          <w:tcPr>
            <w:tcW w:w="650" w:type="pct"/>
            <w:shd w:val="clear" w:color="auto" w:fill="FFFFFF"/>
            <w:noWrap w:val="0"/>
            <w:tcMar>
              <w:top w:w="60" w:type="dxa"/>
            </w:tcMar>
            <w:vAlign w:val="top"/>
          </w:tcPr>
          <w:p>
            <w:pPr>
              <w:jc w:val="right"/>
              <w:rPr>
                <w:b w:val="0"/>
                <w:sz w:val="16"/>
              </w:rPr>
            </w:pPr>
            <w:r>
              <w:rPr>
                <w:b w:val="0"/>
                <w:sz w:val="16"/>
              </w:rPr>
              <w:t>40 500 000,00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270 000 000,00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200" w:type="pct"/>
            <w:shd w:val="clear" w:color="auto" w:fill="FFFFFF"/>
            <w:noWrap w:val="0"/>
            <w:tcMar>
              <w:top w:w="60" w:type="dxa"/>
            </w:tcMar>
            <w:vAlign w:val="top"/>
          </w:tcPr>
          <w:p>
            <w:pPr>
              <w:jc w:val="left"/>
              <w:rPr>
                <w:b w:val="0"/>
                <w:sz w:val="16"/>
              </w:rPr>
            </w:pPr>
            <w:r>
              <w:rPr>
                <w:b w:val="0"/>
                <w:sz w:val="16"/>
              </w:rPr>
              <w:t>Инвестиции за публично ползване в инфраструктура за отдих, туристическа инфраструктура</w:t>
            </w:r>
          </w:p>
        </w:tc>
        <w:tc>
          <w:tcPr>
            <w:tcW w:w="650" w:type="pct"/>
            <w:shd w:val="clear" w:color="auto" w:fill="FFFFFF"/>
            <w:noWrap w:val="0"/>
            <w:tcMar>
              <w:top w:w="60" w:type="dxa"/>
            </w:tcMar>
            <w:vAlign w:val="top"/>
          </w:tcPr>
          <w:p>
            <w:pPr>
              <w:jc w:val="right"/>
              <w:rPr>
                <w:b w:val="0"/>
                <w:sz w:val="16"/>
              </w:rPr>
            </w:pPr>
            <w:r>
              <w:rPr>
                <w:b w:val="0"/>
                <w:sz w:val="16"/>
              </w:rPr>
              <w:t>47 367 023,80</w:t>
            </w:r>
          </w:p>
        </w:tc>
        <w:tc>
          <w:tcPr>
            <w:tcW w:w="650" w:type="pct"/>
            <w:shd w:val="clear" w:color="auto" w:fill="FFFFFF"/>
            <w:noWrap w:val="0"/>
            <w:tcMar>
              <w:top w:w="60" w:type="dxa"/>
            </w:tcMar>
            <w:vAlign w:val="top"/>
          </w:tcPr>
          <w:p>
            <w:pPr>
              <w:jc w:val="right"/>
              <w:rPr>
                <w:b w:val="0"/>
                <w:sz w:val="16"/>
              </w:rPr>
            </w:pPr>
            <w:r>
              <w:rPr>
                <w:b w:val="0"/>
                <w:sz w:val="16"/>
              </w:rPr>
              <w:t>8 358 886,55</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55 725 910,35</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200" w:type="pct"/>
            <w:shd w:val="clear" w:color="auto" w:fill="FFFFFF"/>
            <w:noWrap w:val="0"/>
            <w:tcMar>
              <w:top w:w="60" w:type="dxa"/>
            </w:tcMar>
            <w:vAlign w:val="top"/>
          </w:tcPr>
          <w:p>
            <w:pPr>
              <w:jc w:val="left"/>
              <w:rPr>
                <w:b w:val="0"/>
                <w:sz w:val="16"/>
              </w:rPr>
            </w:pPr>
            <w:r>
              <w:rPr>
                <w:b w:val="0"/>
                <w:sz w:val="16"/>
              </w:rPr>
              <w:t>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зоните със слабо развит местен пазар</w:t>
            </w:r>
          </w:p>
        </w:tc>
        <w:tc>
          <w:tcPr>
            <w:tcW w:w="650" w:type="pct"/>
            <w:shd w:val="clear" w:color="auto" w:fill="FFFFFF"/>
            <w:noWrap w:val="0"/>
            <w:tcMar>
              <w:top w:w="60" w:type="dxa"/>
            </w:tcMar>
            <w:vAlign w:val="top"/>
          </w:tcPr>
          <w:p>
            <w:pPr>
              <w:jc w:val="right"/>
              <w:rPr>
                <w:b w:val="0"/>
                <w:sz w:val="16"/>
              </w:rPr>
            </w:pPr>
            <w:r>
              <w:rPr>
                <w:b w:val="0"/>
                <w:sz w:val="16"/>
              </w:rPr>
              <w:t>25 500 000,00</w:t>
            </w:r>
          </w:p>
        </w:tc>
        <w:tc>
          <w:tcPr>
            <w:tcW w:w="650" w:type="pct"/>
            <w:shd w:val="clear" w:color="auto" w:fill="FFFFFF"/>
            <w:noWrap w:val="0"/>
            <w:tcMar>
              <w:top w:w="60" w:type="dxa"/>
            </w:tcMar>
            <w:vAlign w:val="top"/>
          </w:tcPr>
          <w:p>
            <w:pPr>
              <w:jc w:val="right"/>
              <w:rPr>
                <w:b w:val="0"/>
                <w:sz w:val="16"/>
              </w:rPr>
            </w:pPr>
            <w:r>
              <w:rPr>
                <w:b w:val="0"/>
                <w:sz w:val="16"/>
              </w:rPr>
              <w:t>4 500 000,00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30 000 000,00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 xml:space="preserve">Помощ за залесяване и създаване на гори </w:t>
            </w:r>
          </w:p>
        </w:tc>
        <w:tc>
          <w:tcPr>
            <w:tcW w:w="650" w:type="pct"/>
            <w:shd w:val="clear" w:color="auto" w:fill="FFFFFF"/>
            <w:noWrap w:val="0"/>
            <w:tcMar>
              <w:top w:w="60" w:type="dxa"/>
            </w:tcMar>
            <w:vAlign w:val="top"/>
          </w:tcPr>
          <w:p>
            <w:pPr>
              <w:jc w:val="right"/>
              <w:rPr>
                <w:b w:val="0"/>
                <w:sz w:val="16"/>
              </w:rPr>
            </w:pPr>
            <w:r>
              <w:rPr>
                <w:b w:val="0"/>
                <w:sz w:val="16"/>
              </w:rPr>
              <w:t>6 913 334,00</w:t>
            </w:r>
          </w:p>
        </w:tc>
        <w:tc>
          <w:tcPr>
            <w:tcW w:w="650" w:type="pct"/>
            <w:shd w:val="clear" w:color="auto" w:fill="FFFFFF"/>
            <w:noWrap w:val="0"/>
            <w:tcMar>
              <w:top w:w="60" w:type="dxa"/>
            </w:tcMar>
            <w:vAlign w:val="top"/>
          </w:tcPr>
          <w:p>
            <w:pPr>
              <w:jc w:val="right"/>
              <w:rPr>
                <w:b w:val="0"/>
                <w:sz w:val="16"/>
              </w:rPr>
            </w:pPr>
            <w:r>
              <w:rPr>
                <w:b w:val="0"/>
                <w:sz w:val="16"/>
              </w:rPr>
              <w:t>2 304 444,00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9 217 778,00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Помощ за инвестиции в технологии за лесовъдство и в преработката, мобилизирането и търговията на горски продукти</w:t>
            </w:r>
          </w:p>
        </w:tc>
        <w:tc>
          <w:tcPr>
            <w:tcW w:w="650" w:type="pct"/>
            <w:shd w:val="clear" w:color="auto" w:fill="FFFFFF"/>
            <w:noWrap w:val="0"/>
            <w:tcMar>
              <w:top w:w="60" w:type="dxa"/>
            </w:tcMar>
            <w:vAlign w:val="top"/>
          </w:tcPr>
          <w:p>
            <w:pPr>
              <w:jc w:val="right"/>
              <w:rPr>
                <w:b w:val="0"/>
                <w:sz w:val="16"/>
              </w:rPr>
            </w:pPr>
            <w:r>
              <w:rPr>
                <w:b w:val="0"/>
                <w:sz w:val="16"/>
              </w:rPr>
              <w:t>15 300 000,00</w:t>
            </w:r>
          </w:p>
        </w:tc>
        <w:tc>
          <w:tcPr>
            <w:tcW w:w="650" w:type="pct"/>
            <w:shd w:val="clear" w:color="auto" w:fill="FFFFFF"/>
            <w:noWrap w:val="0"/>
            <w:tcMar>
              <w:top w:w="60" w:type="dxa"/>
            </w:tcMar>
            <w:vAlign w:val="top"/>
          </w:tcPr>
          <w:p>
            <w:pPr>
              <w:jc w:val="right"/>
              <w:rPr>
                <w:b w:val="0"/>
                <w:sz w:val="16"/>
              </w:rPr>
            </w:pPr>
            <w:r>
              <w:rPr>
                <w:b w:val="0"/>
                <w:sz w:val="16"/>
              </w:rPr>
              <w:t>2 700 000,00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18 000 000,00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Помощ за инвестиции за подобряване на устойчивостта и екологичната стойност на горските екосистеми</w:t>
            </w:r>
          </w:p>
        </w:tc>
        <w:tc>
          <w:tcPr>
            <w:tcW w:w="650" w:type="pct"/>
            <w:shd w:val="clear" w:color="auto" w:fill="FFFFFF"/>
            <w:noWrap w:val="0"/>
            <w:tcMar>
              <w:top w:w="60" w:type="dxa"/>
            </w:tcMar>
            <w:vAlign w:val="top"/>
          </w:tcPr>
          <w:p>
            <w:pPr>
              <w:jc w:val="right"/>
              <w:rPr>
                <w:b w:val="0"/>
                <w:sz w:val="16"/>
              </w:rPr>
            </w:pPr>
            <w:r>
              <w:rPr>
                <w:b w:val="0"/>
                <w:sz w:val="16"/>
              </w:rPr>
              <w:t>9 562 500,00</w:t>
            </w:r>
          </w:p>
        </w:tc>
        <w:tc>
          <w:tcPr>
            <w:tcW w:w="650" w:type="pct"/>
            <w:shd w:val="clear" w:color="auto" w:fill="FFFFFF"/>
            <w:noWrap w:val="0"/>
            <w:tcMar>
              <w:top w:w="60" w:type="dxa"/>
            </w:tcMar>
            <w:vAlign w:val="top"/>
          </w:tcPr>
          <w:p>
            <w:pPr>
              <w:jc w:val="right"/>
              <w:rPr>
                <w:b w:val="0"/>
                <w:sz w:val="16"/>
              </w:rPr>
            </w:pPr>
            <w:r>
              <w:rPr>
                <w:b w:val="0"/>
                <w:sz w:val="16"/>
              </w:rPr>
              <w:t>1 687 500,00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11 250 000,00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Помощ за предотвратяване и възстановяване на щети по горите от горски пожари, природни бедствия, неблагоприятни климатични събития и вредители по растенията и катастрофични събития.</w:t>
            </w:r>
          </w:p>
        </w:tc>
        <w:tc>
          <w:tcPr>
            <w:tcW w:w="650" w:type="pct"/>
            <w:shd w:val="clear" w:color="auto" w:fill="FFFFFF"/>
            <w:noWrap w:val="0"/>
            <w:tcMar>
              <w:top w:w="60" w:type="dxa"/>
            </w:tcMar>
            <w:vAlign w:val="top"/>
          </w:tcPr>
          <w:p>
            <w:pPr>
              <w:jc w:val="right"/>
              <w:rPr>
                <w:b w:val="0"/>
                <w:sz w:val="16"/>
              </w:rPr>
            </w:pPr>
            <w:r>
              <w:rPr>
                <w:b w:val="0"/>
                <w:sz w:val="16"/>
              </w:rPr>
              <w:t>21 300 657,00</w:t>
            </w:r>
          </w:p>
        </w:tc>
        <w:tc>
          <w:tcPr>
            <w:tcW w:w="650" w:type="pct"/>
            <w:shd w:val="clear" w:color="auto" w:fill="FFFFFF"/>
            <w:noWrap w:val="0"/>
            <w:tcMar>
              <w:top w:w="60" w:type="dxa"/>
            </w:tcMar>
            <w:vAlign w:val="top"/>
          </w:tcPr>
          <w:p>
            <w:pPr>
              <w:jc w:val="right"/>
              <w:rPr>
                <w:b w:val="0"/>
                <w:sz w:val="16"/>
              </w:rPr>
            </w:pPr>
            <w:r>
              <w:rPr>
                <w:b w:val="0"/>
                <w:sz w:val="16"/>
              </w:rPr>
              <w:t>3 758 597,00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25 059 254,00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M09 — Създаване на групи и организации на производителите (член 27)</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M10 — Агроекология и климат (член 28)</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М11 — Биологично земеделие (член 29)</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M12 — Плащания по „Натура 2000“ и Рамковата директива за водите (член 30)</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М13 — Плащания за райони, изправени пред природни или други специфични ограничения (член 31)</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M14 — Хуманно отношение към животните (член 33)</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M16 — Сътрудничество (член 35)</w:t>
            </w:r>
          </w:p>
        </w:tc>
        <w:tc>
          <w:tcPr>
            <w:tcW w:w="1200" w:type="pct"/>
            <w:shd w:val="clear" w:color="auto" w:fill="FFFFFF"/>
            <w:noWrap w:val="0"/>
            <w:tcMar>
              <w:top w:w="60" w:type="dxa"/>
            </w:tcMar>
            <w:vAlign w:val="top"/>
          </w:tcPr>
          <w:p>
            <w:pPr>
              <w:jc w:val="left"/>
              <w:rPr>
                <w:b w:val="0"/>
                <w:sz w:val="16"/>
              </w:rPr>
            </w:pPr>
            <w:r>
              <w:rPr>
                <w:b w:val="0"/>
                <w:sz w:val="16"/>
              </w:rPr>
              <w:t>Подкрепа за пилотни проекти и за развитие на нови продукти, практики, процеси и технологии</w:t>
            </w:r>
          </w:p>
        </w:tc>
        <w:tc>
          <w:tcPr>
            <w:tcW w:w="650" w:type="pct"/>
            <w:shd w:val="clear" w:color="auto" w:fill="FFFFFF"/>
            <w:noWrap w:val="0"/>
            <w:tcMar>
              <w:top w:w="60" w:type="dxa"/>
            </w:tcMar>
            <w:vAlign w:val="top"/>
          </w:tcPr>
          <w:p>
            <w:pPr>
              <w:jc w:val="right"/>
              <w:rPr>
                <w:b w:val="0"/>
                <w:sz w:val="16"/>
              </w:rPr>
            </w:pPr>
            <w:r>
              <w:rPr>
                <w:b w:val="0"/>
                <w:sz w:val="16"/>
              </w:rPr>
              <w:t>4 116 351,60</w:t>
            </w:r>
          </w:p>
        </w:tc>
        <w:tc>
          <w:tcPr>
            <w:tcW w:w="650" w:type="pct"/>
            <w:shd w:val="clear" w:color="auto" w:fill="FFFFFF"/>
            <w:noWrap w:val="0"/>
            <w:tcMar>
              <w:top w:w="60" w:type="dxa"/>
            </w:tcMar>
            <w:vAlign w:val="top"/>
          </w:tcPr>
          <w:p>
            <w:pPr>
              <w:jc w:val="right"/>
              <w:rPr>
                <w:b w:val="0"/>
                <w:sz w:val="16"/>
              </w:rPr>
            </w:pPr>
            <w:r>
              <w:rPr>
                <w:b w:val="0"/>
                <w:sz w:val="16"/>
              </w:rPr>
              <w:t>457 372,40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4 573 724,00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M16 — Сътрудничество (член 35)</w:t>
            </w:r>
          </w:p>
        </w:tc>
        <w:tc>
          <w:tcPr>
            <w:tcW w:w="1200" w:type="pct"/>
            <w:shd w:val="clear" w:color="auto" w:fill="FFFFFF"/>
            <w:noWrap w:val="0"/>
            <w:tcMar>
              <w:top w:w="60" w:type="dxa"/>
            </w:tcMar>
            <w:vAlign w:val="top"/>
          </w:tcPr>
          <w:p>
            <w:pPr>
              <w:jc w:val="left"/>
              <w:rPr>
                <w:b w:val="0"/>
                <w:sz w:val="16"/>
              </w:rPr>
            </w:pPr>
            <w:r>
              <w:rPr>
                <w:b w:val="0"/>
                <w:sz w:val="16"/>
              </w:rPr>
              <w:t>Подкрепа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Подкрепа за дейности на местно равнище за популяризиране, свързани с развитието на къс</w:t>
            </w:r>
          </w:p>
        </w:tc>
        <w:tc>
          <w:tcPr>
            <w:tcW w:w="650" w:type="pct"/>
            <w:shd w:val="clear" w:color="auto" w:fill="FFFFFF"/>
            <w:noWrap w:val="0"/>
            <w:tcMar>
              <w:top w:w="60" w:type="dxa"/>
            </w:tcMar>
            <w:vAlign w:val="top"/>
          </w:tcPr>
          <w:p>
            <w:pPr>
              <w:jc w:val="right"/>
              <w:rPr>
                <w:b w:val="0"/>
                <w:sz w:val="16"/>
              </w:rPr>
            </w:pPr>
            <w:r>
              <w:rPr>
                <w:b w:val="0"/>
                <w:sz w:val="16"/>
              </w:rPr>
              <w:t>7 200 000,00</w:t>
            </w:r>
          </w:p>
        </w:tc>
        <w:tc>
          <w:tcPr>
            <w:tcW w:w="650" w:type="pct"/>
            <w:shd w:val="clear" w:color="auto" w:fill="FFFFFF"/>
            <w:noWrap w:val="0"/>
            <w:tcMar>
              <w:top w:w="60" w:type="dxa"/>
            </w:tcMar>
            <w:vAlign w:val="top"/>
          </w:tcPr>
          <w:p>
            <w:pPr>
              <w:jc w:val="right"/>
              <w:rPr>
                <w:b w:val="0"/>
                <w:sz w:val="16"/>
              </w:rPr>
            </w:pPr>
            <w:r>
              <w:rPr>
                <w:b w:val="0"/>
                <w:sz w:val="16"/>
              </w:rPr>
              <w:t>800 000,00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8 000 000,00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M19 — Подкрепа за местно развитие по LEADER (ВОМР — водено от общностите местно развитие) (член 35 от Регламент (ЕС) № 1303/2013)</w:t>
            </w:r>
          </w:p>
        </w:tc>
        <w:tc>
          <w:tcPr>
            <w:tcW w:w="1200" w:type="pct"/>
            <w:shd w:val="clear" w:color="auto" w:fill="FFFFFF"/>
            <w:noWrap w:val="0"/>
            <w:tcMar>
              <w:top w:w="60" w:type="dxa"/>
            </w:tcMar>
            <w:vAlign w:val="top"/>
          </w:tcPr>
          <w:p>
            <w:pPr>
              <w:jc w:val="left"/>
              <w:rPr>
                <w:b w:val="0"/>
                <w:sz w:val="16"/>
              </w:rPr>
            </w:pPr>
            <w:r>
              <w:rPr>
                <w:b w:val="0"/>
                <w:sz w:val="16"/>
              </w:rPr>
              <w:t>Прилагане на операции в рамките на стратегии за водено от общностите местно развитие Подготовка и изпълнение на дейности за сътрудничество на местни инициативни групи</w:t>
            </w:r>
          </w:p>
        </w:tc>
        <w:tc>
          <w:tcPr>
            <w:tcW w:w="650" w:type="pct"/>
            <w:shd w:val="clear" w:color="auto" w:fill="FFFFFF"/>
            <w:noWrap w:val="0"/>
            <w:tcMar>
              <w:top w:w="60" w:type="dxa"/>
            </w:tcMar>
            <w:vAlign w:val="top"/>
          </w:tcPr>
          <w:p>
            <w:pPr>
              <w:jc w:val="right"/>
              <w:rPr>
                <w:b w:val="0"/>
                <w:sz w:val="16"/>
              </w:rPr>
            </w:pPr>
            <w:r>
              <w:rPr>
                <w:b w:val="0"/>
                <w:sz w:val="16"/>
              </w:rPr>
              <w:t>86 997 487,58</w:t>
            </w:r>
          </w:p>
        </w:tc>
        <w:tc>
          <w:tcPr>
            <w:tcW w:w="650" w:type="pct"/>
            <w:shd w:val="clear" w:color="auto" w:fill="FFFFFF"/>
            <w:noWrap w:val="0"/>
            <w:tcMar>
              <w:top w:w="60" w:type="dxa"/>
            </w:tcMar>
            <w:vAlign w:val="top"/>
          </w:tcPr>
          <w:p>
            <w:pPr>
              <w:jc w:val="right"/>
              <w:rPr>
                <w:b w:val="0"/>
                <w:sz w:val="16"/>
              </w:rPr>
            </w:pPr>
            <w:r>
              <w:rPr>
                <w:b w:val="0"/>
                <w:sz w:val="16"/>
              </w:rPr>
              <w:t>9 666 387,51</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96 663 875,09</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200" w:type="pct"/>
            <w:shd w:val="clear" w:color="auto" w:fill="FFFFFF"/>
            <w:noWrap w:val="0"/>
            <w:tcMar>
              <w:top w:w="60" w:type="dxa"/>
            </w:tcMar>
            <w:vAlign w:val="top"/>
          </w:tcPr>
          <w:p>
            <w:pPr>
              <w:jc w:val="left"/>
              <w:rPr>
                <w:b w:val="0"/>
                <w:sz w:val="16"/>
              </w:rPr>
            </w:pPr>
            <w:r>
              <w:rPr>
                <w:b w:val="0"/>
                <w:sz w:val="16"/>
              </w:rPr>
              <w:t>Изключителна и временна подкрепа за МСП и групи и организации на производители във връзка с COVID-19, извършващи преработка на продукти от приложение № І от ДФЕС в продукти извън приложение № І от ДФЕС или памук</w:t>
            </w:r>
          </w:p>
        </w:tc>
        <w:tc>
          <w:tcPr>
            <w:tcW w:w="650" w:type="pct"/>
            <w:shd w:val="clear" w:color="auto" w:fill="FFFFFF"/>
            <w:noWrap w:val="0"/>
            <w:tcMar>
              <w:top w:w="60" w:type="dxa"/>
            </w:tcMar>
            <w:vAlign w:val="top"/>
          </w:tcPr>
          <w:p>
            <w:pPr>
              <w:jc w:val="right"/>
              <w:rPr>
                <w:b w:val="0"/>
                <w:sz w:val="16"/>
              </w:rPr>
            </w:pPr>
            <w:r>
              <w:rPr>
                <w:b w:val="0"/>
                <w:sz w:val="16"/>
              </w:rPr>
              <w:t>4 250 000,00</w:t>
            </w:r>
          </w:p>
        </w:tc>
        <w:tc>
          <w:tcPr>
            <w:tcW w:w="650" w:type="pct"/>
            <w:shd w:val="clear" w:color="auto" w:fill="FFFFFF"/>
            <w:noWrap w:val="0"/>
            <w:tcMar>
              <w:top w:w="60" w:type="dxa"/>
            </w:tcMar>
            <w:vAlign w:val="top"/>
          </w:tcPr>
          <w:p>
            <w:pPr>
              <w:jc w:val="right"/>
              <w:rPr>
                <w:b w:val="0"/>
                <w:sz w:val="16"/>
              </w:rPr>
            </w:pPr>
            <w:r>
              <w:rPr>
                <w:b w:val="0"/>
                <w:sz w:val="16"/>
              </w:rPr>
              <w:t>750 000,00</w:t>
            </w:r>
          </w:p>
        </w:tc>
        <w:tc>
          <w:tcPr>
            <w:tcW w:w="650" w:type="pct"/>
            <w:shd w:val="clear" w:color="auto" w:fill="FFFFFF"/>
            <w:noWrap w:val="0"/>
            <w:tcMar>
              <w:top w:w="60" w:type="dxa"/>
            </w:tcMar>
            <w:vAlign w:val="top"/>
          </w:tcPr>
          <w:p>
            <w:pPr>
              <w:jc w:val="right"/>
              <w:rPr>
                <w:b w:val="0"/>
                <w:sz w:val="16"/>
              </w:rPr>
            </w:pPr>
            <w:r>
              <w:rPr>
                <w:b w:val="0"/>
                <w:sz w:val="16"/>
              </w:rPr>
              <w:t>5 000 000,00</w:t>
            </w:r>
          </w:p>
        </w:tc>
        <w:tc>
          <w:tcPr>
            <w:tcW w:w="650" w:type="pct"/>
            <w:shd w:val="clear" w:color="auto" w:fill="FFFFFF"/>
            <w:noWrap w:val="0"/>
            <w:tcMar>
              <w:top w:w="60" w:type="dxa"/>
            </w:tcMar>
            <w:vAlign w:val="top"/>
          </w:tcPr>
          <w:p>
            <w:pPr>
              <w:jc w:val="right"/>
              <w:rPr>
                <w:b w:val="0"/>
                <w:sz w:val="16"/>
              </w:rPr>
            </w:pPr>
            <w:r>
              <w:rPr>
                <w:b w:val="0"/>
                <w:sz w:val="16"/>
              </w:rPr>
              <w:t>10 000 000,00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M22 — Извънредно временно подпомагане за земеделските стопани и МСП, които са особено засегнати от последиците от руското нашествие в Украйна (член 39в)</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sz w:val="16"/>
              </w:rPr>
            </w:pPr>
          </w:p>
        </w:tc>
      </w:tr>
      <w:tr>
        <w:tblPrEx>
          <w:tblW w:w="5000" w:type="pct"/>
          <w:tblCellMar>
            <w:left w:w="108" w:type="dxa"/>
            <w:right w:w="108" w:type="dxa"/>
          </w:tblCellMar>
        </w:tblPrEx>
        <w:tc>
          <w:tcPr>
            <w:tcW w:w="1200" w:type="pct"/>
            <w:shd w:val="clear" w:color="auto" w:fill="C0C0C0"/>
            <w:noWrap w:val="0"/>
            <w:tcMar>
              <w:top w:w="60" w:type="dxa"/>
            </w:tcMar>
            <w:vAlign w:val="top"/>
          </w:tcPr>
          <w:p>
            <w:pPr>
              <w:jc w:val="right"/>
              <w:rPr>
                <w:b/>
                <w:sz w:val="16"/>
              </w:rPr>
            </w:pPr>
            <w:r>
              <w:rPr>
                <w:b/>
                <w:sz w:val="16"/>
              </w:rPr>
              <w:t>Общо (в EUR)</w:t>
            </w:r>
          </w:p>
        </w:tc>
        <w:tc>
          <w:tcPr>
            <w:tcW w:w="1200" w:type="pct"/>
            <w:shd w:val="clear" w:color="auto" w:fill="C0C0C0"/>
            <w:noWrap w:val="0"/>
            <w:tcMar>
              <w:top w:w="60" w:type="dxa"/>
            </w:tcMar>
            <w:vAlign w:val="top"/>
          </w:tcPr>
          <w:p>
            <w:pPr>
              <w:jc w:val="right"/>
              <w:rPr>
                <w:b/>
                <w:sz w:val="16"/>
              </w:rPr>
            </w:pPr>
          </w:p>
        </w:tc>
        <w:tc>
          <w:tcPr>
            <w:tcW w:w="650" w:type="pct"/>
            <w:shd w:val="clear" w:color="auto" w:fill="C0C0C0"/>
            <w:noWrap w:val="0"/>
            <w:tcMar>
              <w:top w:w="60" w:type="dxa"/>
            </w:tcMar>
            <w:vAlign w:val="top"/>
          </w:tcPr>
          <w:p>
            <w:pPr>
              <w:jc w:val="right"/>
              <w:rPr>
                <w:b/>
                <w:sz w:val="16"/>
              </w:rPr>
            </w:pPr>
            <w:r>
              <w:rPr>
                <w:b/>
                <w:sz w:val="16"/>
              </w:rPr>
              <w:t>649 372 224,38</w:t>
            </w:r>
          </w:p>
        </w:tc>
        <w:tc>
          <w:tcPr>
            <w:tcW w:w="650" w:type="pct"/>
            <w:shd w:val="clear" w:color="auto" w:fill="C0C0C0"/>
            <w:noWrap w:val="0"/>
            <w:tcMar>
              <w:top w:w="60" w:type="dxa"/>
            </w:tcMar>
            <w:vAlign w:val="top"/>
          </w:tcPr>
          <w:p>
            <w:pPr>
              <w:jc w:val="right"/>
              <w:rPr>
                <w:b/>
                <w:sz w:val="16"/>
              </w:rPr>
            </w:pPr>
            <w:r>
              <w:rPr>
                <w:b/>
                <w:sz w:val="16"/>
              </w:rPr>
              <w:t>108 371 105,76</w:t>
            </w:r>
          </w:p>
        </w:tc>
        <w:tc>
          <w:tcPr>
            <w:tcW w:w="650" w:type="pct"/>
            <w:shd w:val="clear" w:color="auto" w:fill="C0C0C0"/>
            <w:noWrap w:val="0"/>
            <w:tcMar>
              <w:top w:w="60" w:type="dxa"/>
            </w:tcMar>
            <w:vAlign w:val="top"/>
          </w:tcPr>
          <w:p>
            <w:pPr>
              <w:jc w:val="right"/>
              <w:rPr>
                <w:b/>
                <w:sz w:val="16"/>
              </w:rPr>
            </w:pPr>
            <w:r>
              <w:rPr>
                <w:b/>
                <w:sz w:val="16"/>
              </w:rPr>
              <w:t>5 000 000,00</w:t>
            </w:r>
          </w:p>
        </w:tc>
        <w:tc>
          <w:tcPr>
            <w:tcW w:w="650" w:type="pct"/>
            <w:shd w:val="clear" w:color="auto" w:fill="C0C0C0"/>
            <w:noWrap w:val="0"/>
            <w:tcMar>
              <w:top w:w="60" w:type="dxa"/>
            </w:tcMar>
            <w:vAlign w:val="top"/>
          </w:tcPr>
          <w:p>
            <w:pPr>
              <w:jc w:val="right"/>
              <w:rPr>
                <w:b w:val="0"/>
                <w:sz w:val="16"/>
              </w:rPr>
            </w:pPr>
            <w:r>
              <w:rPr>
                <w:b/>
                <w:sz w:val="16"/>
              </w:rPr>
              <w:t>762 743 330,14</w:t>
            </w:r>
          </w:p>
        </w:tc>
      </w:tr>
    </w:tbl>
    <w:p>
      <w:pPr>
        <w:rPr>
          <w:b/>
        </w:rPr>
        <w:sectPr>
          <w:pgSz w:w="15840" w:h="12240" w:orient="landscape"/>
          <w:pgMar w:top="900" w:right="900" w:bottom="900" w:left="900" w:header="720" w:footer="720"/>
          <w:cols w:space="720"/>
        </w:sectPr>
      </w:pPr>
    </w:p>
    <w:p/>
    <w:p>
      <w:pPr>
        <w:pStyle w:val="Heading2"/>
      </w:pPr>
      <w:bookmarkStart w:id="200" w:name="_Toc256000200"/>
      <w:r>
        <w:t>М01 — Трансфер на знания и действия за осведомяване (член 14)</w:t>
      </w:r>
      <w:bookmarkEnd w:id="200"/>
    </w:p>
    <w:p>
      <w:r>
        <w:t>Наименование на схемата за помощ</w:t>
      </w:r>
      <w:r>
        <w:t xml:space="preserve">: Професионално обучение и придобиване на умения – обучение на лица, ангажирани в сектора на горското стопанство  Демонстрационни дейности и действия по осведомяване - обучение на лица, ангажирани в сектора на горското стопанство Краткосрочен обмен на опит </w:t>
      </w:r>
    </w:p>
    <w:p>
      <w:r>
        <w:t xml:space="preserve">ЕЗФРСР (в евро): </w:t>
      </w:r>
      <w:r>
        <w:t>13 500 000,00</w:t>
      </w:r>
    </w:p>
    <w:p>
      <w:r>
        <w:t xml:space="preserve">Национално съфинансиране (в евро): </w:t>
      </w:r>
      <w:r>
        <w:t>1 500 000,00</w:t>
      </w:r>
    </w:p>
    <w:p>
      <w:r>
        <w:t xml:space="preserve">Допълнително национално финансиране (в евро): </w:t>
      </w:r>
    </w:p>
    <w:p>
      <w:r>
        <w:t xml:space="preserve">Общо (в EUR): </w:t>
      </w:r>
      <w:r>
        <w:t>15 000 000,00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чл.38 от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демонстрационни дейности, насочени към горски стопани и заетите лица в техните стопанства, ще се предоставя посредством държавна помощ SA.103935 "Демонстрационни дейности и действия по осведомяване“ от мярка 1 „Трансфер на знания и действия за осведомяване“ от ПРСР 2014-2020 г.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01" w:name="_Toc256000201"/>
      <w:r>
        <w:t>М02 —  Консултантски услуги, услуги по управление на стопанство и услуги по заместване в стопанство (член 15)</w:t>
      </w:r>
      <w:bookmarkEnd w:id="201"/>
    </w:p>
    <w:p>
      <w:r>
        <w:t>Наименование на схемата за помощ</w:t>
      </w:r>
      <w:r>
        <w:t xml:space="preserve">: Помощ за обучение на консултанти </w:t>
      </w:r>
    </w:p>
    <w:p>
      <w:r>
        <w:t xml:space="preserve">ЕЗФРСР (в евро): </w:t>
      </w:r>
      <w:r>
        <w:t>850 000,00</w:t>
      </w:r>
    </w:p>
    <w:p>
      <w:r>
        <w:t xml:space="preserve">Национално съфинансиране (в евро): </w:t>
      </w:r>
      <w:r>
        <w:t>150 000,00</w:t>
      </w:r>
    </w:p>
    <w:p>
      <w:r>
        <w:t xml:space="preserve">Допълнително национално финансиране (в евро): </w:t>
      </w:r>
    </w:p>
    <w:p>
      <w:r>
        <w:t xml:space="preserve">Общо (в EUR): </w:t>
      </w:r>
      <w:r>
        <w:t>1 000 000,00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част II, раздел 3.6 от Насоки на Европейския съюз за държавната помощ в секторите на селското и горското стопанство и в селските райони за периода 2014-2020 г. (2014/C 204/01).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02" w:name="_Toc256000202"/>
      <w:r>
        <w:t>М02 —  Консултантски услуги, услуги по управление на стопанство и услуги по заместване в стопанство (член 15)</w:t>
      </w:r>
      <w:bookmarkEnd w:id="202"/>
    </w:p>
    <w:p>
      <w:r>
        <w:t>Наименование на схемата за помощ</w:t>
      </w:r>
      <w:r>
        <w:t xml:space="preserve">: Помощ за осигуряване на консултантски услуги – консултиране на горски стопани </w:t>
      </w:r>
    </w:p>
    <w:p>
      <w:r>
        <w:t xml:space="preserve">ЕЗФРСР (в евро): </w:t>
      </w:r>
      <w:r>
        <w:t>42 500,00</w:t>
      </w:r>
    </w:p>
    <w:p>
      <w:r>
        <w:t xml:space="preserve">Национално съфинансиране (в евро): </w:t>
      </w:r>
      <w:r>
        <w:t>7 500,00</w:t>
      </w:r>
    </w:p>
    <w:p>
      <w:r>
        <w:t xml:space="preserve">Допълнително национално финансиране (в евро): </w:t>
      </w:r>
    </w:p>
    <w:p>
      <w:r>
        <w:t xml:space="preserve">Общо (в EUR): </w:t>
      </w:r>
      <w:r>
        <w:t>50 000,00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и чл.39  от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03" w:name="_Toc256000203"/>
      <w:r>
        <w:t>M04 — Инвестиции в материални активи (член 17)</w:t>
      </w:r>
      <w:bookmarkEnd w:id="203"/>
    </w:p>
    <w:p>
      <w:r>
        <w:t>Наименование на схемата за помощ</w:t>
      </w:r>
      <w:r>
        <w:t>: Подпомагане на предприятия за преработка, маркетинг на продукти, които не са включени в Анекс І от Договора за функциониране на ЕС</w:t>
      </w:r>
    </w:p>
    <w:p>
      <w:r>
        <w:t xml:space="preserve">ЕЗФРСР (в евро): </w:t>
      </w:r>
      <w:r>
        <w:t>63 750 000,00</w:t>
      </w:r>
    </w:p>
    <w:p>
      <w:r>
        <w:t xml:space="preserve">Национално съфинансиране (в евро): </w:t>
      </w:r>
      <w:r>
        <w:t>11 250 000,00</w:t>
      </w:r>
    </w:p>
    <w:p>
      <w:r>
        <w:t xml:space="preserve">Допълнително национално финансиране (в евро): </w:t>
      </w:r>
    </w:p>
    <w:p>
      <w:r>
        <w:t xml:space="preserve">Общо (в EUR): </w:t>
      </w:r>
      <w:r>
        <w:t>75 000 000,00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 4.2. „Инвестиции в преработка/маркетинг на селскостопански продукти“ в случаите на преработка на продукти от Приложение І в продукти извън Приложение І се предоставя чрез схема SA.43542, която е изменена със схема SA.49365 и в съответствие с чл.44 от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pStyle w:val="BodyText"/>
              <w:jc w:val="both"/>
            </w:pPr>
          </w:p>
        </w:tc>
      </w:tr>
    </w:tbl>
    <w:p/>
    <w:p>
      <w:pPr>
        <w:pStyle w:val="Heading2"/>
      </w:pPr>
      <w:bookmarkStart w:id="204" w:name="_Toc256000204"/>
      <w: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bookmarkEnd w:id="204"/>
      <w:r>
        <w:t xml:space="preserve"> </w:t>
      </w:r>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pStyle w:val="BodyText"/>
              <w:jc w:val="both"/>
            </w:pPr>
          </w:p>
        </w:tc>
      </w:tr>
    </w:tbl>
    <w:p/>
    <w:p>
      <w:pPr>
        <w:pStyle w:val="Heading2"/>
      </w:pPr>
      <w:bookmarkStart w:id="205" w:name="_Toc256000205"/>
      <w:r>
        <w:t>M06 — Развитие на стопанства и предприятия (член 19)</w:t>
      </w:r>
      <w:bookmarkEnd w:id="205"/>
    </w:p>
    <w:p>
      <w:r>
        <w:t>Наименование на схемата за помощ</w:t>
      </w:r>
      <w:r>
        <w:t xml:space="preserve">: Стартова помощ за неземеделски дейности в селските райони и инвестиционна подкрепа за неземеделски дейности, в т.ч. и за тематичната подпрограма </w:t>
      </w:r>
    </w:p>
    <w:p>
      <w:r>
        <w:t xml:space="preserve">ЕЗФРСР (в евро): </w:t>
      </w:r>
      <w:r>
        <w:t>113 222 370,40</w:t>
      </w:r>
    </w:p>
    <w:p>
      <w:r>
        <w:t xml:space="preserve">Национално съфинансиране (в евро): </w:t>
      </w:r>
      <w:r>
        <w:t>19 980 418,30</w:t>
      </w:r>
    </w:p>
    <w:p>
      <w:r>
        <w:t xml:space="preserve">Допълнително национално финансиране (в евро): </w:t>
      </w:r>
    </w:p>
    <w:p>
      <w:r>
        <w:t xml:space="preserve">Общо (в EUR): </w:t>
      </w:r>
      <w:r>
        <w:t>133 202 788,70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подмерки 6.2. „Стартова помощ за неземеделски дейности“ и 6.4. „Инвестиционна подкрепа за неземеделски дейности“ ще се предоставя в съответствие с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т.ч. е и приносът на тематичната подпрограма.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206" w:name="_Toc256000206"/>
      <w:r>
        <w:t>М07 — Основни услуги и обновяване на селата в селските райони (член 20)</w:t>
      </w:r>
      <w:bookmarkEnd w:id="206"/>
    </w:p>
    <w:p>
      <w:r>
        <w:t>Наименование на схемата за помощ</w:t>
      </w:r>
      <w:r>
        <w:t>: Изграждане, реконструкция и/или рехабилитация на ВиК системи и съоръжения и инвестиции в създаването, подобряването или разширяването на малка по мащаби инфраструктура</w:t>
      </w:r>
    </w:p>
    <w:p>
      <w:r>
        <w:t xml:space="preserve">ЕЗФРСР (в евро): </w:t>
      </w:r>
      <w:r>
        <w:t>229 500 000,00</w:t>
      </w:r>
    </w:p>
    <w:p>
      <w:r>
        <w:t xml:space="preserve">Национално съфинансиране (в евро): </w:t>
      </w:r>
      <w:r>
        <w:t>40 500 000,00</w:t>
      </w:r>
    </w:p>
    <w:p>
      <w:r>
        <w:t xml:space="preserve">Допълнително национално финансиране (в евро): </w:t>
      </w:r>
    </w:p>
    <w:p>
      <w:r>
        <w:t xml:space="preserve">Общо (в EUR): </w:t>
      </w:r>
      <w:r>
        <w:t>270 000 000,00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Насоки на Комисията за прилагането на правилата на Европейския съюз към компенсацията, предоставянето на услуги от общ икономически  интерес (2012/C  8/02).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207" w:name="_Toc256000207"/>
      <w:r>
        <w:t>М07 — Основни услуги и обновяване на селата в селските райони (член 20)</w:t>
      </w:r>
      <w:bookmarkEnd w:id="207"/>
    </w:p>
    <w:p>
      <w:r>
        <w:t>Наименование на схемата за помощ</w:t>
      </w:r>
      <w:r>
        <w:t>: Инвестиции за публично ползване в инфраструктура за отдих, туристическа инфраструктура</w:t>
      </w:r>
    </w:p>
    <w:p>
      <w:r>
        <w:t xml:space="preserve">ЕЗФРСР (в евро): </w:t>
      </w:r>
      <w:r>
        <w:t>47 367 023,80</w:t>
      </w:r>
    </w:p>
    <w:p>
      <w:r>
        <w:t xml:space="preserve">Национално съфинансиране (в евро): </w:t>
      </w:r>
      <w:r>
        <w:t>8 358 886,55</w:t>
      </w:r>
    </w:p>
    <w:p>
      <w:r>
        <w:t xml:space="preserve">Допълнително национално финансиране (в евро): </w:t>
      </w:r>
    </w:p>
    <w:p>
      <w:r>
        <w:t xml:space="preserve">Общо (в EUR): </w:t>
      </w:r>
      <w:r>
        <w:t>55 725 910,35</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т. 643-651 (по-специално т. 644, от Насоки на Европейския съюз за държавната помощ в секторите на селското  и горското стопанство и в селските райони за периода  2014-2020 г. (2014/C 204/01).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208" w:name="_Toc256000208"/>
      <w:r>
        <w:t>М07 — Основни услуги и обновяване на селата в селските райони (член 20)</w:t>
      </w:r>
      <w:bookmarkEnd w:id="208"/>
    </w:p>
    <w:p>
      <w:r>
        <w:t>Наименование на схемата за помощ</w:t>
      </w:r>
      <w:r>
        <w:t>: 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зоните със слабо развит местен пазар</w:t>
      </w:r>
    </w:p>
    <w:p>
      <w:r>
        <w:t xml:space="preserve">ЕЗФРСР (в евро): </w:t>
      </w:r>
      <w:r>
        <w:t>25 500 000,00</w:t>
      </w:r>
    </w:p>
    <w:p>
      <w:r>
        <w:t xml:space="preserve">Национално съфинансиране (в евро): </w:t>
      </w:r>
      <w:r>
        <w:t>4 500 000,00</w:t>
      </w:r>
    </w:p>
    <w:p>
      <w:r>
        <w:t xml:space="preserve">Допълнително национално финансиране (в евро): </w:t>
      </w:r>
    </w:p>
    <w:p>
      <w:r>
        <w:t xml:space="preserve">Общо (в EUR): </w:t>
      </w:r>
      <w:r>
        <w:t>30 000 000,00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Насоки на ЕС относно прилагането на правилата за държавна помощ във връзка с бързото разполагане на широколентови мрежи (2013/C  25/01).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209" w:name="_Toc256000209"/>
      <w:r>
        <w:t>М08 — Инвестиции в развитие на горските райони и подобряване на жизнеспособността на горите (членове 21 — 26)</w:t>
      </w:r>
      <w:bookmarkEnd w:id="209"/>
    </w:p>
    <w:p>
      <w:r>
        <w:t>Наименование на схемата за помощ</w:t>
      </w:r>
      <w:r>
        <w:t xml:space="preserve">: Помощ за залесяване и създаване на гори </w:t>
      </w:r>
    </w:p>
    <w:p>
      <w:r>
        <w:t xml:space="preserve">ЕЗФРСР (в евро): </w:t>
      </w:r>
      <w:r>
        <w:t>6 913 334,00</w:t>
      </w:r>
    </w:p>
    <w:p>
      <w:r>
        <w:t xml:space="preserve">Национално съфинансиране (в евро): </w:t>
      </w:r>
      <w:r>
        <w:t>2 304 444,00</w:t>
      </w:r>
    </w:p>
    <w:p>
      <w:r>
        <w:t xml:space="preserve">Допълнително национално финансиране (в евро): </w:t>
      </w:r>
    </w:p>
    <w:p>
      <w:r>
        <w:t xml:space="preserve">Общо (в EUR): </w:t>
      </w:r>
      <w:r>
        <w:t>9 217 778,00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0" w:name="_Toc256000210"/>
      <w:r>
        <w:t>М08 — Инвестиции в развитие на горските райони и подобряване на жизнеспособността на горите (членове 21 — 26)</w:t>
      </w:r>
      <w:bookmarkEnd w:id="210"/>
    </w:p>
    <w:p>
      <w:r>
        <w:t>Наименование на схемата за помощ</w:t>
      </w:r>
      <w:r>
        <w:t>: Помощ за инвестиции в технологии за лесовъдство и в преработката, мобилизирането и търговията на горски продукти</w:t>
      </w:r>
    </w:p>
    <w:p>
      <w:r>
        <w:t xml:space="preserve">ЕЗФРСР (в евро): </w:t>
      </w:r>
      <w:r>
        <w:t>15 300 000,00</w:t>
      </w:r>
    </w:p>
    <w:p>
      <w:r>
        <w:t xml:space="preserve">Национално съфинансиране (в евро): </w:t>
      </w:r>
      <w:r>
        <w:t>2 700 000,00</w:t>
      </w:r>
    </w:p>
    <w:p>
      <w:r>
        <w:t xml:space="preserve">Допълнително национално финансиране (в евро): </w:t>
      </w:r>
    </w:p>
    <w:p>
      <w:r>
        <w:t xml:space="preserve">Общо (в EUR): </w:t>
      </w:r>
      <w:r>
        <w:t>18 000 000,00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1" w:name="_Toc256000211"/>
      <w:r>
        <w:t>М08 — Инвестиции в развитие на горските райони и подобряване на жизнеспособността на горите (членове 21 — 26)</w:t>
      </w:r>
      <w:bookmarkEnd w:id="211"/>
    </w:p>
    <w:p>
      <w:r>
        <w:t>Наименование на схемата за помощ</w:t>
      </w:r>
      <w:r>
        <w:t>: Помощ за инвестиции за подобряване на устойчивостта и екологичната стойност на горските екосистеми</w:t>
      </w:r>
    </w:p>
    <w:p>
      <w:r>
        <w:t xml:space="preserve">ЕЗФРСР (в евро): </w:t>
      </w:r>
      <w:r>
        <w:t>9 562 500,00</w:t>
      </w:r>
    </w:p>
    <w:p>
      <w:r>
        <w:t xml:space="preserve">Национално съфинансиране (в евро): </w:t>
      </w:r>
      <w:r>
        <w:t>1 687 500,00</w:t>
      </w:r>
    </w:p>
    <w:p>
      <w:r>
        <w:t xml:space="preserve">Допълнително национално финансиране (в евро): </w:t>
      </w:r>
    </w:p>
    <w:p>
      <w:r>
        <w:t xml:space="preserve">Общо (в EUR): </w:t>
      </w:r>
      <w:r>
        <w:t>11 250 000,00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2" w:name="_Toc256000212"/>
      <w:r>
        <w:t>М08 — Инвестиции в развитие на горските райони и подобряване на жизнеспособността на горите (членове 21 — 26)</w:t>
      </w:r>
      <w:bookmarkEnd w:id="212"/>
    </w:p>
    <w:p>
      <w:r>
        <w:t>Наименование на схемата за помощ</w:t>
      </w:r>
      <w:r>
        <w:t>: Помощ за предотвратяване и възстановяване на щети по горите от горски пожари, природни бедствия, неблагоприятни климатични събития и вредители по растенията и катастрофични събития.</w:t>
      </w:r>
    </w:p>
    <w:p>
      <w:r>
        <w:t xml:space="preserve">ЕЗФРСР (в евро): </w:t>
      </w:r>
      <w:r>
        <w:t>21 300 657,00</w:t>
      </w:r>
    </w:p>
    <w:p>
      <w:r>
        <w:t xml:space="preserve">Национално съфинансиране (в евро): </w:t>
      </w:r>
      <w:r>
        <w:t>3 758 597,00</w:t>
      </w:r>
    </w:p>
    <w:p>
      <w:r>
        <w:t xml:space="preserve">Допълнително национално финансиране (в евро): </w:t>
      </w:r>
    </w:p>
    <w:p>
      <w:r>
        <w:t xml:space="preserve">Общо (в EUR): </w:t>
      </w:r>
      <w:r>
        <w:t>25 059 254,00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осъществява и за двете подмерки 8.3. „ Предотвратяване на щети по горите от горски пожари, природни бедствия и катастрофични събития “ и 8.4. „Възстановяване на щети по горите от горски пожари, природни бедствия и катастрофични събития“.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3" w:name="_Toc256000213"/>
      <w:r>
        <w:t>M09 — Създаване на групи и организации на производителите (член 27)</w:t>
      </w:r>
      <w:bookmarkEnd w:id="213"/>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4" w:name="_Toc256000214"/>
      <w:r>
        <w:t>M10 — Агроекология и климат (член 28)</w:t>
      </w:r>
      <w:bookmarkEnd w:id="214"/>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5" w:name="_Toc256000215"/>
      <w:r>
        <w:t>М11 — Биологично земеделие (член 29)</w:t>
      </w:r>
      <w:bookmarkEnd w:id="215"/>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6" w:name="_Toc256000216"/>
      <w:r>
        <w:t>M12 — Плащания по „Натура 2000“ и Рамковата директива за водите (член 30)</w:t>
      </w:r>
      <w:bookmarkEnd w:id="216"/>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7" w:name="_Toc256000217"/>
      <w:r>
        <w:t>М13 — Плащания за райони, изправени пред природни или други специфични ограничения (член 31)</w:t>
      </w:r>
      <w:bookmarkEnd w:id="217"/>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8" w:name="_Toc256000218"/>
      <w:r>
        <w:t>M14 — Хуманно отношение към животните (член 33)</w:t>
      </w:r>
      <w:bookmarkEnd w:id="218"/>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9" w:name="_Toc256000219"/>
      <w:r>
        <w:t>M16 — Сътрудничество (член 35)</w:t>
      </w:r>
      <w:bookmarkEnd w:id="219"/>
    </w:p>
    <w:p>
      <w:r>
        <w:t>Наименование на схемата за помощ</w:t>
      </w:r>
      <w:r>
        <w:t>: Подкрепа за пилотни проекти и за развитие на нови продукти, практики, процеси и технологии</w:t>
      </w:r>
    </w:p>
    <w:p>
      <w:r>
        <w:t xml:space="preserve">ЕЗФРСР (в евро): </w:t>
      </w:r>
      <w:r>
        <w:t>4 116 351,60</w:t>
      </w:r>
    </w:p>
    <w:p>
      <w:r>
        <w:t xml:space="preserve">Национално съфинансиране (в евро): </w:t>
      </w:r>
      <w:r>
        <w:t>457 372,40</w:t>
      </w:r>
    </w:p>
    <w:p>
      <w:r>
        <w:t xml:space="preserve">Допълнително национално финансиране (в евро): </w:t>
      </w:r>
    </w:p>
    <w:p>
      <w:r>
        <w:t xml:space="preserve">Общо (в EUR): </w:t>
      </w:r>
      <w:r>
        <w:t>4 573 724,00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част II, раздел 3.10. от Насоки на Европейския съюз за държавната помощ в секторите на селското  и горското стопанство и в селските райони за периода  2014-2020 г. (2014/C 204/01).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20" w:name="_Toc256000220"/>
      <w:r>
        <w:t>M16 — Сътрудничество (член 35)</w:t>
      </w:r>
      <w:bookmarkEnd w:id="220"/>
    </w:p>
    <w:p>
      <w:r>
        <w:t>Наименование на схемата за помощ</w:t>
      </w:r>
      <w:r>
        <w:t>: Подкрепа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Подкрепа за дейности на местно равнище за популяризиране, свързани с развитието на къс</w:t>
      </w:r>
    </w:p>
    <w:p>
      <w:r>
        <w:t xml:space="preserve">ЕЗФРСР (в евро): </w:t>
      </w:r>
      <w:r>
        <w:t>7 200 000,00</w:t>
      </w:r>
    </w:p>
    <w:p>
      <w:r>
        <w:t xml:space="preserve">Национално съфинансиране (в евро): </w:t>
      </w:r>
      <w:r>
        <w:t>800 000,00</w:t>
      </w:r>
    </w:p>
    <w:p>
      <w:r>
        <w:t xml:space="preserve">Допълнително национално финансиране (в евро): </w:t>
      </w:r>
    </w:p>
    <w:p>
      <w:r>
        <w:t xml:space="preserve">Общо (в EUR): </w:t>
      </w:r>
      <w:r>
        <w:t>8 000 000,00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част II, раздел 3.10  от Насоки на Европейския съюз за държавната помощ в секторите на селското  и горското стопанство и в селските райони за периода  2014-2020 г. (2014/C 204/01).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21" w:name="_Toc256000221"/>
      <w:r>
        <w:t>M19 — Подкрепа за местно развитие по LEADER (ВОМР — водено от общностите местно развитие) (член 35 от Регламент (ЕС) № 1303/2013)</w:t>
      </w:r>
      <w:bookmarkEnd w:id="221"/>
    </w:p>
    <w:p>
      <w:r>
        <w:t>Наименование на схемата за помощ</w:t>
      </w:r>
      <w:r>
        <w:t>: Прилагане на операции в рамките на стратегии за водено от общностите местно развитие Подготовка и изпълнение на дейности за сътрудничество на местни инициативни групи</w:t>
      </w:r>
    </w:p>
    <w:p>
      <w:r>
        <w:t xml:space="preserve">ЕЗФРСР (в евро): </w:t>
      </w:r>
      <w:r>
        <w:t>86 997 487,58</w:t>
      </w:r>
    </w:p>
    <w:p>
      <w:r>
        <w:t xml:space="preserve">Национално съфинансиране (в евро): </w:t>
      </w:r>
      <w:r>
        <w:t>9 666 387,51</w:t>
      </w:r>
    </w:p>
    <w:p>
      <w:r>
        <w:t xml:space="preserve">Допълнително национално финансиране (в евро): </w:t>
      </w:r>
    </w:p>
    <w:p>
      <w:r>
        <w:t xml:space="preserve">Общо (в EUR): </w:t>
      </w:r>
      <w:r>
        <w:t>96 663 875,09</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мерки от стратегията за водено от общностите местно развитие, включени в ПРСР, се прилагат правилата за държавна помощ, избрани за съответната мярка в Програмата.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мерки от стратегията за водено от общностите местно развитие, включени в Регламент (EC) № 1305/2013, които не са част от ПРСР, както и за такива извън обхвата на Регламент (EC) № 1305/2013, финансирани по ЕЗФРСР, се прилага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подмярка 19.3 „Подготовка и изпълнение на дейности за сътрудничество на местни инициативни групи“ се прилага приложим режим е „непомощ“, тъй като подпомагането по процедурата попада извън обхвата на чл. 107, пар. 1 и 108 от Договора за функционирането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нестопанската си дейност неправителствените организации, в това число Местните инициативни групи не попадат в обхвата на държавните помощи. За тях ще се прави конкретна оценка на всяко проектно предложение поотделно (на ниво кандидатстване), за да се гарантира, че конкретната дейност, за която се търси подкрепа, не е стопанска (и така не попада в обхвата на чл. 107 и сл. от Договора).</w:t>
            </w:r>
          </w:p>
          <w:p>
            <w:pPr>
              <w:pStyle w:val="BodyText"/>
              <w:jc w:val="both"/>
            </w:pPr>
          </w:p>
        </w:tc>
      </w:tr>
    </w:tbl>
    <w:p/>
    <w:p>
      <w:pPr>
        <w:pStyle w:val="Heading2"/>
      </w:pPr>
      <w:bookmarkStart w:id="222" w:name="_Toc256000222"/>
      <w: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bookmarkEnd w:id="222"/>
    </w:p>
    <w:p>
      <w:r>
        <w:t>Наименование на схемата за помощ</w:t>
      </w:r>
      <w:r>
        <w:t>: Изключителна и временна подкрепа за МСП и групи и организации на производители във връзка с COVID-19, извършващи преработка на продукти от приложение № І от ДФЕС в продукти извън приложение № І от ДФЕС или памук</w:t>
      </w:r>
    </w:p>
    <w:p>
      <w:r>
        <w:t xml:space="preserve">ЕЗФРСР (в евро): </w:t>
      </w:r>
      <w:r>
        <w:t>4 250 000,00</w:t>
      </w:r>
    </w:p>
    <w:p>
      <w:r>
        <w:t xml:space="preserve">Национално съфинансиране (в евро): </w:t>
      </w:r>
      <w:r>
        <w:t>750 000,00</w:t>
      </w:r>
    </w:p>
    <w:p>
      <w:r>
        <w:t xml:space="preserve">Допълнително национално финансиране (в евро): </w:t>
      </w:r>
      <w:r>
        <w:t>5 000 000,00</w:t>
      </w:r>
    </w:p>
    <w:p>
      <w:r>
        <w:t xml:space="preserve">Общо (в EUR): </w:t>
      </w:r>
      <w:r>
        <w:t>10 000 000,00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 21.3 „Изключителна и временна подкрепа за МСП и групи и организации на производители COVID“ за предприятия, извършващи преработка на продукти от приложение № І от ДФЕС в продукти извън приложение № І от ДФЕС или памук, ще се предоставя в съответствие с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pStyle w:val="BodyText"/>
              <w:jc w:val="both"/>
            </w:pPr>
          </w:p>
        </w:tc>
      </w:tr>
    </w:tbl>
    <w:p/>
    <w:p>
      <w:pPr>
        <w:pStyle w:val="Heading2"/>
      </w:pPr>
      <w:bookmarkStart w:id="223" w:name="_Toc256000223"/>
      <w:r>
        <w:t>M22 — Извънредно временно подпомагане за земеделските стопани и МСП, които са особено засегнати от последиците от руското нашествие в Украйна (член 39в)</w:t>
      </w:r>
      <w:bookmarkEnd w:id="223"/>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pPr>
          </w:p>
        </w:tc>
      </w:tr>
    </w:tbl>
    <w:p>
      <w:pPr>
        <w:sectPr>
          <w:pgMar w:top="900" w:right="900" w:bottom="900" w:left="900" w:header="720" w:footer="720"/>
          <w:cols w:space="720"/>
        </w:sectPr>
      </w:pPr>
    </w:p>
    <w:p>
      <w:pPr>
        <w:pStyle w:val="Heading1"/>
      </w:pPr>
      <w:bookmarkStart w:id="224" w:name="_Toc256000224"/>
      <w:r>
        <w:t>Информация относно взаимното допълване</w:t>
      </w:r>
      <w:bookmarkEnd w:id="224"/>
    </w:p>
    <w:p>
      <w:pPr>
        <w:pStyle w:val="Heading2"/>
      </w:pPr>
      <w:bookmarkStart w:id="225" w:name="_Toc256000225"/>
      <w:r>
        <w:t>Описание на средствата за осигуряване на допълняемост и съгласуваност със:</w:t>
      </w:r>
      <w:bookmarkEnd w:id="225"/>
      <w:r>
        <w:t xml:space="preserve"> </w:t>
      </w:r>
    </w:p>
    <w:p>
      <w:pPr>
        <w:pStyle w:val="Heading3"/>
        <w:jc w:val="left"/>
        <w:rPr>
          <w:b w:val="0"/>
        </w:rPr>
      </w:pPr>
      <w:bookmarkStart w:id="226" w:name="_Toc256000226"/>
      <w:r>
        <w:rPr>
          <w:b w:val="0"/>
        </w:rPr>
        <w:t>Други инструменти на Съюза, и по-специално европейските структурни и инвестиционни фондове и инструментите по стълб 1, включително плащанията за екологизиране и други инструменти на общата селскостопанска политика;</w:t>
      </w:r>
      <w:bookmarkEnd w:id="22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Оперативна програма „Наука и образование за интелигентен растеж“</w:t>
            </w:r>
            <w:r>
              <w:rPr>
                <w:rFonts w:ascii="Times New Roman" w:eastAsia="Times New Roman" w:hAnsi="Times New Roman" w:cs="Times New Roman"/>
                <w:b/>
                <w:bCs/>
                <w:szCs w:val="24"/>
              </w:rPr>
              <w:t xml:space="preserve"> (ОП НОИР)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Изследователска дейност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ОПНОИР ще подкрепи изследователски дейности в обхвата на аграрните науки, ПРСР ще финансира проекти в аграрния сектор, свързани с прилагането на научните резултати под формата на иновации, демонстрационни проекти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ОПНОИР ще се предоставя подкрепа за модернизирането на научната инфраструктура и на съществуващите учебно-изследователски лаборатории на научни институции и висши училища. ПРСР чрез подмярка 1.1 ще подкрепя закупуването или вземането на лизинг на нови машини и оборудване за демонстрационни дейности, осъществени в демонстрационен обект, в които обучават или извършват трансфер на знания в областта на селското стопанство, храните или горското стопанство. Лизингови схеми за оборудване както и демонстрационни дейности в агросектора няма да се подпомагат по линия на ОПНОИР.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ПРСР ще се подкрепят обекти на научни институти или университети, които са свързани с демонстрационни дейности за трансфер на знания за земеделски и горски стопани. По ОПНОИР ще се подкрепят специфични дейности и специализирана научноизследователска инфраструктура, които са пряко свързани с научните изследвания. В областта на трансфера на знания и иновации ПРСР предвижда „финансиране на иновативни инвестиционни проекти в рамките на СМР (проекти, които са свързани директно с въвеждане на нови технологии)“. Те допълват дейностите по ОПНОИР, предвиждащи подкрепа за приложни изследвания.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Демаркацията между планираните в ОПНОИР дейности по Инвестиционен приоритет № 1 от Приоритетна ос 1, и заложените цели по мярка 16 „Сътрудничество” от ПРСР ще бъде направена според типа дейности. ОПНОИР ще финансира изграждане на научна инфраструктура и провеждане на приложни научни изследвания, докато мярка 16 няма да включват идентични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ОПНОИР ще се предоставя подкрепа за изграждане, развитие и използване на пилотни центрове във висшите училища и научните институти за провеждане на научно обучение, изследователска работа, експериментално развитие и прототипиране, а ПРСР ще допринесе чрез финансиране на иновационните проекти на Оперативните групи в рамките на ЕПИ за селскостопанска производителност и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Образование и обучение и образователна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 „Трансфер на знания и действия за осведомяване” не се подпомагат курсове за инструктиране или обучение, които са част от стандартни програми или системи за обучение за средни или висши училища. В такъв контекст, демаркация с ОПНОИР по тази мярка не е необходима.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ОПНОИР предвижда конкретна мярка за оптимизиране на системата за висше образование, в частност висшите училища, обучаващи по аграрни специалности. ОП НОИР ще финансира „меки” мерки за повишаване на качеството и достъпа до образование, вкл.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образователната инфраструктура, ПРСР ще финансира такава в селските райони и извън обхвата на финансирането за регионална образователна инфраструктура по ОПРР. ОПНОИР не предвижда мерки, свързани с модернизация и развитие на инфраструктурата. По линия на ОПНОИР ще бъде осигурявано оборудване, пряко свързано с провеждане на обучителните дейности по проектите в нейния обхват. По ПРСР ще се предоставя финансиране за реконструкция, ремонт, оборудване и/или обзавеждане на образователна инфраструктура с местно значение в селските райони, а ОПНОИР ще осигури финансиране чрез „меки мерки“ на обекти от образователната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старта на програмите ще бъде съставена междуведомствена работна група, която да координира въпросите по демаркацията и допълняемостта между двете програми във всички фази на проектния цикъл (избор на операции, програмиране, наблюдение и оценка на изпълнението).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Оперативна </w:t>
            </w:r>
            <w:r>
              <w:rPr>
                <w:rFonts w:ascii="Times New Roman" w:eastAsia="Times New Roman" w:hAnsi="Times New Roman" w:cs="Times New Roman"/>
                <w:b/>
                <w:bCs/>
                <w:szCs w:val="24"/>
              </w:rPr>
              <w:t>програма Региони в растеж</w:t>
            </w:r>
            <w:r>
              <w:rPr>
                <w:rFonts w:ascii="Times New Roman" w:eastAsia="Times New Roman" w:hAnsi="Times New Roman" w:cs="Times New Roman"/>
                <w:szCs w:val="24"/>
              </w:rPr>
              <w:t> </w:t>
            </w:r>
            <w:r>
              <w:rPr>
                <w:rFonts w:ascii="Times New Roman" w:eastAsia="Times New Roman" w:hAnsi="Times New Roman" w:cs="Times New Roman"/>
                <w:b/>
                <w:bCs/>
                <w:szCs w:val="24"/>
              </w:rPr>
              <w:t xml:space="preserve"> (ОПРР):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с ОПРР е по секторен и териториален признак. Мярка 7 от ПРСР ще се прилага на територията на 232 общини в селските райони, с изключение на конкретни инвестиции, които ще се подпомагат от ОП „Региони в растеж“. Националната дефиниция определя като „селски райони“ общините, в които няма населено място с население над 30 000 души.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ОПРР ще подкрепя първи, втори и трети клас републикански пътища, осигуряващи директен достъп до TEN-T мрежа. ПРСР ще подпомага общински пътища. ОПРР ще финансира мерки за подобряване на системата на спешната медицинска помощ, включително и инфраструктурни мерки и доставка на оборудване за центрове за спешна медицинска помощ и техните филиали, спешни отделения, като и спешни отделения, като част от спешни болнични комплекси на територията на цялата страна включително и в селските райони. ПРСР няма да финансира подобни дейности. ОПРР ще подкрепя обекти на  образователната  инфраструктура от регионално и национално значение на цялата територия на страната и по-конкретно професионални, специални, помощни, спортни училища, училища по изкуство и култура, както и висши училища, приоритизирани от МОН. ПРСР ще финансира общинска образователна инфраструктура с местно значение в селските райони. </w:t>
            </w:r>
            <w:r>
              <w:rPr>
                <w:rFonts w:ascii="Times New Roman" w:eastAsia="Times New Roman" w:hAnsi="Times New Roman" w:cs="Times New Roman"/>
                <w:i/>
                <w:iCs/>
                <w:szCs w:val="24"/>
              </w:rPr>
              <w:t>В допълнение ОПРР ще финансира инфраструктурни мерки за опазване, популяризиране и развитие на културното наследство на територията на цялата страна чрез подкрепа за културни обекти от национално и световно значение. ПРСР няма да подпомага същите обекти подпомогнати от ОПРР. За целта ще се извършват кръстосани проверки за предотвратяване на двойно финансиране между ПРСР и ОПРР.</w:t>
            </w:r>
            <w:r>
              <w:rPr>
                <w:rFonts w:ascii="Times New Roman" w:eastAsia="Times New Roman" w:hAnsi="Times New Roman" w:cs="Times New Roman"/>
                <w:szCs w:val="24"/>
              </w:rPr>
              <w:t>. ПРСР няма да подпомага същите. По ОПРР ще се финансират инфраструктурни мерки за деинституционализация на социалните услуги за деца и възрастни хора. По мярка 7 няма да се финансира такъв тип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Оперативна програма „Развитие на човешките ресурси“ (ОП 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Трансфер на знания и действия за осведомяване – подкрепата за обучение в областта на земеделието и горите за лица, ангажирани в сектора на селското стопанство и горското стопанство ще бъдат финансирани по ПРСР. По ОПРЧР могат да бъдат финансирани: професионални обучения в тези области за безработни лица; друг вид професионални обучения, както и обучения за придобиване на ключови компетентности на лица, заети в посочените сектори. Обученията в областта на хранително-вкусовата промишленост ще бъдат подкрепени от ПРСР само за лица, ангажирани в сектора на селското и горското стопанство. Извън тези лица, обученията в областта на хранително-вкусовата промишленост попадат в обхвата на помощта на ОПРЧР.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услуги, услуги по управление и услуги по заместване в стопанства – по ОПРЧР няма да бъдат финансирани обучения на консултанти, които да предоставят услуги на селскостопанските и горските производители за подобряване на икономическите и екологичните показатели на техните стопанства. Такива обучения ще бъдат финансирани само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стопанства и предприятия – по ОПРЧР ще се подпомагат само физически лица, като няма да бъде предоставяна стартова помощ за селскостопански производители и микропредприятия, които попадат в обхвата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 услуги и обновяване на селата в селските райони – ОПРЧР осигурява допълващо финансиране със средства от ЕСФ на „меки мерки“ за финансиране на дейности в социална инфраструктура по мярка 7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периода 2014-2020 г. по ОПРЧР ще бъдат допустими за финансиране подкрепящи мерки, в т.ч. субсидиране на работни заплати, свързани със стимулирането на работодатели да наемат хора в сектора на селското стопанство, хранително-вкусовата и горската промишленост. Подкрепата ще се осъществява като минимална помощ, като общият размер на помощта de minimis, предоставяна във всяка държава членка на едно и също предприятие, не следва да надхвърля 15 000 EUR за период от три бюджетни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подкрепата за зоните от Натура 2000, ПРСР предвижда плащания за компенсиране на пропуснати доходи и на допълнителните разходи, свързани с режимите и забраните за земеделски дейности, разписани в заповедите за обявяване/плановете за управление на защитените зони по Натура 2000. ОПРЧР от своя страна ще подкрепя работодателите и предприятията, попадащи в Натура 2000 зони, с всички допустими мерки по ПО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ромското включване ОПРЧР предвижда  интегрирането на най-маргинализираните общности в обществения живот. Сред тях с приоритет са действията за интегриране на ромите. ПРСР не предвижда специфични ограничения на кандидати от маргинализирани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старта на програмите ще бъде съставена междуведомствена работна група, която да координира въпросите по демаркацията и допълняемостта между двете програми във всички фази на проектния цикъл (избор на операции, програмиране, наблюдение и оценка на изпълнението).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Оперативна програма „Иновации и конкурентоспособност“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ОПИК и ПРСР е взаимно допълваща се по отношение на иновациите, развитието на МСП сектора и енергийната ефективност, като демаркацията между двете програми се основава на териториалния обхват, допустимите сектори, целевите групи и бенефициенти и видовете дейности, включени в обхвата на съответните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Подкрепата за </w:t>
            </w:r>
            <w:r>
              <w:rPr>
                <w:rFonts w:ascii="Times New Roman" w:eastAsia="Times New Roman" w:hAnsi="Times New Roman" w:cs="Times New Roman"/>
                <w:b/>
                <w:bCs/>
                <w:szCs w:val="24"/>
              </w:rPr>
              <w:t xml:space="preserve">иновации </w:t>
            </w:r>
            <w:r>
              <w:rPr>
                <w:rFonts w:ascii="Times New Roman" w:eastAsia="Times New Roman" w:hAnsi="Times New Roman" w:cs="Times New Roman"/>
                <w:szCs w:val="24"/>
              </w:rPr>
              <w:t>в рамките на ПО 1 по ОПИК е в съответствие с тематичните области и хоризонтални политики, определени в ИСИС с изключение на тези, попадащи в обхвата на ПРСР (напр. производство на биохрани). Подкрепата за иновациите по ПРСР предоставя в секторите на селското стопанство и хранителната промишленост за преработка и маркетинг на продукти от Анекс I към ДФЕС, с изключение на риба и рибни продукти. В рамките на ЕПИ за селскостопанска производителност и устойчивост ще се подкрепя сформирането и функционирането на оперативни групи, които изпълняват конкретен иновативен проект.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отношение на </w:t>
            </w:r>
            <w:r>
              <w:rPr>
                <w:rFonts w:ascii="Times New Roman" w:eastAsia="Times New Roman" w:hAnsi="Times New Roman" w:cs="Times New Roman"/>
                <w:b/>
                <w:bCs/>
                <w:szCs w:val="24"/>
              </w:rPr>
              <w:t>подкрепата за МСП и стартиращи предприятия</w:t>
            </w:r>
            <w:r>
              <w:rPr>
                <w:rFonts w:ascii="Times New Roman" w:eastAsia="Times New Roman" w:hAnsi="Times New Roman" w:cs="Times New Roman"/>
                <w:szCs w:val="24"/>
              </w:rPr>
              <w:t>, по ПО 2 на ОПИК ще се подкрепят МСП от секторите, определени в НСНМСП (високо, средно и ниско технологични сектори), с изключение на подсекторите в хранителната промишленост за преработка и маркетинг на продукти от Анекс I към ДФЕС. Инвестиционна подкрепа и стартова помощ за неземеделски дейности се предоставя на МСП на територията на цялата страна и на микро предприятия извън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ПРСР предоставя инвестиционна подкрепа за модернизация на земеделските стопанства и предприятията, преработващи и добавящи стойност към земеделски продукти, вкл. хранителната промишленост за преработка и маркетинг на продукти от Анекс I към ДФЕС, с изключение на риба и рибни продукти. Инвестиционна подкрепа и стартова помощ за неземеделски дейности се предоставя на микро предприятията от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отношение на </w:t>
            </w:r>
            <w:r>
              <w:rPr>
                <w:rFonts w:ascii="Times New Roman" w:eastAsia="Times New Roman" w:hAnsi="Times New Roman" w:cs="Times New Roman"/>
                <w:b/>
                <w:bCs/>
                <w:szCs w:val="24"/>
              </w:rPr>
              <w:t>енергийната ефективност</w:t>
            </w:r>
            <w:r>
              <w:rPr>
                <w:rFonts w:ascii="Times New Roman" w:eastAsia="Times New Roman" w:hAnsi="Times New Roman" w:cs="Times New Roman"/>
                <w:szCs w:val="24"/>
              </w:rPr>
              <w:t xml:space="preserve"> ОПИК (ПО 3) адресира проблемите с високата енергийна интензивност на предприятията от преработващата промишленост, с изключение на земеделските производители и предприятията от хранителната промишленост за преработка и маркетинг на продукти от Анекс I към ДФЕС, които са обект на подкрепа по ПРСР. И двете програми ще предоставят подкрепа за използването на енергия от ВЕИ само за собствено потребление. Предприятията бенефициенти по ОПИК ще имат възможност да изпълняват мерки за използването на биомаса, вкл. първична и вторична биомаса от продукти от Анекс I, като производството на биомаса в горското стопанство ще се подкрепя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ресурсна ефективност по ОПИК е насочена към предприятия и/или групи предприятия от преработващата промишленост за пилотни и демонстрационни инициативи за повишаване ефективното използване на ресурсите, като са изключени предприятията от хранителната промишленост за преработка и маркетинг на продукти от Анекс I към ДФЕС.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ОПИК изключва първичното производство на селскостопански продукти, вкл. риба и рибни продукти. По отношение на хранителната промишленост, преработката/маркетинга на селскостопански продукти от Анекс I към ДФЕС, подпомагани по ПРСР, са изключени от ОПИК: мляко и млечни продукти, месо и месни продукти, плодове и зеленчуци, включително гъби, пчелен мед, зърнени, мелничарски и нишестени продукти, растителни и животински масла и мазнини, технически и медицински култури, включително маслодайна роза и билки, готови храни за селскостопански животни, гроздова мъст, вино и оцет, производство на енергия чрез преработка на растителни и животински продукти с изключение на биомаса от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Предприятията осъществяващи дейности в хранителната промишленост, различни от гореизброените са допустими за подкрепа по ОПИК, в случай че отговарят на всички други условия и изисквания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старта на програмите ще бъде съставена междуведомствена работна група, която да координира въпросите по демаркацията и допълняемостта между двете програми във всички фази на проектния цикъл (избор на операции, програмиране, наблюдение и оценка на изпълнението).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Оперативна програма „Околна среда“ (ОПОС)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Допълняемостта с ОПОС ще се осъществи въз основа на одобрените от МС „Насоки за интегриране на политиката по околна среда и политиката по изменение на климата във фондовете за КП, ОСП и ОПР за периода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Интервенции, свързани с управление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сектор „Води“ в съответствие с регионалните генерални планове за ВиК и с оглед принос за изпълнение на целите на Стратегията за развитие и управление на ВиК в Р България за периода 2014-2023 г., ПРСР ще подкрепя дейности, свързани със събиране, отвеждане и пречистване на отпадъчните води, като средствата ще бъдат насочени към агломерации с под 2 000 е.ж. в селските райони. В рамките на ПРСР ще се подпомага изграждане и обновяване на водоснабдителна инфраструктура в агломерации с под 2000 е.ж.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Интервенции, свързани с управление на отпадъците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ОПОС ще подкрепя инвестиции по отношение подобряване управлението на битовите отпадъци в съответствие с йерархията на управлението на отпадъците; информационни кампании/демонстрационни проекти, насочени към превенция образуването на битови отпадъци. ПРСР ще подкрепя инвестиции за правилното съхранение и използване  на животински отпадъци и инвестиции за изграждане на нови и реконструкция на съществуващи производствени мощности за преработка на вторични продукти, отпадъци, остатъци и други суровини в биоенергия в земеделските и горските стопанства и преработвателните предприятия, както и за инвестиции за улесняване на доставките и използване на възобновяеми източници на енергия от вторични продукти, отпадъци, остатъци и други нехранителни суровини за целите на биоикономиката.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Интервенции, свързани с опазване на Натура 2000 и биоразнообразието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ПРСР ще подкрепя мерки само за поддържане и предотвратяване на деградационните процеси в земеделски земи с ВПС, извън земите изключителна държавна собственост. Чрез ОПОС ще се финансират основно мерки за възстановяване на природни местообитания и местообитания на видове в мрежата Натура 2000, включително и такива определени като затревени площи с ВПС. Мерки за поддържане на земи с ВПС в мрежата Натура 2000 ще са допустими само в земи изключителна държавна собственост и в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мерки в горски територии, ПРСР предвижда подпомагане за подобряване на структурата и функциите на горите по мярка 8 за територии, вкл. и в мрежата Натура 2000, с изключение на земите изключителна държавна собственост. ОПОС предвижда финансиране на дейности за подобряване на структурата и функциите на горските природни местообитания и местообитания на видове единствено на територии в Натура 2000, изключителна държавна собственост. Мерки, свързани с предотвратяване и възстановяване на щети по горите от горски пожари и катастрофични събития са в обхвата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ПРСР е предвидено предоставяне на компенсаторни плащания за земеделски площи в Натура 2000 при издадени заповеди за защитени зони с разписани конкретни режими за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Интервенции, свързани с превенция и управление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ОПОС ще подкрепя създаването на Национална система за управление на водите в реално време, чиято основна задача е да предоставя необходимата информация за управление на водите и да осигурява навременно предупреждение при наводнения и засушаване. Ще се финансират и мерки за въвеждане на решения за превенция и управление на риска от наводнения, насочени към укрепване на бреговете в населените места, вкл. екосистемно базирани решения. Предвидени са и инвестиции за превенция и управление на риска от свлачища. ПРСР ще подкрепя мерки, свързани с управление на риска в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 „Добро управление“ и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7.3. „Широколентова инфраструктура“ от ПРСР ще бъде изграждана широколентова инфраструктура в селските райони. Тя ще позволи общинските администрации да се включат в електронното правителство, което ще бъде финансирано в рамките на ОПДУ.</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Приоритетни оси 1, 2 и 4 на ОПДУ свързани с НАТУРА 2000 допълват Мярка 12 „Плащания по Натура 2000“ и Рамковата директива за водите на ПРСР без припокриване между програмите както по отношение на допустими дейности, така и по отношение на целеви групи. Дейностите за изпълнение на Националната комуникационна стратегия и за развитие на ЦИКО и областните информационни центрове в рамките на Приоритетна ос 4 на ОПДУ включват информация по ПРСР, която надгражда дейностите за информация и публичност, заложени в ПРСР. ПРСР ще осигури служител и оборудване на по едно работно място във всеки областен информационен център, за да могат тези служители да отговарят на въпроси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 „Транспорт и транспортна инфраструктура“ (ОПТТИ)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Няма припокриване на инвестициите между ОПТТИ и ПРСР. ОПТТИ предвижда инвестиции в транспортна инфраструктура по TEN-T мрежата на територията на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ОП “Морско дело и рибарство”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Основното разграничаване с ОПМДР ще е според вида на дейностите. Основна допълняемост на ПРСР с ЕФМРД, ЕФРР и ЕСФ ще се постигне чрез прилагането на инициативата ВОМР. През периода 2014-2020 г. инициативата ВОМР ще бъде финансирана по линия на ЕЗФРСР, ЕФМДР, ЕФРР и ЕСФ.</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ВОМР ще се прилага в рамките на селските райони, рибарските райони и териториите със специфични характеристики, определени в Националната концепция за пространствено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групи ще преценяват дали стратегията ще бъде финансирана от един или от повече от един ЕСИФ. Местните групи ще могат да включват в своите стратегии за местно развитие интервенции, финансирани освен от ПРСР, от ПМДР, ОПОС, ОПИК, ОПРЧР и ОПНОИР.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СМР, подкрепени по повече от един фонд, и включващи финансиране едновременно по ЕЗФРСР и ЕФМДР, за една и съща по обхват допустима територия ще има ограничение за създаване и одобрение на една МИГ, която за съответната територия да изготви една интегрирана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СМР с финансиране от няколко фонда, но без принос от ЕФМДР, на съответната територия се допуска създаването и одобрението на МИГ и МИРГ, без да се допуска финансиране на едни и същи дейности. В този случай СМР на МИРГ ще бъде финансирана само по линия на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дадена територия на СМР, финансирана само от ЕЗФРСР и на отделна стратегия, финансирана от ЕФМДР, се допуска създаването и одобрението на МИГ и МИРГ, без да се допуска финансиране на едни и същи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предотвратяване на възможността за двойно финансиране няма да се допуска подкрепа за едни и същи дейности по стратегия за водено от общностите местно развитие и по ПМДР. Всеки проект, предложен за одобрение към стратегиите за воденото от общностите местно развитие се проверява за отсъствие на двойно финансиране по съответните мерки към ОП 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Европейския земеделски фонд за гарантиране (ЕФГЗ)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ще извършва кръстосани проверки с цел предотвратяване на двойно финансиране между ПРСР и схемите за подкрепа по ЕФГЗ.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w:t>
            </w:r>
            <w:r>
              <w:rPr>
                <w:rFonts w:ascii="Times New Roman" w:eastAsia="Times New Roman" w:hAnsi="Times New Roman" w:cs="Times New Roman"/>
                <w:i/>
                <w:iCs/>
                <w:szCs w:val="24"/>
              </w:rPr>
              <w:t>сектор „Плодове и зеленчуци“</w:t>
            </w:r>
            <w:r>
              <w:rPr>
                <w:rFonts w:ascii="Times New Roman" w:eastAsia="Times New Roman" w:hAnsi="Times New Roman" w:cs="Times New Roman"/>
                <w:szCs w:val="24"/>
              </w:rPr>
              <w:t xml:space="preserve"> организациите на производителите няма да бъдат подпомагани по ПРСР за дейности включени за подпомагане в техните Оперативни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w:t>
            </w:r>
            <w:r>
              <w:rPr>
                <w:rFonts w:ascii="Times New Roman" w:eastAsia="Times New Roman" w:hAnsi="Times New Roman" w:cs="Times New Roman"/>
                <w:i/>
                <w:iCs/>
                <w:szCs w:val="24"/>
              </w:rPr>
              <w:t>сектор „Вино“</w:t>
            </w:r>
            <w:r>
              <w:rPr>
                <w:rFonts w:ascii="Times New Roman" w:eastAsia="Times New Roman" w:hAnsi="Times New Roman" w:cs="Times New Roman"/>
                <w:szCs w:val="24"/>
              </w:rPr>
              <w:t xml:space="preserve"> финансова помощ по ПРСР няма да бъде предоставяна за инвестиции, допустими за подпомагане по „Национална програма за подпомагане на лозаро – винарския сектор“. По ПРСР няма да се подпомагат дейности, свързани с конверсия на сортовия състав на насажденията със сортове, класифицирани за съответните лозарски райони на страната, преструктуриране на лозя и подобряване на техниките за управление на лозя. По ПРСР няма да се подпомагат дейности, свързани с инвестиции за производство на лозаро-винарски продукти и общи разходи свързани с тях допустими за подпомагане по „Национална програма за подпомагане на лозаро – винарския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w:t>
            </w:r>
            <w:r>
              <w:rPr>
                <w:rFonts w:ascii="Times New Roman" w:eastAsia="Times New Roman" w:hAnsi="Times New Roman" w:cs="Times New Roman"/>
                <w:i/>
                <w:iCs/>
                <w:szCs w:val="24"/>
              </w:rPr>
              <w:t>сектор „Пчеларство“</w:t>
            </w:r>
            <w:r>
              <w:rPr>
                <w:rFonts w:ascii="Times New Roman" w:eastAsia="Times New Roman" w:hAnsi="Times New Roman" w:cs="Times New Roman"/>
                <w:szCs w:val="24"/>
              </w:rPr>
              <w:t xml:space="preserve"> в рамките на „Национална програма по пчеларство 2014-2016“ за закупуване на пчелни кошери ще бъдат подпомагани земеделски производители, които притежават до 150 пчелни кошера. По ПРСР ще се подпомагат инвестиции и кандидати в пчеларство, които не се подпомагат по „Национална програма по пчеларство 2014-2016“. За инвестициите, свързани с преработката на пчелен мед ще бъде направено пълно разграничение между инвестициите подпомагани по ПРСР и тези подпомагани по „Национална програма по пчеларство 2014-2016“.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Инвестиционни дейности няма да бъдат подпомагани в </w:t>
            </w:r>
            <w:r>
              <w:rPr>
                <w:rFonts w:ascii="Times New Roman" w:eastAsia="Times New Roman" w:hAnsi="Times New Roman" w:cs="Times New Roman"/>
                <w:i/>
                <w:iCs/>
                <w:szCs w:val="24"/>
              </w:rPr>
              <w:t>сектор „Тютюн“.</w:t>
            </w:r>
            <w:r>
              <w:rPr>
                <w:rFonts w:ascii="Times New Roman" w:eastAsia="Times New Roman" w:hAnsi="Times New Roman" w:cs="Times New Roman"/>
                <w:szCs w:val="24"/>
              </w:rPr>
              <w:t xml:space="preserve"> Производители на тютюн ще се подпомагат за дейности извън неговото производството.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Производството, преработката и маркетинга на </w:t>
            </w:r>
            <w:r>
              <w:rPr>
                <w:rFonts w:ascii="Times New Roman" w:eastAsia="Times New Roman" w:hAnsi="Times New Roman" w:cs="Times New Roman"/>
                <w:i/>
                <w:iCs/>
                <w:szCs w:val="24"/>
              </w:rPr>
              <w:t>зехтин</w:t>
            </w:r>
            <w:r>
              <w:rPr>
                <w:rFonts w:ascii="Times New Roman" w:eastAsia="Times New Roman" w:hAnsi="Times New Roman" w:cs="Times New Roman"/>
                <w:szCs w:val="24"/>
              </w:rPr>
              <w:t xml:space="preserve"> няма да бъдат подпомагани по ПРСР. Дейностите, подпомагани по чл. 6 от Регламент (EC) № 1952/2005 няма да бъдат подпомагани по ПРСР. В рамките на ПРСР няма да се подпомагат инвестициите за преработката на суровини за производство на </w:t>
            </w:r>
            <w:r>
              <w:rPr>
                <w:rFonts w:ascii="Times New Roman" w:eastAsia="Times New Roman" w:hAnsi="Times New Roman" w:cs="Times New Roman"/>
                <w:i/>
                <w:iCs/>
                <w:szCs w:val="24"/>
              </w:rPr>
              <w:t>захар и/или сладкарски изделия</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Мерките в </w:t>
            </w:r>
            <w:r>
              <w:rPr>
                <w:rFonts w:ascii="Times New Roman" w:eastAsia="Times New Roman" w:hAnsi="Times New Roman" w:cs="Times New Roman"/>
                <w:b/>
                <w:bCs/>
                <w:szCs w:val="24"/>
              </w:rPr>
              <w:t>Първи и Втори стълб на ОСП</w:t>
            </w:r>
            <w:r>
              <w:rPr>
                <w:rFonts w:ascii="Times New Roman" w:eastAsia="Times New Roman" w:hAnsi="Times New Roman" w:cs="Times New Roman"/>
                <w:szCs w:val="24"/>
              </w:rPr>
              <w:t>, насочени към важните и уязвими сектори за България като  животновъдството, зеленчукопроизводството и трайните насаждения са консистентни и в същото време демаркирани, като подпомагането е насочено към изпълнението на различни цели и дейности, което елиминира риска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Решение на Министерския съвет № 564 от 31 юли 2014 г. бе приета концепция относно прилагането на директните плащания в Република България от 2015 г. В тази концепция няма нотифицирани еквивалентни практики свързани с екологично насочените площи по Стълб І, които да се дублират с дейностите подпомагани по агроекологичните мерки от Стълб ІІ. България ще прилага пълния списък от Екологично насочени площи, които са установени в Регламент (ЕС) № 1307/2013, с изключение на традиционни каменни стени, горски-земеделски системи и залесени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избегне двойно финансиране, при изчисляването на пропуснатите доходи и допълнителните разходи, произтичащи от ангажиментите, поети по силата на чл.28,29 и 30 от Регламент  (ЕС) № 1305/2013, се  взима предвид само тези разходи и приходи, които са свързани с ангажиментите, които надхвърлят съответните зелени (екологични) практики.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проекта за изменението на закона за подпомагане на земеделските производители е предвидено определение за активен фермер съгласно изискванията на Регламент (ЕС) № 1307/2013.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отношение на </w:t>
            </w:r>
            <w:r>
              <w:rPr>
                <w:rFonts w:ascii="Times New Roman" w:eastAsia="Times New Roman" w:hAnsi="Times New Roman" w:cs="Times New Roman"/>
                <w:i/>
                <w:iCs/>
                <w:szCs w:val="24"/>
              </w:rPr>
              <w:t>младите фермери</w:t>
            </w:r>
            <w:r>
              <w:rPr>
                <w:rFonts w:ascii="Times New Roman" w:eastAsia="Times New Roman" w:hAnsi="Times New Roman" w:cs="Times New Roman"/>
                <w:szCs w:val="24"/>
              </w:rPr>
              <w:t xml:space="preserve"> по схемата за млади земеделски стопани от Стълб I е предвидено предоставяне на специално годишно плащане за млади фермери, като допълнение към плащането по СЕПП, за насърчаване процеса на създаване на стопанства от млади земеделски производители. Подпомагането е на ха за първите 5 години от установяване на стопанството до навършване на 40 годишна възраст на фермера.  По подмярка 6.1 от ПРСР се предоставя еднократно подпомагане за установяване на стопанството на младия фермер. Подпомагането на младия фермер е за стартиране на селскостопанска дейност, установена не по-късно от 18 месеца, който трябва да е на възраст до 40 ненавършени години и размера на стопанството да бъде най-малко 8000 евро СПО.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отношение на </w:t>
            </w:r>
            <w:r>
              <w:rPr>
                <w:rFonts w:ascii="Times New Roman" w:eastAsia="Times New Roman" w:hAnsi="Times New Roman" w:cs="Times New Roman"/>
                <w:i/>
                <w:iCs/>
                <w:szCs w:val="24"/>
              </w:rPr>
              <w:t>схемата за малките стопанства</w:t>
            </w:r>
            <w:r>
              <w:rPr>
                <w:rFonts w:ascii="Times New Roman" w:eastAsia="Times New Roman" w:hAnsi="Times New Roman" w:cs="Times New Roman"/>
                <w:szCs w:val="24"/>
              </w:rPr>
              <w:t xml:space="preserve"> по Стълб I е предвидено  право на подпомагане по схемата за дребни земеделски стопани на всички, които през 2015 г. са подали заявление по СЕПП и отговарят на минималните изисквания за получаване на директни плащания. Подпомагането по тази схема е доброволен избор от страна на земеделския производител и замества всички останали схеми за директните плащания. Тематичната подпрограма за малките земеделски стопани към ПРСР подпомага тяхното преструктуриране, устойчиво икономическо развитие и жизнеспособност чрез набор от мерки, като изискването е стопанството да отговаря на определен размер – между 2000 и 7999 евро в СПО.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Първи стълб на ОСП</w:t>
            </w:r>
            <w:r>
              <w:rPr>
                <w:rFonts w:ascii="Times New Roman" w:eastAsia="Times New Roman" w:hAnsi="Times New Roman" w:cs="Times New Roman"/>
                <w:i/>
                <w:iCs/>
                <w:szCs w:val="24"/>
                <w:u w:val="single"/>
              </w:rPr>
              <w:t xml:space="preserve"> на мярка 9 „Учредяване на групи и организации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прилагането на мярката ще бъдат осигурени необходимите проверки за гарантиране избягването на двойно финансиране с първи стълб от ОСП. РА ще извършва кръстосана проверка, целяща избягване на двойното финансиране по ПРСР и схемите за подпомагане в рамките на Стълб I. Инвестиционните проекти, които има възможност да попаднат в обсега на схемите за подпомагане по Стълб I  от ОСП ще бъдат проверявани индивидуално за възможно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„Плодове и зеленчуци”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на производителите няма да бъдат подпомагани по мярката за дейности включени за подпомагане в техните Оперативни програми, съгласно Регламент (EC) № 1308/2013.</w:t>
            </w:r>
          </w:p>
          <w:p>
            <w:pPr>
              <w:pStyle w:val="BodyText"/>
              <w:jc w:val="both"/>
              <w:rPr>
                <w:b w:val="0"/>
              </w:rPr>
            </w:pPr>
          </w:p>
        </w:tc>
      </w:tr>
    </w:tbl>
    <w:p>
      <w:pPr>
        <w:pStyle w:val="Heading3"/>
        <w:jc w:val="left"/>
        <w:rPr>
          <w:b w:val="0"/>
        </w:rPr>
      </w:pPr>
      <w:bookmarkStart w:id="227" w:name="_Toc256000227"/>
      <w:r>
        <w:rPr>
          <w:b w:val="0"/>
        </w:rPr>
        <w:t>Когато държавата членка е избрала да представи национална програма, и пакет от регионални програми, както е посочено в член 6, параграф 2 от Регламент (ЕС) № 1305/2013 — информация за взаимно допълване помежду им</w:t>
      </w:r>
      <w:bookmarkEnd w:id="22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pStyle w:val="Heading2"/>
        <w:rPr>
          <w:b w:val="0"/>
        </w:rPr>
      </w:pPr>
      <w:bookmarkStart w:id="228" w:name="_Toc256000228"/>
      <w:r>
        <w:rPr>
          <w:b w:val="0"/>
        </w:rPr>
        <w:t>Когато е целесъобразно, информация за взаимното допълване с други финансови инструменти на Съюза, включително програма LIFE</w:t>
      </w:r>
      <w:bookmarkEnd w:id="22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Програмите за Европейско териториално сътрудничество и Дунавската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Координацията по отношение на програмите за европейско териториално сътрудничество и синергията със Стратегията на ЕС за Дунавския регион се осъществява чрез включване на представители на националните координатори на приоритети и Управляващи органи в процеса на подготовка и изпълнение на програмите.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Програмите за европейско териториално сътрудничество и Транснационалната програма „Дунав“ допринасят за осъществяването на политиката на сближаване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Координацията на дейностите по Стратегията на ЕС за Дунавския регион на национално ниво се осигуряват чрез национален механизъм за координация  (НМК), създаден през 2012 г. НМК осигурява ефективна координация на национално ниво чрез активното участие на всички заинтересовани страни – УО на оперативни програми и ПТС, местни власти, неправителствен сектор, гражданското общество и научните среди. Заседанията на националната координационна група за изпълнение на Дунавската стратегия се провеждат два пъти годишно и се администрират от дирекция „ЕКМС“ в МРРБ, изпълняваща функциите на секретариат. Основна функция на групата е да координира процеса на включване и последващо изпълнение на целите на Дунавската стратегия в отделни национални документи и осигуряване на допълняемост между тях.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Програма за транснационално сътрудничество „Балкани – Средиземно море“  2014 – 2020 г. , както и останалите трансгранични и транснационални програми, които имат териториално препокриване с ПРСР ще осъществяват координация чрез обмен на информация между Управляващите органи за всеки проект,  Съвместните технически секретариати и други органи на управление и контрол, които отговарят за изпълнението на тези програми, проекти и, когато е уместно, резултати.</w:t>
            </w:r>
            <w:r>
              <w:rPr>
                <w:rFonts w:ascii="Times New Roman" w:eastAsia="Times New Roman" w:hAnsi="Times New Roman" w:cs="Times New Roman"/>
                <w:szCs w:val="24"/>
              </w:rPr>
              <w:br/>
            </w: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Възможност за насърчаване на взаимното допълване между фондовете е използването на допълващо или надграждащо финансиране за проекти. Такава възможност е например програма „Хоризонт 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Рамковата програма за научни изследвания и иновации „Хоризонт 2020― (2014-2020 г.) ще бъде основният финансов механизъм за Иновационния съюз – една от водещите инициативи на ЕС по стратегия „Европа 2020― за постигане на интелигентен, устойчив и приобщаващ растеж.</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„Хоризонт 2020“ е структурирана около целите, определени за нейните три основни приоритета: „Високи постижения в научната област“, „Водещи позиции в промишлеността“ и „Обществени предизвикателства“. За постигането на целите на „Хоризонт 2020“ ще се поставя силен акцент върху намирането на ефикасни решения, като подходът ще излиза далеч извън рамките на традиционните научни и технологични дисциплини и сектори в икономиката.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Реализирането на областите на интервенция по ПРСР ще имат надграждащ и допълващ ефект към приоритет 3 „Обществени предизвикателства” на „Хоризонт 2020“ и по-специално в област „Продоволствена сигурност, устойчиво земеделие и горско стопанство и биоикономика“. Ще се следи за избягване на двойно финансиране на ниво проекти – бенефициент, целеви групи, допустими дейности, резултати.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ПС ИНТЕРРЕГ ЕВРОПА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 цел на ИНТЕРРЕГ ЕВРОПА е да продължи процеса на обмен на опит и усвояване на политики между публичните органи за подобряване изпълнението на политиките и програмите по цел 1 „Инвестиции за растеж и работни места”. В периода 2014-2020 програмата ще работи по четири теми, всички свързани с регионалното развитие: „Научноизследователска дейност, технологично развитие и иновации”, „Конкурентоспособност на малките и средните предприятия”, „Нисковъглеродна икономика” и „Околна среда и ресурсна ефективност”.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Програмата позволява на публичните органи, публично правните организации и организациите с нестопанска цел за осъществяване на дейност в частна полза, ангажирани с регионалното развитие в Европа, да обменят практики и идеи за изпълнението на публичните политики, намирайки по този начин решения за подобряване на техните стратегии в полза на гражданите в съответствие с приоритетите на „Европа 2020” за интелигентен, устойчив и приобщаващ растеж. Няма дублиране на допустими дейности по отношение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ОП „УРБАКТ III”</w:t>
            </w:r>
            <w:r>
              <w:rPr>
                <w:rFonts w:ascii="Times New Roman" w:eastAsia="Times New Roman" w:hAnsi="Times New Roman" w:cs="Times New Roman"/>
                <w:szCs w:val="24"/>
              </w:rPr>
              <w:t xml:space="preserve"> се фокусира върху специфичен инвестиционен приоритет в рамките на тематична цел 11: „</w:t>
            </w:r>
            <w:r>
              <w:rPr>
                <w:rFonts w:ascii="Times New Roman" w:eastAsia="Times New Roman" w:hAnsi="Times New Roman" w:cs="Times New Roman"/>
                <w:i/>
                <w:iCs/>
                <w:szCs w:val="24"/>
              </w:rPr>
              <w:t>Повишаване на институционалния капацитет и ефективна публична администрация” чрез единствена приоритетна ос – „Подкрепа за интегрирано устойчиво градско развитие”</w:t>
            </w:r>
            <w:r>
              <w:rPr>
                <w:rFonts w:ascii="Times New Roman" w:eastAsia="Times New Roman" w:hAnsi="Times New Roman" w:cs="Times New Roman"/>
                <w:szCs w:val="24"/>
              </w:rPr>
              <w:t>. Дефинирани са четири специфични цели, които ще бъдат реализирани от партньорите в проекти чрез участието им в три вида мрежи – за планиране на действия, за изпълнение и за трансфер на опит. Чрез тях оперативната програма предоставя механизъм, с който участващите заинтересовани страни да разработват и осъществяват по-добри политики и действия за интелигентна, приобщаваща и устойчива урбанистична политика в градовете. Допустими партньори са градове (общини), сдружения и местни агенции. Няма дублиране на допустими дейности по отношение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България ще продължи да поддържа Единен информационен портал за обща информация за управлението на средствата от Европейските фондове в Република България (ИСУН). Порталът ще обхваща всички ЕСИФ, където ще може да се извършва проверка за всеки проект и бенефициент.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Програмата на Европейския съюз за заетост и социални иновации (EAS) осигурява финансова подкрепа за осъществяване на практика на идеите за реформи, за да ги оцени и доразвие най-добрите идеи в държавите-членки, които допринасят за постигане на целите на стратегията Европа 2020 за работни места и социално включване. ЕЗФРСР допринася за създаването на работни места и засилване на социалното включване, чрез подкрепа на създаването и развитието на предприятията в селското стопанство и неземеделските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ПРСР няма да финансира проекти, които са обект на финансиране от програма LIFE.</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Life не финансира мерки, които отговарят на критериите на други финансови инструменти на Общността или които получават помощ от Европейския фонд за регионално развитие, Европейския социален фонд, Кохезионния фонд, Европейския земеделски фонд за развитие на селските райони, Рамковата програма за иновации и конкурентоспособност на Европейския фонд за риболова или от Рамковата програма за научни изследвания и иновации „Хоризонт 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Синергията между LIFE и ЕЗФРСР ще бъдат осигурена чрез популяризиране на дейностите, финансирани от ЕЗФРСР, които допълват интегрирани LIFE проекти по отношение на водите  и на биологичното разнообразие, изменението на климата, смекчаване и адаптиране на климатичните промени, и т.н. Също така, решения, методи и подходи, осъществени чрез LIFE (например иновативни технологии) ще бъдат подпомогнато чрез ЕЗФРСР в съответствие с европейските стратегии за опазване на околната среда и изменението на климата.</w:t>
            </w:r>
          </w:p>
          <w:p>
            <w:pPr>
              <w:pStyle w:val="BodyText"/>
              <w:jc w:val="both"/>
              <w:rPr>
                <w:b w:val="0"/>
              </w:rPr>
            </w:pPr>
          </w:p>
        </w:tc>
      </w:tr>
    </w:tbl>
    <w:p>
      <w:pPr>
        <w:rPr>
          <w:b w:val="0"/>
        </w:rPr>
        <w:sectPr>
          <w:pgMar w:top="900" w:right="900" w:bottom="900" w:left="900" w:header="720" w:footer="720"/>
          <w:cols w:space="720"/>
        </w:sectPr>
      </w:pPr>
    </w:p>
    <w:p>
      <w:pPr>
        <w:pStyle w:val="Heading1"/>
      </w:pPr>
      <w:bookmarkStart w:id="229" w:name="_Toc256000229"/>
      <w:r>
        <w:t>Организация за изпълнението на програмата</w:t>
      </w:r>
      <w:bookmarkEnd w:id="229"/>
    </w:p>
    <w:p>
      <w:pPr>
        <w:pStyle w:val="Heading2"/>
      </w:pPr>
      <w:bookmarkStart w:id="230" w:name="_Toc256000230"/>
      <w:r>
        <w:t>Всички определени от държавата членка органи, предвидени в член 65, параграф 2 от Регламент (ЕС) № 1305/2013, и кратко описание на структурата за управление и контрол на програмата съгласно изискването в член 55, параграф 3, буква и) от Регламент (ЕС) № 1303/2013 и на уредбата, предвидена в член 74, параграф 3 от Регламент (ЕС) № 1303/2013</w:t>
      </w:r>
      <w:bookmarkEnd w:id="230"/>
    </w:p>
    <w:p>
      <w:pPr>
        <w:pStyle w:val="Heading3"/>
        <w:jc w:val="left"/>
        <w:rPr>
          <w:b w:val="0"/>
        </w:rPr>
      </w:pPr>
      <w:bookmarkStart w:id="231" w:name="_Toc256000231"/>
      <w:r>
        <w:rPr>
          <w:b w:val="0"/>
        </w:rPr>
        <w:t>Органи</w:t>
      </w:r>
      <w:bookmarkEnd w:id="23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131"/>
        <w:gridCol w:w="2131"/>
        <w:gridCol w:w="2131"/>
        <w:gridCol w:w="2131"/>
        <w:gridCol w:w="213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000" w:type="dxa"/>
            <w:shd w:val="clear" w:color="auto" w:fill="C0C0C0"/>
            <w:noWrap w:val="0"/>
            <w:tcMar>
              <w:top w:w="60" w:type="dxa"/>
            </w:tcMar>
            <w:vAlign w:val="top"/>
          </w:tcPr>
          <w:p>
            <w:pPr>
              <w:jc w:val="center"/>
              <w:rPr>
                <w:b/>
                <w:sz w:val="20"/>
              </w:rPr>
            </w:pPr>
            <w:r>
              <w:rPr>
                <w:b/>
                <w:sz w:val="20"/>
              </w:rPr>
              <w:t>Орган</w:t>
            </w:r>
          </w:p>
        </w:tc>
        <w:tc>
          <w:tcPr>
            <w:tcW w:w="12000" w:type="dxa"/>
            <w:shd w:val="clear" w:color="auto" w:fill="C0C0C0"/>
            <w:noWrap w:val="0"/>
            <w:tcMar>
              <w:top w:w="60" w:type="dxa"/>
            </w:tcMar>
            <w:vAlign w:val="top"/>
          </w:tcPr>
          <w:p>
            <w:pPr>
              <w:jc w:val="center"/>
              <w:rPr>
                <w:b/>
                <w:sz w:val="20"/>
              </w:rPr>
            </w:pPr>
            <w:r>
              <w:rPr>
                <w:b/>
                <w:sz w:val="20"/>
              </w:rPr>
              <w:t>Наименование на органа</w:t>
            </w:r>
          </w:p>
        </w:tc>
        <w:tc>
          <w:tcPr>
            <w:tcW w:w="12000" w:type="dxa"/>
            <w:shd w:val="clear" w:color="auto" w:fill="C0C0C0"/>
            <w:noWrap w:val="0"/>
            <w:tcMar>
              <w:top w:w="60" w:type="dxa"/>
            </w:tcMar>
            <w:vAlign w:val="top"/>
          </w:tcPr>
          <w:p>
            <w:pPr>
              <w:jc w:val="center"/>
              <w:rPr>
                <w:b/>
                <w:sz w:val="20"/>
              </w:rPr>
            </w:pPr>
            <w:r>
              <w:rPr>
                <w:b/>
                <w:sz w:val="20"/>
              </w:rPr>
              <w:t>Име на лицето, отговарящо за органа</w:t>
            </w:r>
          </w:p>
        </w:tc>
        <w:tc>
          <w:tcPr>
            <w:tcW w:w="12000" w:type="dxa"/>
            <w:shd w:val="clear" w:color="auto" w:fill="C0C0C0"/>
            <w:noWrap w:val="0"/>
            <w:tcMar>
              <w:top w:w="60" w:type="dxa"/>
            </w:tcMar>
            <w:vAlign w:val="top"/>
          </w:tcPr>
          <w:p>
            <w:pPr>
              <w:jc w:val="center"/>
              <w:rPr>
                <w:b/>
                <w:sz w:val="20"/>
              </w:rPr>
            </w:pPr>
            <w:r>
              <w:rPr>
                <w:b/>
                <w:sz w:val="20"/>
              </w:rPr>
              <w:t>Адрес</w:t>
            </w:r>
          </w:p>
        </w:tc>
        <w:tc>
          <w:tcPr>
            <w:tcW w:w="12000" w:type="dxa"/>
            <w:shd w:val="clear" w:color="auto" w:fill="C0C0C0"/>
            <w:noWrap w:val="0"/>
            <w:tcMar>
              <w:top w:w="60" w:type="dxa"/>
            </w:tcMar>
            <w:vAlign w:val="top"/>
          </w:tcPr>
          <w:p>
            <w:pPr>
              <w:jc w:val="center"/>
              <w:rPr>
                <w:b w:val="0"/>
                <w:sz w:val="20"/>
              </w:rPr>
            </w:pPr>
            <w:r>
              <w:rPr>
                <w:b/>
                <w:sz w:val="20"/>
              </w:rPr>
              <w:t>Адрес на електронна поща</w:t>
            </w:r>
          </w:p>
        </w:tc>
      </w:tr>
      <w:tr>
        <w:tblPrEx>
          <w:tblW w:w="5000" w:type="pct"/>
          <w:tblCellMar>
            <w:left w:w="108" w:type="dxa"/>
            <w:right w:w="108" w:type="dxa"/>
          </w:tblCellMar>
        </w:tblPrEx>
        <w:tc>
          <w:tcPr>
            <w:tcW w:w="12000" w:type="dxa"/>
            <w:shd w:val="clear" w:color="auto" w:fill="FFFFFF"/>
            <w:noWrap w:val="0"/>
            <w:tcMar>
              <w:top w:w="60" w:type="dxa"/>
            </w:tcMar>
            <w:vAlign w:val="top"/>
          </w:tcPr>
          <w:p>
            <w:pPr>
              <w:jc w:val="left"/>
              <w:rPr>
                <w:b w:val="0"/>
                <w:sz w:val="16"/>
              </w:rPr>
            </w:pPr>
            <w:r>
              <w:rPr>
                <w:b w:val="0"/>
                <w:sz w:val="16"/>
              </w:rPr>
              <w:t>Managing authority</w:t>
            </w:r>
          </w:p>
        </w:tc>
        <w:tc>
          <w:tcPr>
            <w:tcW w:w="12000" w:type="dxa"/>
            <w:shd w:val="clear" w:color="auto" w:fill="FFFFFF"/>
            <w:noWrap w:val="0"/>
            <w:tcMar>
              <w:top w:w="60" w:type="dxa"/>
            </w:tcMar>
            <w:vAlign w:val="top"/>
          </w:tcPr>
          <w:p>
            <w:pPr>
              <w:jc w:val="left"/>
              <w:rPr>
                <w:b w:val="0"/>
                <w:sz w:val="16"/>
              </w:rPr>
            </w:pPr>
            <w:r>
              <w:rPr>
                <w:b w:val="0"/>
                <w:sz w:val="16"/>
              </w:rPr>
              <w:t>Дирекция "Развитие на селските райони" (РСР) в Министерството на земеделието и храните</w:t>
            </w:r>
          </w:p>
        </w:tc>
        <w:tc>
          <w:tcPr>
            <w:tcW w:w="12000" w:type="dxa"/>
            <w:shd w:val="clear" w:color="auto" w:fill="FFFFFF"/>
            <w:noWrap w:val="0"/>
            <w:tcMar>
              <w:top w:w="60" w:type="dxa"/>
            </w:tcMar>
            <w:vAlign w:val="top"/>
          </w:tcPr>
          <w:p>
            <w:pPr>
              <w:jc w:val="left"/>
              <w:rPr>
                <w:b w:val="0"/>
                <w:sz w:val="16"/>
              </w:rPr>
            </w:pPr>
            <w:r>
              <w:rPr>
                <w:b w:val="0"/>
                <w:sz w:val="16"/>
              </w:rPr>
              <w:t>Директор на дирекция “Развитие на селските райони”</w:t>
            </w:r>
          </w:p>
        </w:tc>
        <w:tc>
          <w:tcPr>
            <w:tcW w:w="12000" w:type="dxa"/>
            <w:shd w:val="clear" w:color="auto" w:fill="FFFFFF"/>
            <w:noWrap w:val="0"/>
            <w:tcMar>
              <w:top w:w="60" w:type="dxa"/>
            </w:tcMar>
            <w:vAlign w:val="top"/>
          </w:tcPr>
          <w:p>
            <w:pPr>
              <w:jc w:val="left"/>
              <w:rPr>
                <w:b w:val="0"/>
                <w:sz w:val="16"/>
              </w:rPr>
            </w:pPr>
            <w:r>
              <w:rPr>
                <w:b w:val="0"/>
                <w:sz w:val="16"/>
              </w:rPr>
              <w:t>бул. "Христо Ботев" 55, София 1040</w:t>
            </w:r>
          </w:p>
        </w:tc>
        <w:tc>
          <w:tcPr>
            <w:tcW w:w="12000" w:type="dxa"/>
            <w:shd w:val="clear" w:color="auto" w:fill="FFFFFF"/>
            <w:noWrap w:val="0"/>
            <w:tcMar>
              <w:top w:w="60" w:type="dxa"/>
            </w:tcMar>
            <w:vAlign w:val="top"/>
          </w:tcPr>
          <w:p>
            <w:pPr>
              <w:jc w:val="left"/>
              <w:rPr>
                <w:b w:val="0"/>
                <w:sz w:val="16"/>
              </w:rPr>
            </w:pPr>
            <w:r>
              <w:rPr>
                <w:b w:val="0"/>
                <w:sz w:val="16"/>
              </w:rPr>
              <w:t>EAIvanova@mzh.government.bg</w:t>
            </w:r>
          </w:p>
        </w:tc>
      </w:tr>
      <w:tr>
        <w:tblPrEx>
          <w:tblW w:w="5000" w:type="pct"/>
          <w:tblCellMar>
            <w:left w:w="108" w:type="dxa"/>
            <w:right w:w="108" w:type="dxa"/>
          </w:tblCellMar>
        </w:tblPrEx>
        <w:tc>
          <w:tcPr>
            <w:tcW w:w="12000" w:type="dxa"/>
            <w:shd w:val="clear" w:color="auto" w:fill="FFFFFF"/>
            <w:noWrap w:val="0"/>
            <w:tcMar>
              <w:top w:w="60" w:type="dxa"/>
            </w:tcMar>
            <w:vAlign w:val="top"/>
          </w:tcPr>
          <w:p>
            <w:pPr>
              <w:jc w:val="left"/>
              <w:rPr>
                <w:b w:val="0"/>
                <w:sz w:val="16"/>
              </w:rPr>
            </w:pPr>
            <w:r>
              <w:rPr>
                <w:b w:val="0"/>
                <w:sz w:val="16"/>
              </w:rPr>
              <w:t>Certification body</w:t>
            </w:r>
          </w:p>
        </w:tc>
        <w:tc>
          <w:tcPr>
            <w:tcW w:w="12000" w:type="dxa"/>
            <w:shd w:val="clear" w:color="auto" w:fill="FFFFFF"/>
            <w:noWrap w:val="0"/>
            <w:tcMar>
              <w:top w:w="60" w:type="dxa"/>
            </w:tcMar>
            <w:vAlign w:val="top"/>
          </w:tcPr>
          <w:p>
            <w:pPr>
              <w:jc w:val="left"/>
              <w:rPr>
                <w:b w:val="0"/>
                <w:sz w:val="16"/>
              </w:rPr>
            </w:pPr>
            <w:r>
              <w:rPr>
                <w:b w:val="0"/>
                <w:sz w:val="16"/>
              </w:rPr>
              <w:t>Изпълнителна Агенция „Сертификационен одит на средствата от европейските земеделски фондове“</w:t>
            </w:r>
          </w:p>
        </w:tc>
        <w:tc>
          <w:tcPr>
            <w:tcW w:w="12000" w:type="dxa"/>
            <w:shd w:val="clear" w:color="auto" w:fill="FFFFFF"/>
            <w:noWrap w:val="0"/>
            <w:tcMar>
              <w:top w:w="60" w:type="dxa"/>
            </w:tcMar>
            <w:vAlign w:val="top"/>
          </w:tcPr>
          <w:p>
            <w:pPr>
              <w:jc w:val="left"/>
              <w:rPr>
                <w:b w:val="0"/>
                <w:sz w:val="16"/>
              </w:rPr>
            </w:pPr>
            <w:r>
              <w:rPr>
                <w:b w:val="0"/>
                <w:sz w:val="16"/>
              </w:rPr>
              <w:t>Изпълнителен директор</w:t>
            </w:r>
          </w:p>
        </w:tc>
        <w:tc>
          <w:tcPr>
            <w:tcW w:w="12000" w:type="dxa"/>
            <w:shd w:val="clear" w:color="auto" w:fill="FFFFFF"/>
            <w:noWrap w:val="0"/>
            <w:tcMar>
              <w:top w:w="60" w:type="dxa"/>
            </w:tcMar>
            <w:vAlign w:val="top"/>
          </w:tcPr>
          <w:p>
            <w:pPr>
              <w:jc w:val="left"/>
              <w:rPr>
                <w:b w:val="0"/>
                <w:sz w:val="16"/>
              </w:rPr>
            </w:pPr>
            <w:r>
              <w:rPr>
                <w:b w:val="0"/>
                <w:sz w:val="16"/>
              </w:rPr>
              <w:t>бул. „Витоша“ 15, София 1000</w:t>
            </w:r>
          </w:p>
        </w:tc>
        <w:tc>
          <w:tcPr>
            <w:tcW w:w="12000" w:type="dxa"/>
            <w:shd w:val="clear" w:color="auto" w:fill="FFFFFF"/>
            <w:noWrap w:val="0"/>
            <w:tcMar>
              <w:top w:w="60" w:type="dxa"/>
            </w:tcMar>
            <w:vAlign w:val="top"/>
          </w:tcPr>
          <w:p>
            <w:pPr>
              <w:jc w:val="left"/>
              <w:rPr>
                <w:b w:val="0"/>
                <w:sz w:val="16"/>
              </w:rPr>
            </w:pPr>
            <w:r>
              <w:rPr>
                <w:b w:val="0"/>
                <w:sz w:val="16"/>
              </w:rPr>
              <w:t>ia@caaf.bg</w:t>
            </w:r>
          </w:p>
        </w:tc>
      </w:tr>
      <w:tr>
        <w:tblPrEx>
          <w:tblW w:w="5000" w:type="pct"/>
          <w:tblCellMar>
            <w:left w:w="108" w:type="dxa"/>
            <w:right w:w="108" w:type="dxa"/>
          </w:tblCellMar>
        </w:tblPrEx>
        <w:tc>
          <w:tcPr>
            <w:tcW w:w="12000" w:type="dxa"/>
            <w:shd w:val="clear" w:color="auto" w:fill="FFFFFF"/>
            <w:noWrap w:val="0"/>
            <w:tcMar>
              <w:top w:w="60" w:type="dxa"/>
            </w:tcMar>
            <w:vAlign w:val="top"/>
          </w:tcPr>
          <w:p>
            <w:pPr>
              <w:jc w:val="left"/>
              <w:rPr>
                <w:b w:val="0"/>
                <w:sz w:val="16"/>
              </w:rPr>
            </w:pPr>
            <w:r>
              <w:rPr>
                <w:b w:val="0"/>
                <w:sz w:val="16"/>
              </w:rPr>
              <w:t>Accredited paying agency</w:t>
            </w:r>
          </w:p>
        </w:tc>
        <w:tc>
          <w:tcPr>
            <w:tcW w:w="12000" w:type="dxa"/>
            <w:shd w:val="clear" w:color="auto" w:fill="FFFFFF"/>
            <w:noWrap w:val="0"/>
            <w:tcMar>
              <w:top w:w="60" w:type="dxa"/>
            </w:tcMar>
            <w:vAlign w:val="top"/>
          </w:tcPr>
          <w:p>
            <w:pPr>
              <w:jc w:val="left"/>
              <w:rPr>
                <w:b w:val="0"/>
                <w:sz w:val="16"/>
              </w:rPr>
            </w:pPr>
            <w:r>
              <w:rPr>
                <w:b w:val="0"/>
                <w:sz w:val="16"/>
              </w:rPr>
              <w:t>Държавен Фонд "Земеделие" - РА</w:t>
            </w:r>
          </w:p>
        </w:tc>
        <w:tc>
          <w:tcPr>
            <w:tcW w:w="12000" w:type="dxa"/>
            <w:shd w:val="clear" w:color="auto" w:fill="FFFFFF"/>
            <w:noWrap w:val="0"/>
            <w:tcMar>
              <w:top w:w="60" w:type="dxa"/>
            </w:tcMar>
            <w:vAlign w:val="top"/>
          </w:tcPr>
          <w:p>
            <w:pPr>
              <w:jc w:val="left"/>
              <w:rPr>
                <w:b w:val="0"/>
                <w:sz w:val="16"/>
              </w:rPr>
            </w:pPr>
            <w:r>
              <w:rPr>
                <w:b w:val="0"/>
                <w:sz w:val="16"/>
              </w:rPr>
              <w:t>Изпълнителен директор</w:t>
            </w:r>
          </w:p>
        </w:tc>
        <w:tc>
          <w:tcPr>
            <w:tcW w:w="12000" w:type="dxa"/>
            <w:shd w:val="clear" w:color="auto" w:fill="FFFFFF"/>
            <w:noWrap w:val="0"/>
            <w:tcMar>
              <w:top w:w="60" w:type="dxa"/>
            </w:tcMar>
            <w:vAlign w:val="top"/>
          </w:tcPr>
          <w:p>
            <w:pPr>
              <w:jc w:val="left"/>
              <w:rPr>
                <w:b w:val="0"/>
                <w:sz w:val="16"/>
              </w:rPr>
            </w:pPr>
            <w:r>
              <w:rPr>
                <w:b w:val="0"/>
                <w:sz w:val="16"/>
              </w:rPr>
              <w:t>бул."Цар Борис III" 136, София 1618</w:t>
            </w:r>
          </w:p>
        </w:tc>
        <w:tc>
          <w:tcPr>
            <w:tcW w:w="12000" w:type="dxa"/>
            <w:shd w:val="clear" w:color="auto" w:fill="FFFFFF"/>
            <w:noWrap w:val="0"/>
            <w:tcMar>
              <w:top w:w="60" w:type="dxa"/>
            </w:tcMar>
            <w:vAlign w:val="top"/>
          </w:tcPr>
          <w:p>
            <w:pPr>
              <w:jc w:val="left"/>
              <w:rPr>
                <w:b w:val="0"/>
                <w:sz w:val="16"/>
              </w:rPr>
            </w:pPr>
            <w:r>
              <w:rPr>
                <w:b w:val="0"/>
                <w:sz w:val="16"/>
              </w:rPr>
              <w:t>dfz@dfz.bg</w:t>
            </w:r>
          </w:p>
        </w:tc>
      </w:tr>
    </w:tbl>
    <w:p>
      <w:pPr>
        <w:pStyle w:val="Heading3"/>
        <w:jc w:val="left"/>
        <w:rPr>
          <w:b w:val="0"/>
        </w:rPr>
      </w:pPr>
      <w:bookmarkStart w:id="232" w:name="_Toc256000232"/>
      <w:r>
        <w:rPr>
          <w:b w:val="0"/>
        </w:rPr>
        <w:t>Кратко описание на структурата за управление и контрол на програмата и на процедурите за независимо разглеждане на жалби</w:t>
      </w:r>
      <w:bookmarkEnd w:id="232"/>
    </w:p>
    <w:p>
      <w:pPr>
        <w:pStyle w:val="Heading4"/>
        <w:jc w:val="left"/>
        <w:rPr>
          <w:b w:val="0"/>
        </w:rPr>
      </w:pPr>
      <w:r>
        <w:rPr>
          <w:b w:val="0"/>
        </w:rPr>
        <w:t>Структура за управление и контрол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numPr>
                <w:ilvl w:val="0"/>
                <w:numId w:val="53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Управляващ орган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Дирекция “Развитие на селските райони” в Министерство на земеделието, храните и горите е административното звено, изпълняващо  функциите на управляващ орган (УО), определен от България с Решение на Министерски съвет № 792, от 17 декември 2013 г. за определяне на органите отговорни за управлението, контрола, координацията и одита на европейските структурни и инвестиционни фондове и други инструменти и инициативи на ЕС в периода  2014-2020г. и в съответствие с чл. 66 на Регламент (ЕС) № 1305/2013. Дирекцията е изпълнявала функциите на УО на ПРСР и за периода 2007-2013 г. и в тази връзка има необходимия капацитет и компетентности.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Управляващият орган е отговорен за ефикасното, ефективното и коректно управление и прилагане на ПРСР. </w:t>
            </w:r>
            <w:r>
              <w:rPr>
                <w:rFonts w:ascii="Times New Roman" w:eastAsia="Times New Roman" w:hAnsi="Times New Roman" w:cs="Times New Roman"/>
                <w:b/>
                <w:bCs/>
                <w:i/>
                <w:iCs/>
                <w:szCs w:val="24"/>
              </w:rPr>
              <w:t>Отговорностите на УО са изброени подробно в Приложение 5 към Раздел 15.1.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Ръководител на Управляващия орган е заместник-министър, отговорен за ПРСР 2014-2020 г.</w:t>
            </w:r>
            <w:r>
              <w:rPr>
                <w:rFonts w:ascii="Times New Roman" w:eastAsia="Times New Roman" w:hAnsi="Times New Roman" w:cs="Times New Roman"/>
                <w:i/>
                <w:iCs/>
                <w:szCs w:val="24"/>
                <w:u w:val="single"/>
              </w:rPr>
              <w:t>Ръководител на Управляващия орган може да бъде друго лице, назначено и упълномощено от Ръководителя на администрацията или организацията, в която се намира Управляващият орган</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ефективната работа на УО се изготвят Правила за работа. УО ще сключи с РА специален договор/споразумение, в който подробно са описани всички конкретни задължения/делегирани функции/дейности по отношение на прилагането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Съдържанието и периодичността на докладите от РА към УО също следва да бъдат уточнени в договора.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Програмата ще се осъществява от УО и от РА. Управляващият орган (Дирекция “РСР) ще бъде отговорен за договорирането на мерките „Трансфер на знания и действия по осведомяване”, „Консултантски услуги, управление на стопанството и услуги по заместване в стопанството”, “Инвестиции в инфраструктура” „Сътрудничество”, „Водено от общностите местно развитие/Лидер” и “Техническа помощ”. Човешките ресурси на УО ще бъдат адекватно разпределени съгласно споменатите по-горе отговорности.  Прилагането на другите мерки от Програмата ще се делегира на РА чрез договора споменат по-горе.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Органиграма на УО е в Приложение 4 към Раздел 15.1.</w:t>
            </w:r>
          </w:p>
          <w:p>
            <w:pPr>
              <w:numPr>
                <w:ilvl w:val="0"/>
                <w:numId w:val="53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Разплащателна агенция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Държавен фонд „Земеделие“ - е акредитираната за България, в програмния период 2007-2013 г.,  Разплащателна агенция (РА), чрез която се подпомагат земеделието, селските райони и рибарството със средства от ЕЗФГ,  ЕЗФРСР, ЕФР и от държавния бюджет. В зависимост от произхода на финансиране РА разполага с отделни структурни звена отговорни за администриране на схеми и мерки за директни плащания, механизми за регулиране на пазара, мерки за развитие на селските райони и плащания свързани с рибарството и аквакултурите. Тези структури работят в тясно сътрудничество с техническите служби, дирекциите отговорни за бюджетирането, осчетоводяването и извършването на плащанията, регистрацията и възстановяването на задълженията.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извършените плащания, както и на комуникацията и съхранението на информация, РА е отговорна за осигуряването на достатъчни гаранции, че:</w:t>
            </w:r>
          </w:p>
          <w:p>
            <w:pPr>
              <w:numPr>
                <w:ilvl w:val="0"/>
                <w:numId w:val="53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подадените молби са в съответствие с изискванията заложени в Програмата;</w:t>
            </w:r>
          </w:p>
          <w:p>
            <w:pPr>
              <w:numPr>
                <w:ilvl w:val="0"/>
                <w:numId w:val="5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извършените плащания се водят точни и изчерпателни счетоводни сметки;</w:t>
            </w:r>
          </w:p>
          <w:p>
            <w:pPr>
              <w:numPr>
                <w:ilvl w:val="0"/>
                <w:numId w:val="5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извършени проверките, предвидени в законодателството на ЕС;</w:t>
            </w:r>
          </w:p>
          <w:p>
            <w:pPr>
              <w:numPr>
                <w:ilvl w:val="0"/>
                <w:numId w:val="5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представени в срок изискуемите документи;</w:t>
            </w:r>
          </w:p>
          <w:p>
            <w:pPr>
              <w:numPr>
                <w:ilvl w:val="0"/>
                <w:numId w:val="53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документите се съхраняват така, че се  гарантира тяхното архивиране по правилата на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изпълнява функциите по одобряване, контрол, осчетоводяване и извършване на плащанията и всички задължения по одобрението на операциите и договорирането, делегирани от УО на ПРСР и уточнени в договор между УО и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Числеността и структурата на Държавен фонд „Земеделие”- РА е определен в Устройствен правилник. РА е структурирана в Централно управление и в 28 областни дирекции, в които се извършва прием и предварителна проверка за допустимост на заявления за подпомагане и заявки за плащане, а в централно управление се извършват всички останали регламентирани </w:t>
            </w:r>
            <w:r>
              <w:rPr>
                <w:rFonts w:ascii="Times New Roman" w:eastAsia="Times New Roman" w:hAnsi="Times New Roman" w:cs="Times New Roman"/>
                <w:b/>
                <w:bCs/>
                <w:szCs w:val="24"/>
                <w:u w:val="single"/>
              </w:rPr>
              <w:t>проверки в нормативната уредба или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Изключения правят мерките, за които се вземе решение за прилагане по децентрализиран подход.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административен капацитет и организационната й структура предвижда ясно разграничаване на правомощията и отговорностите на всички оперативни нива и отделянето на всички функции споменати по-горе. Служителите на РА преминават периодично подходящи обучения, включително за повишена бдителност за измами. Отговорностите на всеки служител са оформени в длъжностна характеристика като всеки служител носи отговорност за не повече от едно задължение по отношение на верификацията, оторизацията, осчетоводяването и плащането, както и всеки от служителите изпълнява съответните задачи задължително под надзора на друг служител и при спазване на изискването за одитна пътека. Персоналът на отговорни длъжности е обект на ротация или засилен надзор.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Органиграма на структурата на ДФЗ-РА е в Приложение 3 към Раздел 15.1.</w:t>
            </w:r>
          </w:p>
          <w:p>
            <w:pPr>
              <w:numPr>
                <w:ilvl w:val="0"/>
                <w:numId w:val="53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Структури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Отчитайки резултатите от прилагането на мерките от предходния програмен период, през програмен период 2014-2020 г. ще бъдат засилени функциите по предварителен и последващ контрол от страна на УО по отношение прилагането на мярка „Техническа помощ“, по отношение наблюдението и контрола на извършваните от РА проверки върху мярка „Водено от общностите местно развитие „ЛИДЕР“, както и по отношение на функциите за наблюдение и постоянен контрол, които УО ще извършва върху дейностите/функциите, които ще делегира на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РА </w:t>
            </w:r>
            <w:r>
              <w:rPr>
                <w:rFonts w:ascii="Times New Roman" w:eastAsia="Times New Roman" w:hAnsi="Times New Roman" w:cs="Times New Roman"/>
                <w:szCs w:val="24"/>
              </w:rPr>
              <w:t xml:space="preserve">извършва </w:t>
            </w:r>
            <w:r>
              <w:rPr>
                <w:rFonts w:ascii="Times New Roman" w:eastAsia="Times New Roman" w:hAnsi="Times New Roman" w:cs="Times New Roman"/>
                <w:b/>
                <w:bCs/>
                <w:szCs w:val="24"/>
              </w:rPr>
              <w:t>административен контрол</w:t>
            </w:r>
            <w:r>
              <w:rPr>
                <w:rFonts w:ascii="Times New Roman" w:eastAsia="Times New Roman" w:hAnsi="Times New Roman" w:cs="Times New Roman"/>
                <w:szCs w:val="24"/>
              </w:rPr>
              <w:t xml:space="preserve"> на всички заявления за подпомагане, заявки за плащане и други документи, изискуеми от бенефициентите; </w:t>
            </w:r>
            <w:r>
              <w:rPr>
                <w:rFonts w:ascii="Times New Roman" w:eastAsia="Times New Roman" w:hAnsi="Times New Roman" w:cs="Times New Roman"/>
                <w:b/>
                <w:bCs/>
                <w:szCs w:val="24"/>
              </w:rPr>
              <w:t>административни проверки</w:t>
            </w:r>
            <w:r>
              <w:rPr>
                <w:rFonts w:ascii="Times New Roman" w:eastAsia="Times New Roman" w:hAnsi="Times New Roman" w:cs="Times New Roman"/>
                <w:szCs w:val="24"/>
              </w:rPr>
              <w:t xml:space="preserve"> на заявките за плащане по инвестиционни операции (в т.ч. посещение на мястото с цел установяване на изпълнението на инвестицията) и </w:t>
            </w:r>
            <w:r>
              <w:rPr>
                <w:rFonts w:ascii="Times New Roman" w:eastAsia="Times New Roman" w:hAnsi="Times New Roman" w:cs="Times New Roman"/>
                <w:b/>
                <w:bCs/>
                <w:szCs w:val="24"/>
              </w:rPr>
              <w:t>проверки на място</w:t>
            </w:r>
            <w:r>
              <w:rPr>
                <w:rFonts w:ascii="Times New Roman" w:eastAsia="Times New Roman" w:hAnsi="Times New Roman" w:cs="Times New Roman"/>
                <w:szCs w:val="24"/>
              </w:rPr>
              <w:t>, които са на извадков принцип и се извършват от отделна специално създадена структура на РА, чийто служители не участват при извършване на административния контрол на операциите. Процедурите на РА и работата на звената й се проверяват от Вътрешен одит, който е на пряко подчинение на директора на ДФЗ-РА.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Сертифициращ орган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Постановление № 89 от 18 април 2016 г. на Министерския съвет се създаде Изпълнителна агенция „Сертификационен одит на средствата от европейските земеделски фондове“, която изпълнява функции на Сертифициращ орган за извършване на сертификационен одит за верността на финансовите отчети и изградената система за контрол в Разплащателната агенция на Република България по: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Европейски фонд за гарантиране на земеделието (ЕФГЗ);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Европейски земеделски фонд за развитие на селските райони (EЗФРСР)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Механизъм и структури, координиращи ЕСИФ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етап програмиране, принципът за допълване и координация между програмите се подпомага  от СКУСЕС, който в рамките на своите правомощия, разглежда работни варианти на Споразумението за партньорство и на програмите, с което осигурява взаимната съгласуваност на програмните документи и съответствието им с ОСР на Европейския съюз за програмния период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Ролята и функциите на всеки един от участниците в процеса са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Отговорен заместник министър-председател/министър с функции по координация и управление на средствата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Координира дейностите по програмирането, управлението, наблюдението и контрола на програмите. Осигурява взаимодействието на отделните звена и институции, ангажирани с процеса на изпълнение на програмите по ЕСИФ по отношение на прилагането на принципа на допълване на всеки от етапите.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Съвет за координация при управлението на средствата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на СКУСЕС са министрите, в чийто ресор са изпълняваните политики, които ще се финансират със средства от ЕС. Съветът осигурява на висше политическо ниво съгласуваност и взаимно допълване на мерките по програмите, с оглед реализиране на интегрирания ефект от тези мерки. Осигурява  възможности за финансиране на операции чрез съчетаване на различни финансови източници. В заседанията на съвета участват и представители на звената, компетентни по хоризонтални въпроси.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Комитет за наблюдение на Споразумението за партньорство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Споразумението за партньорство наблюдава изпълнението на ангажиментите, разписани в него, включително прилагането на ефективна координация и допълването на подкрепата по отделните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Централно координационно звено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Централно координационно звено обезпечава цялостния процес по координация на оперативно ниво, което включва разработването на необходимата нормативна уредба, методологии и указания, подпомагане работата на СКУСЕС и Комитета за наблюдение на СП, координационен механизъм за информация и публичност, общо наблюдение на изпълнението на програмите, организиране на работни групи и срещи.</w:t>
            </w:r>
          </w:p>
          <w:p>
            <w:pPr>
              <w:pStyle w:val="BodyText"/>
              <w:jc w:val="both"/>
              <w:rPr>
                <w:b w:val="0"/>
              </w:rPr>
            </w:pPr>
          </w:p>
        </w:tc>
      </w:tr>
    </w:tbl>
    <w:p>
      <w:pPr>
        <w:pStyle w:val="Heading4"/>
        <w:jc w:val="left"/>
        <w:rPr>
          <w:b w:val="0"/>
        </w:rPr>
      </w:pPr>
      <w:r>
        <w:rPr>
          <w:b w:val="0"/>
        </w:rPr>
        <w:t>Процедури за разглеждане на жалби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МЕХАНИЗЪМ ЗА РАЗГЛЕЖДАНЕ НА ЖАЛБИ ВЪВ ВРЪЗКА С ЧЛ. 74, Т. 3 НА РЕГЛАМЕНТ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чл. 74, т. 3 от Регламент 1303/2013 г. – държавите-членки гарантират, че съществува ефективна уредба за разглеждане на жалби във връзка с европейските структурни и инвестиционни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Законът за управление на средствата от Европейските структурни и инвестиционни фондове въвежда ясна регламентация относно правото на защита на бенефициентите срещу актовете на административните органи. Съгласно институционалната рамка в Република България е предвидена възможност бенефициентите да се възползват от две възможности жалбата им да бъдат разгледана: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пред по-горестоящ орган. В този случай процедурата е облекчена, защото производството се провежда по административен ред или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пред компетентен съд.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По-голям процент от бенефициентите по ПРСР се възползват от възможността разглеждането на жалбите им да се извършва по административен ред, защото процедурата е по-облекчена спрямо съдебната.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Административнопроцесуалния кодекс е основният нормативен акт, който определя общия случай по произнасяне на жалбите на бенефициентите и всички физически и юридически лица. Съгласно институционалната рамка в Република България е допустимо в специален закон да се регламентират специфични хипотези за обжалване и произнасяне по жалбите на бенефициентите. Такъв за ПРСР е Закон за подпомагане на земеделските производители. Съгласно чл. 29, ал. 3 от ЗПЗП министърът на земеделието, храните и горите е органът, който се произнася по жалбите на кандидатите по отношение на предоставянето или непредоставянето на безвъзмездна финансова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Закон за подпомагане на земеделските производители е предвиден ред, съгласно който постъпилите жалби се разглеждат от Управляващият орган на ПРСР преди окончателното произнасяне от министъра на земеделието, храните и горите по жалбата на кандидата.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на ПРСР е отговорен за ефикасното и коректно управление и изпълнение на ПРСР. За да изпълни тези задължения Управляващият орган на ПРСР е необходимо при административно обжалване да разгледа жалбата и да изрази становище по нейната целесъобразност и след това да я представи на министъра на земеделието, храните и горите, като компетентен орган да се произнесе по нея в 14 дневен срок.</w:t>
            </w:r>
          </w:p>
          <w:p>
            <w:pPr>
              <w:pStyle w:val="BodyText"/>
              <w:jc w:val="both"/>
              <w:rPr>
                <w:b w:val="0"/>
              </w:rPr>
            </w:pPr>
          </w:p>
        </w:tc>
      </w:tr>
    </w:tbl>
    <w:p>
      <w:pPr>
        <w:pStyle w:val="Heading2"/>
        <w:rPr>
          <w:b w:val="0"/>
        </w:rPr>
      </w:pPr>
      <w:bookmarkStart w:id="233" w:name="_Toc256000233"/>
      <w:r>
        <w:rPr>
          <w:b w:val="0"/>
        </w:rPr>
        <w:t>Предлаган състав на мониторинговия комитет</w:t>
      </w:r>
      <w:bookmarkEnd w:id="23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ПРСР (2014-2020) се създава в съответствие с чл. 47 от Регламент (EC) № 1303/2013, Постановление (ПМС) № 79 от 10 април 2014 г. на Министерски съвет и със заповед на Министъра на земеделието, храните 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(КН) следи за ефективното, ефикасно и качествено изпълнение на Програмата с помощта на финансови показатели и показатели за резултати и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 74 от Регламент (EC) № 1305/2013, КН:</w:t>
            </w:r>
          </w:p>
          <w:p>
            <w:pPr>
              <w:numPr>
                <w:ilvl w:val="0"/>
                <w:numId w:val="53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приема, в рамките на четири месеца след одобрение на ПРСР, критериите за избор на финансираните операции, които могат да бъдат преразглеждани в зависимост от нуждите на Програмата;</w:t>
            </w:r>
          </w:p>
          <w:p>
            <w:pPr>
              <w:numPr>
                <w:ilvl w:val="0"/>
                <w:numId w:val="5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информация за финансовото управление и изпълнение на програмата, както и заключенията и препоръките от годишните контролни доклади, изготвени от сертифициращия орган;</w:t>
            </w:r>
          </w:p>
          <w:p>
            <w:pPr>
              <w:numPr>
                <w:ilvl w:val="0"/>
                <w:numId w:val="5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приема Комуникационната стратегия на Програмата и нейните изменения;</w:t>
            </w:r>
          </w:p>
          <w:p>
            <w:pPr>
              <w:numPr>
                <w:ilvl w:val="0"/>
                <w:numId w:val="5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наблюдава напредъка в постигане на набелязаните цели на Програмата, при отчитане на финансовите данни, общите и специфичните за програмата показатели, включително промените в показателите за резултатите и напредъка в постигането на количествено определените целеви стойности, както и на етапните цели, определени в рамката на изпълнението;</w:t>
            </w:r>
          </w:p>
          <w:p>
            <w:pPr>
              <w:numPr>
                <w:ilvl w:val="0"/>
                <w:numId w:val="5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всички въпроси, отнасящи се до изпълнението на предварителните условия за развитие на селските райони (свързани с приоритетите и тяхната приложимост) на базата на информация, предоставена от Управляващия орган;</w:t>
            </w:r>
          </w:p>
          <w:p>
            <w:pPr>
              <w:numPr>
                <w:ilvl w:val="0"/>
                <w:numId w:val="5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приема плана за оценка на Програмата и неговите изменения, както и следи за резултатите от неговото изпълнение;</w:t>
            </w:r>
          </w:p>
          <w:p>
            <w:pPr>
              <w:numPr>
                <w:ilvl w:val="0"/>
                <w:numId w:val="5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приема годишните и окончателните доклади за напредъка в изпълнението на Програмата, преди изпращането им в Европейската комисията;</w:t>
            </w:r>
          </w:p>
          <w:p>
            <w:pPr>
              <w:numPr>
                <w:ilvl w:val="0"/>
                <w:numId w:val="5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дава становище по всяко изменение на Програмата, предложено от Управляващия орган;</w:t>
            </w:r>
          </w:p>
          <w:p>
            <w:pPr>
              <w:numPr>
                <w:ilvl w:val="0"/>
                <w:numId w:val="53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участва в Националната мрежа на селските райони с цел обмен на информация за изпълнението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е колективен орган и включва всички ключови заинтересовани страни в областта на развитието на селските райони. Състои се от председател, членове и наблюдатели. Принципът на балансирано партньорство е основополагащ в определянето на състава на КН, в който се включват най-представителните за съответните заинтересовани страни партньори:</w:t>
            </w:r>
          </w:p>
          <w:p>
            <w:pPr>
              <w:numPr>
                <w:ilvl w:val="0"/>
                <w:numId w:val="53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Компетентни национални, регионални, местни и други публични власти;</w:t>
            </w:r>
          </w:p>
          <w:p>
            <w:pPr>
              <w:numPr>
                <w:ilvl w:val="0"/>
                <w:numId w:val="53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и социални партньори;</w:t>
            </w:r>
          </w:p>
          <w:p>
            <w:pPr>
              <w:numPr>
                <w:ilvl w:val="0"/>
                <w:numId w:val="53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Академичната общност;</w:t>
            </w:r>
          </w:p>
          <w:p>
            <w:pPr>
              <w:numPr>
                <w:ilvl w:val="0"/>
                <w:numId w:val="53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организации представляващи гражданското общество, неправителствени организации, имащи отношение към мерките на ПРСР, включително браншови организации, организации за защита на околната среда и такива насърчаващи равенството между етносите и половете, както и представляващи ромските общности;</w:t>
            </w:r>
          </w:p>
          <w:p>
            <w:pPr>
              <w:numPr>
                <w:ilvl w:val="0"/>
                <w:numId w:val="53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Председателят на координационния съвет на Националната селска мрежа;</w:t>
            </w:r>
          </w:p>
          <w:p>
            <w:pPr>
              <w:numPr>
                <w:ilvl w:val="0"/>
                <w:numId w:val="53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Европейската Комисия участва в работата на Комитета за наблюдение като наблюдател със съвещателен глас.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гарантира представителност, компетентност и капацитет за активно участие на партньорите, представителите на юридически лица с нестопанска цел в обществена полза, работещи в сферата на равенството между мъжете и жените, недискриминацията и равните възможности, сферата на социалното включване, екологията, образованието, науката и културата, както и представителите на организации, имащи отношение към мерките на програмата се избират по механизъм, одобрен от заместник-министър председателя и министър на правосъдието на Р.България, съгласно чл. 12, ал. 6 на ПМС № 79 от 10 април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Представителите на академичната общност в КН се определят чрез механизъм, утвърден от министъра на образованието и науката, съгласно чл.12, ал. 5 от ПМС № 79 от 10 април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Представителите на юридически лица с нестопанска цел, имащи отношение към мерките на ПРСР могат да участват в заседанията на КН като наблюдатели със съвещателен глас, съгласно чл. 12, ал. 8, т. 8 от ПМС № 79 от 10 април 2014 г. Те се избират въз основа на критериите посочени в механизъм, изготвен от УО и одобрен от Ръководителя на УО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може да създава при необходимост постоянни и временни подкомитети, като техният състав и отговорности се уреждат в правилата за работа на КН. Поради голямата важност на темите, свързани с адаптацията към изменението на климата, Натура 2000, възобновяемите енергийни източници, енергийната ефективност и управлението на земите, в работните групи и подкомитетите към КН ще бъдат канени допълнително експерти от БАН, Съвета на ректорите на висшите училища в България и неправителствения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УО на ПРСР, в качеството си на секретариат на КН, разработва правила за работа на КН, съгласно изискванията на регламент (ЕС) № 1303/ 2013 и ПМС № 79 от 10 април 2014 г., с които се  уреждат правилата за гласуване, за вземането на решения, навременното изпращане на покана за провеждане на заседанията, условията за публикуване на подготвителните документи за заседанията на КН, процедурата за приемане и достъп до протоколите от заседанията, условията за създаване и дейността на работните групи в рамките на КН, разпоредбите относно конфликта на интереси за партньори, участващи в наблюдението, оценката и изготвянето на покани за представяне на предложения, условията за вземане на решения чрез писмена процедура и други.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Съставът на Комитета за наблюдение на ПРСР 2014-2020 е даден в Приложение 6 към Раздел 15.2  „Комитет по наблюдение”.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2"/>
        <w:rPr>
          <w:b w:val="0"/>
        </w:rPr>
      </w:pPr>
      <w:bookmarkStart w:id="234" w:name="_Toc256000234"/>
      <w:r>
        <w:rPr>
          <w:b w:val="0"/>
        </w:rPr>
        <w:t>Разпоредби, с които да се гарантира, че програмата е оповестена публично, включително чрез националната мрежа за селските райони, с позоваване на стратегията за информация и публичност, посочена в член 13 от Регламент за изпълнение (ЕС) № 808/2014</w:t>
      </w:r>
      <w:bookmarkEnd w:id="23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numPr>
                <w:ilvl w:val="0"/>
                <w:numId w:val="53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Управляващият орган ще организира информационните дейности в съответствие с разпоредбите на Регламент на (ЕС) № 1305/2013 чл. 13 и Приложение III от Регламент  (ЕС) № 808/2014 на Комисията за определяне на правилата за прилагането на Регламент (ЕС) № 1305/2013. Ще се вземе предвид опитът и изведените поуки, придобити от прилагането на Комуникационния план за ПРСР 2007-2013г, който обхваща организирането и провеждането (чрез обществени поръчки и при спазване на изискванията ЗОП) на редица информационни дейности като: </w:t>
            </w:r>
            <w:r>
              <w:rPr>
                <w:rFonts w:ascii="Times New Roman" w:eastAsia="Times New Roman" w:hAnsi="Times New Roman" w:cs="Times New Roman"/>
                <w:i/>
                <w:iCs/>
                <w:szCs w:val="24"/>
              </w:rPr>
              <w:t>информационни семинари/тематични кампании</w:t>
            </w:r>
            <w:r>
              <w:rPr>
                <w:rFonts w:ascii="Times New Roman" w:eastAsia="Times New Roman" w:hAnsi="Times New Roman" w:cs="Times New Roman"/>
                <w:szCs w:val="24"/>
              </w:rPr>
              <w:t xml:space="preserve"> по отделните оси,  информационна кампания за гаранционната схема, празници за агроекологичните производители. Ефективно ще се използва  и натрупаният опит в разработването на технически задания, спазвайки принципите за публичност и прозрачност, за провеждане на обществени поръчки с предмет на дейност в областта на изработване, отпечатване и разпространение на </w:t>
            </w:r>
            <w:r>
              <w:rPr>
                <w:rFonts w:ascii="Times New Roman" w:eastAsia="Times New Roman" w:hAnsi="Times New Roman" w:cs="Times New Roman"/>
                <w:i/>
                <w:iCs/>
                <w:szCs w:val="24"/>
              </w:rPr>
              <w:t>рекламно-информационни материали</w:t>
            </w:r>
            <w:r>
              <w:rPr>
                <w:rFonts w:ascii="Times New Roman" w:eastAsia="Times New Roman" w:hAnsi="Times New Roman" w:cs="Times New Roman"/>
                <w:szCs w:val="24"/>
              </w:rPr>
              <w:t xml:space="preserve"> по Програмата (2007-13 г.), както и опитът от участия в </w:t>
            </w:r>
            <w:r>
              <w:rPr>
                <w:rFonts w:ascii="Times New Roman" w:eastAsia="Times New Roman" w:hAnsi="Times New Roman" w:cs="Times New Roman"/>
                <w:i/>
                <w:iCs/>
                <w:szCs w:val="24"/>
              </w:rPr>
              <w:t>регионални и национални изложения и конференции, събори, местни тематични празници</w:t>
            </w:r>
            <w:r>
              <w:rPr>
                <w:rFonts w:ascii="Times New Roman" w:eastAsia="Times New Roman" w:hAnsi="Times New Roman" w:cs="Times New Roman"/>
                <w:szCs w:val="24"/>
              </w:rPr>
              <w:t>. Чрез изпълнението на цитираните информационни дейности беше разширен достъпа до информация за ПРСР (2007-13 г.) от страна на широката общественост, заинтересована в областта на развитието на селските райони; беше постигната по-висока степен на познаваемост за възможностите, които предлага ЕЗФРСР на ЕС, както и беше регистрирана висока степен на удовлетвореност от проведените събития и използваните информационни материали. УO придоби значителен  опит  по отношение на видовете и начините на информиране, чрез които обществеността може да получава необходимата информация, както и степента на нейната полезност и необходимост.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превенция и противодействие на лоши практики по прилаганите до сега процедури за възлагане на обществени поръчки по ЗОП и повишаване на ефективността и законосъобразността при възлагането на обществени поръчки, УО ще осъществява предварителна проверка и последваш контрол върху процедури за обществени поръчки (в т.ч. дейности за информиране и публичност финансирани по линия на мярка Техническа помощ), съгласно утвърдени от УО на ПРСР процедурни правила.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Цел на информационните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има за цел:</w:t>
            </w:r>
          </w:p>
          <w:p>
            <w:pPr>
              <w:numPr>
                <w:ilvl w:val="0"/>
                <w:numId w:val="537"/>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Да информира предварително потенциалните бенефициенти за възможностите и условията за финансиране по ПРСР 2014-2020 г. и да ги насърчи да се възползват от предоставеното подпомагане;</w:t>
            </w:r>
          </w:p>
          <w:p>
            <w:pPr>
              <w:numPr>
                <w:ilvl w:val="0"/>
                <w:numId w:val="53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Да насърчи, стимулира и провокира активността, и инициативността на потенциалните кандидати, с цел да се възползват от възможностите за развитие чрез предоставеното им подпомагане по ПРСР 2014 - 2020 г.;</w:t>
            </w:r>
          </w:p>
          <w:p>
            <w:pPr>
              <w:numPr>
                <w:ilvl w:val="0"/>
                <w:numId w:val="53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Да популяризира приноса на Общността за развитието на селските райони пред бенефициентите и обществеността и да осигури прозрачност относно отпусканото подпомагане на бенефициентите  по ЕЗФРСР;</w:t>
            </w:r>
          </w:p>
          <w:p>
            <w:pPr>
              <w:numPr>
                <w:ilvl w:val="0"/>
                <w:numId w:val="537"/>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Да информира широката общественост за ролята на Общността в ПРСР 2014 - 2020 г. и за резултатите от това.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Целеви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Информационните дейности ще осигурят </w:t>
            </w:r>
            <w:r>
              <w:rPr>
                <w:rFonts w:ascii="Times New Roman" w:eastAsia="Times New Roman" w:hAnsi="Times New Roman" w:cs="Times New Roman"/>
                <w:b/>
                <w:bCs/>
                <w:szCs w:val="24"/>
              </w:rPr>
              <w:t>прозрачност</w:t>
            </w:r>
            <w:r>
              <w:rPr>
                <w:rFonts w:ascii="Times New Roman" w:eastAsia="Times New Roman" w:hAnsi="Times New Roman" w:cs="Times New Roman"/>
                <w:szCs w:val="24"/>
              </w:rPr>
              <w:t xml:space="preserve"> и </w:t>
            </w:r>
            <w:r>
              <w:rPr>
                <w:rFonts w:ascii="Times New Roman" w:eastAsia="Times New Roman" w:hAnsi="Times New Roman" w:cs="Times New Roman"/>
                <w:b/>
                <w:bCs/>
                <w:szCs w:val="24"/>
              </w:rPr>
              <w:t>ще информират</w:t>
            </w:r>
            <w:r>
              <w:rPr>
                <w:rFonts w:ascii="Times New Roman" w:eastAsia="Times New Roman" w:hAnsi="Times New Roman" w:cs="Times New Roman"/>
                <w:szCs w:val="24"/>
              </w:rPr>
              <w:t xml:space="preserve"> изброените по-долу групи за: възможностите, които се дават чрез ПРСР (2014-2020 г.); за процедурите и условията за получаване на достъп до средствата по ПРСР (2014-2020 г.); за постигнатите резултати, както и за условията по разходването и отчитане на финансирането с цел избягване на грешки.</w:t>
            </w:r>
          </w:p>
          <w:p>
            <w:pPr>
              <w:numPr>
                <w:ilvl w:val="0"/>
                <w:numId w:val="53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Потенциални  бенефициенти;</w:t>
            </w:r>
          </w:p>
          <w:p>
            <w:pPr>
              <w:numPr>
                <w:ilvl w:val="0"/>
                <w:numId w:val="5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и социални партньори;</w:t>
            </w:r>
          </w:p>
          <w:p>
            <w:pPr>
              <w:numPr>
                <w:ilvl w:val="0"/>
                <w:numId w:val="5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Образователните и научноизследователските институции;</w:t>
            </w:r>
          </w:p>
          <w:p>
            <w:pPr>
              <w:numPr>
                <w:ilvl w:val="0"/>
                <w:numId w:val="5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Браншови и бизнес организации в сферата на политиките прилагани от ПРСР ;</w:t>
            </w:r>
          </w:p>
          <w:p>
            <w:pPr>
              <w:numPr>
                <w:ilvl w:val="0"/>
                <w:numId w:val="5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Администрация, ангажирана с управлението на средствата по ЕЗФРСР; в т.ч. 28-те областни информационни центрове;  </w:t>
            </w:r>
          </w:p>
          <w:p>
            <w:pPr>
              <w:numPr>
                <w:ilvl w:val="0"/>
                <w:numId w:val="5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Регионални, местни и публични власти; </w:t>
            </w:r>
          </w:p>
          <w:p>
            <w:pPr>
              <w:numPr>
                <w:ilvl w:val="0"/>
                <w:numId w:val="5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НПО, включително организации за защита на околната среда и организации за подкрепа на равенството между половете и избягване на дискриминацията;</w:t>
            </w:r>
          </w:p>
          <w:p>
            <w:pPr>
              <w:numPr>
                <w:ilvl w:val="0"/>
                <w:numId w:val="5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Центрове, асоциации, клубове с нестопанска цел;</w:t>
            </w:r>
          </w:p>
          <w:p>
            <w:pPr>
              <w:numPr>
                <w:ilvl w:val="0"/>
                <w:numId w:val="5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Научни, образователни, научноизследователски институции, обучителни и културни центрове и институции, граждански сдружения;</w:t>
            </w:r>
          </w:p>
          <w:p>
            <w:pPr>
              <w:numPr>
                <w:ilvl w:val="0"/>
                <w:numId w:val="5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Представителството на ЕС за България;</w:t>
            </w:r>
          </w:p>
          <w:p>
            <w:pPr>
              <w:numPr>
                <w:ilvl w:val="0"/>
                <w:numId w:val="5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организации;</w:t>
            </w:r>
          </w:p>
          <w:p>
            <w:pPr>
              <w:numPr>
                <w:ilvl w:val="0"/>
                <w:numId w:val="5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Медии;</w:t>
            </w:r>
          </w:p>
          <w:p>
            <w:pPr>
              <w:numPr>
                <w:ilvl w:val="0"/>
                <w:numId w:val="5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 групи и изследователи;</w:t>
            </w:r>
          </w:p>
          <w:p>
            <w:pPr>
              <w:numPr>
                <w:ilvl w:val="0"/>
                <w:numId w:val="5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Широката общественост;</w:t>
            </w:r>
          </w:p>
          <w:p>
            <w:pPr>
              <w:numPr>
                <w:ilvl w:val="0"/>
                <w:numId w:val="53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УО на ОП прилагащи ЕСИФ.</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НПО работещи с малцинствата ще бъдат включени в част от дейностите на Националната селска мрежа, както и ще им бъде осигурена възможност за използване на тези изяви за обмяна на информация и добри практики. Предвидени са и специфични действия за приобщаване на ромската общност, които ще са включени в дейностите за информираност и публичност на ПРСР (2014-2020 г.), и които УО ще предприеме в процеса на прилагане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Индикативен Бюджет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Средствата, определени за Комуникационната стратегия, ще се осигурят от бюджета на мярка ТП на  ПРСР (2014-2020 г.) и ще се определят на годишна база в зависимост от нуждите на УО за информираност и публичност.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Информационни дейности и фази на Комуникационния план</w:t>
            </w:r>
          </w:p>
          <w:p>
            <w:pPr>
              <w:numPr>
                <w:ilvl w:val="0"/>
                <w:numId w:val="53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Информационн</w:t>
            </w:r>
            <w:r>
              <w:rPr>
                <w:rFonts w:ascii="Times New Roman" w:eastAsia="Times New Roman" w:hAnsi="Times New Roman" w:cs="Times New Roman"/>
                <w:b/>
                <w:bCs/>
                <w:i/>
                <w:iCs/>
                <w:szCs w:val="24"/>
              </w:rPr>
              <w:t>и</w:t>
            </w:r>
            <w:r>
              <w:rPr>
                <w:rFonts w:ascii="Times New Roman" w:eastAsia="Times New Roman" w:hAnsi="Times New Roman" w:cs="Times New Roman"/>
                <w:b/>
                <w:bCs/>
                <w:i/>
                <w:iCs/>
                <w:szCs w:val="24"/>
              </w:rPr>
              <w:t xml:space="preserve">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УО е отговорен за информираността и запознаването на потенциалните бенефициенти и широката общественост с приоритетите, които ще се подпомагат по ПРСР (2014-2020 г.) и ролята на ЕС за предоставяната помощ. За всяка мярка от ПРСР (2014-2020 г.) ще бъде публикувана подробна наредба в  ДВ </w:t>
            </w:r>
            <w:r>
              <w:rPr>
                <w:rFonts w:ascii="Times New Roman" w:eastAsia="Times New Roman" w:hAnsi="Times New Roman" w:cs="Times New Roman"/>
                <w:b/>
                <w:bCs/>
                <w:szCs w:val="24"/>
                <w:u w:val="single"/>
              </w:rPr>
              <w:t>или изготвени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Наредбите, ще регламентират: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реда за прилагане на конкретните мерки от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подпомаганите сектори;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допустимите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финансовите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критериите за допустимост на кандидатите;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процедурите за кандидатстване и плащане на помощта, включително изискваните  придружаващи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бъдат изготвени ръководства и указания по мерките от ПРСР (2014-2020г.), които ще имат за цел да подпомогнат кандидатите за реда и начините за кандидатстване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информация под формата 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 xml:space="preserve">Семинари, курсове и дискусионни форуми за обучение на обучаващи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 ще включват подробно описание на всички подходящи инвестиции (дейности по мерките, информация за инвестиции),  възможностите за ползване на финансовата помощ, критериите за подпомагане, както и всички документи за кандидатстване.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Информационни семинари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Ще бъдат проведени информационни семинари за потенциалните бенефициенти с национално покритие. В семинарите ще се представят възможностите за подпомагане по ПРСР (2014-2020 г.), изискванията заложени в Наредбите </w:t>
            </w:r>
            <w:r>
              <w:rPr>
                <w:rFonts w:ascii="Times New Roman" w:eastAsia="Times New Roman" w:hAnsi="Times New Roman" w:cs="Times New Roman"/>
                <w:b/>
                <w:bCs/>
                <w:szCs w:val="24"/>
                <w:u w:val="single"/>
              </w:rPr>
              <w:t>или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както и целият процес на кандидатстване, вкл. и препоръки за намаляване риска от грешки.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Лекции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получена покана от други институции и партньори, УО ще съдейства за осигуряването на участие на експерти за разясняване възможностите за подпомагане по ПРСР (2014-2020г.).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Отпечатване на информационни материали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УО, РА (чрез наемане на външни изпълнители, финансирани със средства от мярка „ТП“), ЗУ на НСМ и партньорските организации ще осигуряват различни тематични технически материали – книжки, брошури, диплянки и други печатни материали, с които да улеснят прилагането на ПРСР (за бенефициенти) и ще разпространяват информация за нейните резултати (за широката общественост).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Медийни изяви/имиджови събития и кампании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УО ще осигури (чрез наемане на външни изпълнители, финансирани със средства от мярка „ТП“), специални материали и съобщения за печата, телевизионните  и  радио канали, свързани с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i/>
                <w:iCs/>
                <w:szCs w:val="24"/>
                <w:u w:val="single"/>
              </w:rPr>
              <w:t>Информационни пунктове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създадените 28 областни информационни центрове, покриващи географски и секторно цялата страна, както и чрез областните и общински служби на МЗХГ, НССЗ и на РА, гражданите ще могат да търсят информация или експертна помощ във връзка с условията по прилагането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Онлайн консултации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комуникацията посредством онлайн консултации и поддържана интернет базирана категория въпроси и отговори ще се осигури навременно предаване на актуална информация с цел по-ефективно прилагане на ПРСР и избягване на грешки при кандидатстване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Интернет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Пълна и актуална информация за ПРСР (2014-2020 г.) се качва на интернет страниците на Програмата, РА и Министерски съвет (www.prsr.government.bg; www.prsr.bg и www.eufunds.bg</w:t>
            </w:r>
            <w:r>
              <w:rPr>
                <w:rFonts w:ascii="Times New Roman" w:eastAsia="Times New Roman" w:hAnsi="Times New Roman" w:cs="Times New Roman"/>
                <w:i/>
                <w:iCs/>
                <w:szCs w:val="24"/>
              </w:rPr>
              <w:t>).</w:t>
            </w:r>
            <w:r>
              <w:rPr>
                <w:rFonts w:ascii="Times New Roman" w:eastAsia="Times New Roman" w:hAnsi="Times New Roman" w:cs="Times New Roman"/>
                <w:szCs w:val="24"/>
              </w:rPr>
              <w:t xml:space="preserve"> Сайтовете ще съдържат препратки/линкове към ПРСР (2007-2013 г.), както и към сайтове на ЕС посветени на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Социални мрежи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комуникацията чрез социалните мрежи Facebook, Twitter и други ще се изгради и поддържа високо обществено доверие към процесите по изпълнение и управление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Фази на комуникационната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Подбирането и фокуса на комуникационните усилия ще бъдат пригодени към различните етапи на Програмата, като се вземе предвид опита от предишния програмен период 2007-2013 г. и очертаните фокуси и сфери на действие, обхванати в процеса на комуникация и публичност. На годишна база ще се разработва Работен план, който ще включва планираните действия за информираност и публичност, които ще се осъществяват от УО, както и необходимия финансов ресурс за тези дейности, за което веднъж годишно ще се информират членовете на мониторинговия комитет: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Фаза 1: Подготовка на ПРСР – запознаване на потенциалните бенефициенти и обществеността с ПРСР (2014-2015г.):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Това е въвеждаща фаза на ПРСР (2014-2020 г.), в която потенциалните бенефициенти и обществеността се осведомяват за приоритетите на ЕС за РСР, както и за целите и същността на мерките, които ще бъдат включени в ПРСР (2014- 2020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Фаза 2: Прилагане на ПРСР – поддържане на осведомеността на бенефициентите с изискванията по мерките и информиране на обществеността за процеса на прилагане на Програмата (2015-2019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Акцентът ще е насочен в подържане на информираността на бенефициентите за изискванията в наредбите към мерките </w:t>
            </w:r>
            <w:r>
              <w:rPr>
                <w:rFonts w:ascii="Times New Roman" w:eastAsia="Times New Roman" w:hAnsi="Times New Roman" w:cs="Times New Roman"/>
                <w:b/>
                <w:bCs/>
                <w:szCs w:val="24"/>
                <w:u w:val="single"/>
              </w:rPr>
              <w:t>или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В тази фаза бенефициентите ще бъдат навреме информирани в случай на промяна в мерките от Програмата, с цел намаляване риска от грешки. Добрите практики и практически уроци от прилагането на мерките, както и  подходящи експертни съвети и примерни казуси  за нуждите на бенефициентите и обществеността, ще бъдат изследвани, публикувани и представяни чрез информационни семинари и изяви, или осигурени от НСМ и/ или чрез информационни печатни материали и Интернет.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Фаза 3: Крайна фаза на ПРСР – обобщаване на опита (2019-2020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Фазата ще обобщи положителния и отрицателния опит от прилагането на ПРСР (2014-2020 г.) и ще се използва за планирането на следващия програмен период. Средствата за информираност ще включват семинари, публични дебати, съобщения за пресата, радио и телевизионни предавания в национални и регионални медии и информационни уеб сайтове.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 xml:space="preserve">Критерии </w:t>
            </w:r>
            <w:r>
              <w:rPr>
                <w:rFonts w:ascii="Times New Roman" w:eastAsia="Times New Roman" w:hAnsi="Times New Roman" w:cs="Times New Roman"/>
                <w:b/>
                <w:bCs/>
                <w:i/>
                <w:iCs/>
                <w:szCs w:val="24"/>
              </w:rPr>
              <w:t xml:space="preserve">и механизъм за мониторинг и </w:t>
            </w:r>
            <w:r>
              <w:rPr>
                <w:rFonts w:ascii="Times New Roman" w:eastAsia="Times New Roman" w:hAnsi="Times New Roman" w:cs="Times New Roman"/>
                <w:b/>
                <w:bCs/>
                <w:i/>
                <w:iCs/>
                <w:szCs w:val="24"/>
              </w:rPr>
              <w:t xml:space="preserve">оценка на </w:t>
            </w:r>
            <w:r>
              <w:rPr>
                <w:rFonts w:ascii="Times New Roman" w:eastAsia="Times New Roman" w:hAnsi="Times New Roman" w:cs="Times New Roman"/>
                <w:b/>
                <w:bCs/>
                <w:i/>
                <w:iCs/>
                <w:szCs w:val="24"/>
              </w:rPr>
              <w:t xml:space="preserve">ефективността и </w:t>
            </w:r>
            <w:r>
              <w:rPr>
                <w:rFonts w:ascii="Times New Roman" w:eastAsia="Times New Roman" w:hAnsi="Times New Roman" w:cs="Times New Roman"/>
                <w:b/>
                <w:bCs/>
                <w:i/>
                <w:iCs/>
                <w:szCs w:val="24"/>
              </w:rPr>
              <w:t>въздействието на информационните и публични</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оценка на въздействието на информационните и публични мерки ще се основават на проведените изследвания и анализи за получаването на количествена и качествена информация по отношение на използваните информационни източници и прозрачността от предишния програмен период (2007-2013 г.). Количествената информация ще включва употребата на различни информационни източници, които да отразяват различните етапи на реализация на Програмата. Качествените оценки ще бъдат използвани, за да се прецени степента на удовлетворение на бенефициентите от информацията придобита от различните информационни източници и действия.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Мониторинговите индикатори ще измерват обсега на комуникационните способи и ще включват броя на семинарите/лекциите/обученията, както и броя на участниците в тях, броя на публикуваните/разпространени информационни материали, и броя на информационно/рекламни статии или предавания в национална/регионална медия.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Индикаторите за оценка ще измерват ефективността на различните комуникационни способи. Методът за оценяване на удовлетворението на бенефициента ще се определя от независими оценители на ПРСР. Индикаторите за изпълнение ще измерват процента запознатост с ПРСР, процента информираност за ПРСР и процента одобрение на ПРСР и ще се провеждат регулярно на ниво Министерски Съвет чрез социология.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Оценката на изпълнението на дейностите по информираност и публичност ще се извършва: чрез социологически изследвания; чрез регулярен медиен мониторинг и анализ на съдържанието на публикациите и излъчванията в медиите по теми за ЕСИФ; чрез репортинг-системата за мониторинг и обобщаване данните, подавани от отделните програми за отчитане дейностите, които те изпълняват на равнище отделна програма; чрез анализ-оценка на цялостното изпълнение на годишните планове за комуникация и информация.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Органи и отговорности за прилагането на Комуникационния план/стратегия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УO ще е отговорен за общото прилагане на Комуникационния план. Агенциите и службите на МЗХГ, както и РА ще поемат част от организацията на информационните и публични мерки и ще подпомагат (при нужда) дейността на УО при организирането на информационните дейности. УО и РА на централно и на регионално ниво ще предлагат експертни съвети на бенефициентите на базата на наредбите за прилагане на мерките </w:t>
            </w:r>
            <w:r>
              <w:rPr>
                <w:rFonts w:ascii="Times New Roman" w:eastAsia="Times New Roman" w:hAnsi="Times New Roman" w:cs="Times New Roman"/>
                <w:b/>
                <w:bCs/>
                <w:szCs w:val="24"/>
                <w:u w:val="single"/>
              </w:rPr>
              <w:t>или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и наръчниците за бенефициенти. НССЗ активно ще съдейства с информация относно кандидатстването по ПРСР. НСМ чрез Координационния Комитет към НСМ ще участва в изработването и изпълнението на информационни дейности в съответствие с Общата стратегия и годишни планове. В изпълнение на чл. 54 от Регламент (ЕС) 1305/2013 на ЕП и на Съвета, УО ще разработи Комуникационна стратегия. Дейностите управлявани от УО ще се фокусират върху осъществяването на информационни и комуникационни дейности, насочени към широката общественост чрез масови канали за информация по отношение на възможностите и условията за кандидатстване, докато чрез Плана си за действие, Националната селска мрежа, ще се фокусира върху осигуряване на информация относно резултатите и добрите практики от ПРСР (2014-2020 г.). УО на ПРСР и РА ще предоставят информация на ЗУ на НСМ, с цел разработване и разпространение на практики по реализирането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Задължения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и отговорностите на/към бенефициентите са в съответствие с изискванията за информираност и публичност съгласно Приложение III от Регламент  (ЕС) № 808/2014 на Комисията за определяне на правилата за прилагането на Регламент (ЕС) № 1305/2013.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2"/>
        <w:rPr>
          <w:b w:val="0"/>
        </w:rPr>
      </w:pPr>
      <w:bookmarkStart w:id="235" w:name="_Toc256000235"/>
      <w:r>
        <w:rPr>
          <w:b w:val="0"/>
        </w:rPr>
        <w:t>Описание на механизмите за гарантиране на последователност по отношение на стратегиите за местно развитие, изпълнявани по LEADER, дейностите, предвидени по мярката за сътрудничество, посочена в член 35 от Регламент (ЕС) № 1305/2013, мярката за основни услуги и обновяване на селата в селските райони, посочена в член 20 от същия регламент, и другите ЕСИ фондове</w:t>
      </w:r>
      <w:bookmarkEnd w:id="23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изпълнението на стратегиите за воденото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условията по него, както и операции, допустими съгласно условията и изискванията по ЕФРР, ЕСФ и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Така, за бенефициенти, попадащи в обхвата на одобрени местни инициативни групи, подкрепата по мерките на национално ниво е допълнена при прилагането на стратегии за водено от общностите местно развитие. По този начин се постига синергия и по-голям ефект от прилагането на ПРСР и на стратегиите за воденото от общностите место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няма да се включват мерки от ПРСР, предвиждащи фиксирани плащания и мерки, свързани със схеми за плащания на площ, в т. ч. мярка 6 „Развитие на стопанства и предприятия”, за  подмерки 6.1 „Стартова помощ за млади земеделски производители”, 6.2 „Стартова помощ за неземеделски дейности” и 6.3 „Стартова помощ за развитие на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7 „Основни услуги и обновяване на селата в селските райони“ от ПРСР на национално ниво, но мярката може да бъде включена в стратегиите за водено от общностите местно развитие и МИГ могат да са допустим бенефициент по нея.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16 „Сътрудничество“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могат да бъдат включени дейностите по чл. 35 от Регламент (ЕС) № 1305/2013, с изключение на включените в мярка 16 „Сътрудничество” от ПРСР подмерки 16.1, 16.2 и 16.4 с оглед ясната демаркация и намаляване на административната тежест за местните инициативни групи при проверките за недопускане на възможността за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могат да включат в стратегиите си за водено от общностите местно развитие и дейности, които да се финансират по Европейския социален фонд, Европейския фонд за регионално развитие и Европейския фонд за морско дело и рибарство, при спазване на изискванията, заложени в съответните програми, включени в многофондовото прилагане на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предотвратяване на възможността за двойно финансиране няма да се допуска подкрепа за едни и същи дейности по стратегия за водено от общностите местно развитие и по програмите, включени в многофондовото прилагане на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Всеки проект, предложен за одобрение към стратегиите за воденото от общностите местно развитие се проверява за отсъствие на двойно финансиране по съответните мерки към програмите, включени в многофондовото прилагане на ВОМР, преди неговото одобрение.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Подробният механизъм за съгласуваност между отделните фондове е включен в нормативния акт за координация и прилагане на подхода ВОМР </w:t>
            </w:r>
            <w:r>
              <w:rPr>
                <w:rFonts w:ascii="Times New Roman" w:eastAsia="Times New Roman" w:hAnsi="Times New Roman" w:cs="Times New Roman"/>
                <w:b/>
                <w:bCs/>
                <w:szCs w:val="24"/>
                <w:u w:val="single"/>
              </w:rPr>
              <w:t>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w:t>
            </w:r>
          </w:p>
          <w:p>
            <w:pPr>
              <w:pStyle w:val="BodyText"/>
              <w:jc w:val="both"/>
              <w:rPr>
                <w:b w:val="0"/>
              </w:rPr>
            </w:pPr>
          </w:p>
        </w:tc>
      </w:tr>
    </w:tbl>
    <w:p>
      <w:pPr>
        <w:pStyle w:val="Heading2"/>
        <w:rPr>
          <w:b w:val="0"/>
        </w:rPr>
      </w:pPr>
      <w:bookmarkStart w:id="236" w:name="_Toc256000236"/>
      <w:r>
        <w:rPr>
          <w:b w:val="0"/>
        </w:rPr>
        <w:t>Описание на дейностите за намаляване на административната тежест за бенефициерите, посочени в член 27, параграф 1 от Регламент (ЕС) №1303/2013;</w:t>
      </w:r>
      <w:bookmarkEnd w:id="23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оптимизиране и намаляване на административната тежест в рамките на процеса, свързан с координация и управление на средствата по ПРСР, а именно изпълнение, разплащане, мониторинга и контрол ще бъде осигурена стабилна и предсказуема среда за изпълнение на Програмата чрез оптимизиране на административните процедури, унифициране на правилата за прилагане и електронизация на определени нива от  комуникацията между бенефициентите и УО/РА. В тази връзка се предвиждат следните конкретни мерки за намаляване на административната тежест по отделните елементи, при съобразяване със спецификата на съответната мярка:</w:t>
            </w:r>
          </w:p>
          <w:p>
            <w:pPr>
              <w:numPr>
                <w:ilvl w:val="0"/>
                <w:numId w:val="54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Документи и документооборот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използването на универсални формуляри за кандидатстване и отчитане изпълнението на проектите, което ще доведе до:</w:t>
            </w:r>
          </w:p>
          <w:p>
            <w:pPr>
              <w:numPr>
                <w:ilvl w:val="0"/>
                <w:numId w:val="54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Облекчаване бенефициентите и намаляване на броя на проблемите и въпросите по попълването на формулярите. Това ще намали значително допусканите грешки неправилно попълнени формуляри и намаляване броя на отхвърлени/отказани проекти;</w:t>
            </w:r>
          </w:p>
          <w:p>
            <w:pPr>
              <w:numPr>
                <w:ilvl w:val="0"/>
                <w:numId w:val="54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Разписване на точни, ясни и лесно приложими разпоредби в нормативна уредба </w:t>
            </w:r>
            <w:r>
              <w:rPr>
                <w:rFonts w:ascii="Times New Roman" w:eastAsia="Times New Roman" w:hAnsi="Times New Roman" w:cs="Times New Roman"/>
                <w:b/>
                <w:bCs/>
                <w:szCs w:val="24"/>
                <w:u w:val="single"/>
              </w:rPr>
              <w:t>или в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с цел облекчаване на тяхното прилагане от страна на бенефициентите.</w:t>
            </w:r>
          </w:p>
          <w:p>
            <w:pPr>
              <w:numPr>
                <w:ilvl w:val="0"/>
                <w:numId w:val="54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Разработването на универсални формуляри е предпоставка и за ефективно реализиране на електронизация на процесите.</w:t>
            </w:r>
          </w:p>
          <w:p>
            <w:pPr>
              <w:numPr>
                <w:ilvl w:val="0"/>
                <w:numId w:val="54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Унифициране на процедурите на МИГ с цел прилагане на единен подход при прилагане на стратегиите им за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Оптимизирането на документооборота в рамките на Програмата ще бъде постигнато посредством:</w:t>
            </w:r>
          </w:p>
          <w:p>
            <w:pPr>
              <w:numPr>
                <w:ilvl w:val="0"/>
                <w:numId w:val="54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Преустановяване подаването на хартиен носител на документи, издавани от публични институции, при наличието на публично достъпни електронни регистри за справка на обстоятелства и/или наличието на регламентиран служебен достъп до такава информация;</w:t>
            </w:r>
          </w:p>
          <w:p>
            <w:pPr>
              <w:numPr>
                <w:ilvl w:val="0"/>
                <w:numId w:val="54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Преустановяване подаването на едни и същи документи повече от веднъж в процеса на оценка;</w:t>
            </w:r>
          </w:p>
          <w:p>
            <w:pPr>
              <w:numPr>
                <w:ilvl w:val="0"/>
                <w:numId w:val="54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Ограничаване на случаите, в които е необходимо документи да бъдат подавани в оригинал и/или с нотариална заверка и/или допълнителни копия от страна на бенефициентите;</w:t>
            </w:r>
          </w:p>
          <w:p>
            <w:pPr>
              <w:numPr>
                <w:ilvl w:val="0"/>
                <w:numId w:val="54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Опростяване на условията по мерките при спазване на принципите за добро финансово управление, чрез опростяване на критериите за допустимост, и  възможност за електронно кандидатстване и отчитане на проекти;</w:t>
            </w:r>
          </w:p>
          <w:p>
            <w:pPr>
              <w:numPr>
                <w:ilvl w:val="0"/>
                <w:numId w:val="54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Обработката на проекти на местно ниво за някои от мерките, което ще намали общите разходи на бенефициентите.</w:t>
            </w:r>
          </w:p>
          <w:p>
            <w:pPr>
              <w:numPr>
                <w:ilvl w:val="0"/>
                <w:numId w:val="54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Използване на информационната системата ИСУН 2020 и процесите заложени в нея за управление на проектите финансирани от оперативните програми на ЕСИФ.</w:t>
            </w:r>
          </w:p>
          <w:p>
            <w:pPr>
              <w:numPr>
                <w:ilvl w:val="0"/>
                <w:numId w:val="54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техническа възможност за комуникация между бенефициентите и УО и РА, както и между отделните звена на системата за управление на средствата от ЕС посредством ИСУН 2020;</w:t>
            </w:r>
          </w:p>
          <w:p>
            <w:pPr>
              <w:numPr>
                <w:ilvl w:val="0"/>
                <w:numId w:val="54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надежден електронен обмен  на данни между органите, участващи в изпълнението на Програмата, включително поетапно изграждане, там където е възможно на електронни връзки  с други публични институции и осигуряване на електронен обмен на данни между УО/РА и бенефициентите;</w:t>
            </w:r>
          </w:p>
          <w:p>
            <w:pPr>
              <w:numPr>
                <w:ilvl w:val="0"/>
                <w:numId w:val="54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Осигуряване на разпоредби в националното законодателство </w:t>
            </w:r>
            <w:r>
              <w:rPr>
                <w:rFonts w:ascii="Times New Roman" w:eastAsia="Times New Roman" w:hAnsi="Times New Roman" w:cs="Times New Roman"/>
                <w:b/>
                <w:bCs/>
                <w:szCs w:val="24"/>
                <w:u w:val="single"/>
              </w:rPr>
              <w:t xml:space="preserve">или в насоките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и контролни механизми в процедурните правила за работа гарантиращи оптимизиране на вътрешните административни срокове по обработка на заявленията за подпомагане/заявките за плащане, което ще намали риска от по – късно стартиране изпълнението на проектите, респективно отчитане и верифициране на извършените от бенефициентите разходи и изплащане на финансовата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април 2015 г. – декември 2016 г.</w:t>
            </w:r>
          </w:p>
          <w:p>
            <w:pPr>
              <w:numPr>
                <w:ilvl w:val="0"/>
                <w:numId w:val="54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Подготовка на проектни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мерки за намаляване на административната тежест в контекста на процеса по подготовка на проектните предложения:</w:t>
            </w:r>
          </w:p>
          <w:p>
            <w:pPr>
              <w:numPr>
                <w:ilvl w:val="0"/>
                <w:numId w:val="54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възможност за определяне на изискванията към проектните предложения според размера на финансирането и спецификата на проекта /Тематична подпрограма за малки стопанства/, което ще понижи значително риска от некоректно изпълнение и извършване на недопустими разходи по тези проекти;</w:t>
            </w:r>
          </w:p>
          <w:p>
            <w:pPr>
              <w:numPr>
                <w:ilvl w:val="0"/>
                <w:numId w:val="54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възможност за разработване на интегрирани проектни предложения, които да бъдат оценени и финансирани по няколко Програми едновременно с оглед постигането на максимален синергичен ефект /ВОМР/;</w:t>
            </w:r>
          </w:p>
          <w:p>
            <w:pPr>
              <w:numPr>
                <w:ilvl w:val="0"/>
                <w:numId w:val="54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информираност и прозрачност по отношение на периодите на прием по отделните мерки на годишна база, съобразени с напредъка по програмата и нейното ефективно и ефикасно прилагане. По този начин ще се осигури достатъчно време на бенефициентите за подготовка на проектни предложение /особено важно за по – големи проекти свързани със строително монтажни работи/, което намалява риска от грешки при тяхното разработване и понижава значително възможността за недопустимост на дейности в проекта.</w:t>
            </w:r>
          </w:p>
          <w:p>
            <w:pPr>
              <w:numPr>
                <w:ilvl w:val="0"/>
                <w:numId w:val="54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възможност за предоставяне на консултантски услуги,  информационни дейности и методическа помощ с цел осигуряване на адекватна информация за бенефициентите и потенциалните такива, посредством планирането на подобен тип дейности в рамките на Програмата. По този начин допълнително ще се намали риска от подготовката на некачествени проектни предложения поради неразбиране или липса на достатъчно информация от страна на бенефициентите.</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54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Оценка на проектни предложения, предоставяне на </w:t>
            </w:r>
            <w:r>
              <w:rPr>
                <w:rFonts w:ascii="Times New Roman" w:eastAsia="Times New Roman" w:hAnsi="Times New Roman" w:cs="Times New Roman"/>
                <w:b/>
                <w:bCs/>
                <w:szCs w:val="24"/>
              </w:rPr>
              <w:t>финансова помощ</w:t>
            </w:r>
            <w:r>
              <w:rPr>
                <w:rFonts w:ascii="Times New Roman" w:eastAsia="Times New Roman" w:hAnsi="Times New Roman" w:cs="Times New Roman"/>
                <w:b/>
                <w:bCs/>
                <w:szCs w:val="24"/>
              </w:rPr>
              <w:t xml:space="preserve"> и изпълнение на проекти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процеса на оценка на проектни предложения и намаляване на административната тежест се предвижда:</w:t>
            </w:r>
          </w:p>
          <w:p>
            <w:pPr>
              <w:numPr>
                <w:ilvl w:val="0"/>
                <w:numId w:val="54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качеството на процеса по оценка чрез поставяне на минимални изисквания за предоставяне на финансова помощ по отношение на проектните предложения за съответствието им с приоритетите на Програмата;</w:t>
            </w:r>
          </w:p>
          <w:p>
            <w:pPr>
              <w:numPr>
                <w:ilvl w:val="0"/>
                <w:numId w:val="54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Разширяване на възможността за обезпечаване и предоставяне на авансови плащания в случаите, в които едно проектно предложение е оценено от РА като ниско рисково;</w:t>
            </w:r>
          </w:p>
          <w:p>
            <w:pPr>
              <w:numPr>
                <w:ilvl w:val="0"/>
                <w:numId w:val="54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Опростяване на оценката и намаляване на нейните етапи, когато това е подходящо, с оглед облекчения процес на кандидатстване.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54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Процедури за избор на изпълнител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Намаляване на административната тежест във връзка с процедурите за избор на изпълнители по проектните предложения по Програмата провеждани от отделните бенефициенти ще бъде постигнато чрез:</w:t>
            </w:r>
          </w:p>
          <w:p>
            <w:pPr>
              <w:numPr>
                <w:ilvl w:val="0"/>
                <w:numId w:val="54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Точно и ясно регламентациране в приложимото национално законодателство и процедурните правила на избора на изпълнител, което изключва възможността за нейното по - рестриктивно интерпретиране от страна на УО/РА и други контролни органи, което ще облекчи бенефициентите при подготовка на приложимата документация;</w:t>
            </w:r>
          </w:p>
          <w:p>
            <w:pPr>
              <w:numPr>
                <w:ilvl w:val="0"/>
                <w:numId w:val="54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ред за избор на изпълнител, съгласно нормативните изисквания, гарантиращ спазването на принципите на добро финансово управление, публичност и прозрачност, равнопоставеност и свободна конкуренция, което ще оптимизира сроковете за стартиране на същинската работа по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numPr>
                <w:ilvl w:val="0"/>
                <w:numId w:val="54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Верификация</w:t>
            </w:r>
            <w:r>
              <w:rPr>
                <w:rFonts w:ascii="Times New Roman" w:eastAsia="Times New Roman" w:hAnsi="Times New Roman" w:cs="Times New Roman"/>
                <w:b/>
                <w:bCs/>
                <w:szCs w:val="24"/>
              </w:rPr>
              <w:t xml:space="preserve"> на разходите</w:t>
            </w:r>
            <w:r>
              <w:rPr>
                <w:rFonts w:ascii="Times New Roman" w:eastAsia="Times New Roman" w:hAnsi="Times New Roman" w:cs="Times New Roman"/>
                <w:b/>
                <w:bCs/>
                <w:szCs w:val="24"/>
              </w:rPr>
              <w:t xml:space="preserve"> и плащания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обема на административни документи необходими за този етап от изпълнение на проектните предложения и намаляване на административната тежест се предвижда:</w:t>
            </w:r>
          </w:p>
          <w:p>
            <w:pPr>
              <w:numPr>
                <w:ilvl w:val="0"/>
                <w:numId w:val="55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Прецизно разработване и разписване на процедурните правила с цел избягване на дублиране на дейности по отношение на контрола на отделните нива в РА;</w:t>
            </w:r>
          </w:p>
          <w:p>
            <w:pPr>
              <w:numPr>
                <w:ilvl w:val="0"/>
                <w:numId w:val="55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Предоставяне на информация от страна на бенефициентите с необходимия обем и качество от гледна точка намаляване на риска от грешки и допустимост/недопустимост на разходи по проектите;</w:t>
            </w:r>
          </w:p>
          <w:p>
            <w:pPr>
              <w:numPr>
                <w:ilvl w:val="0"/>
                <w:numId w:val="55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Опростяване подхода по отношение допустимост на разходите, чрез въвеждането стандартни разходи по дейности и/или операции, което ще позволи в голяма степен намаляване на риска от грешки и допустимост/недопустимост на разходи по проектите;</w:t>
            </w:r>
          </w:p>
          <w:p>
            <w:pPr>
              <w:numPr>
                <w:ilvl w:val="0"/>
                <w:numId w:val="55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Намаляване на административната тежест при отчитане на текущите разходи и разходи за популяризиране на стратегиите на МИГ.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numPr>
                <w:ilvl w:val="0"/>
                <w:numId w:val="55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Контрол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ограничаване на административна тежест по време на етапа на контрол се предвижда:</w:t>
            </w:r>
          </w:p>
          <w:p>
            <w:pPr>
              <w:numPr>
                <w:ilvl w:val="0"/>
                <w:numId w:val="55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добра координираност на позиции/становища на отделни контролни органи с оглед избягване на разнопосочни становища по законосъобразността на дадени процедури/извършени разходи и други;</w:t>
            </w:r>
          </w:p>
          <w:p>
            <w:pPr>
              <w:numPr>
                <w:ilvl w:val="0"/>
                <w:numId w:val="55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системата за вътрешен контрол в РА, включително чрез създаване на вътрешни работни групи, които да проследяват изпълнението на отправени препоръки по Програмата от одити на ЕК и други контролни органи с което ще се намали риска от грешки.</w:t>
            </w:r>
          </w:p>
          <w:p>
            <w:pPr>
              <w:numPr>
                <w:ilvl w:val="0"/>
                <w:numId w:val="55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Усъвършенствана на вътрешните процедури работа и използвaните формуляри за оценка, включително оценка на провежданите от кандидатите обществени поръчки.</w:t>
            </w:r>
          </w:p>
          <w:p>
            <w:pPr>
              <w:numPr>
                <w:ilvl w:val="0"/>
                <w:numId w:val="55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системата за налагане на санкции/корекции чрез разработване на унифицирани подходи в зависимост от вида на съответното нарушение, което да бъде регламентирано в приложимото законодателство и процедурните правила.</w:t>
            </w:r>
          </w:p>
          <w:p>
            <w:pPr>
              <w:numPr>
                <w:ilvl w:val="0"/>
                <w:numId w:val="55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на постоянно действаща мрежа за обучение на служителите в УО/РА с цел усъвършенстване на административния капацитет по управление и прилагане на Програмата. По този начин ще се намали риска от административни грешки, които биха оказали негативно влияние върху оценката на изпълняваните от бенефициентите дейности/операции.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2"/>
        <w:rPr>
          <w:b w:val="0"/>
        </w:rPr>
      </w:pPr>
      <w:bookmarkStart w:id="237" w:name="_Toc256000237"/>
      <w:r>
        <w:rPr>
          <w:b w:val="0"/>
        </w:rPr>
        <w:t>Описание на използването на техническа помощ, включително действията, свързани с подготовката, управлението, мониторинга, оценката, информацията и контрола на програмата и нейното изпълнение, както и на дейностите, които се отнасят до предходни и последващи периоди на програмиране, както е посочено в член 59, параграф 1 от Регламент (ЕС) № 1303/2013</w:t>
      </w:r>
      <w:bookmarkEnd w:id="23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Общата цел на техническата помощ е осигуряване на средства за изграждане на административен капацитет, ефективно управление и прилагане на ПРСР. Тя ще бъде използвана в съответствие с чл. 51 от Регламент (ЕС) 1305/2013 относно подпомагане на развитието на селските райони от ЕЗФРСР и чл. 59(1) на Регламент (ЕС) 1303/2013 за определяне на общоприложими разпоредби за ЕФРР, ЕСФ, КФ, ЕЗФРСР и ЕФМДР и за определяне на общи разпоредби за ЕФРР, ЕСФ, КФ и ЕФМДР, и за отмяна на Регламент (ЕО) 1083/2006 за подготовката, управлението, наблюдението, оценката, информацията и комуникацията, създаване на мрежи, разглеждане на жалби, както и контрола и одита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Мярката има две специфични цели, като степента на изпълнението им ще се измерва чрез показатели за ефективност. Целите и показателите са описани в </w:t>
            </w:r>
            <w:r>
              <w:rPr>
                <w:rFonts w:ascii="Times New Roman" w:eastAsia="Times New Roman" w:hAnsi="Times New Roman" w:cs="Times New Roman"/>
                <w:i/>
                <w:iCs/>
                <w:szCs w:val="24"/>
              </w:rPr>
              <w:t>Приложение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бъдат подпомагани следните дейности:</w:t>
            </w:r>
          </w:p>
          <w:p>
            <w:pPr>
              <w:numPr>
                <w:ilvl w:val="0"/>
                <w:numId w:val="553"/>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на заседанията на Комитета по наблюдение (КН) на ПРСР и работните групи към него, включително разходите (пътни и нощувки), свързани с участие на членовете на КН, членовете на работните групи към КН, както и на лица, чието участие в заседанията на Комитета/работните групи е обосновано и необходимо.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2.Организиране на заседания/работни срещи и др., свързани с програмирането и изпълнението на ПРСР.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3.Извършване на анализи, проучвания, изследвания и др. от външни изпълнители, необходими на УО, КН/неговите работни групи и РА, за целите на ефективното управление, наблюдение и прилагане на ПРСР, вкл. анализи, изследвания и проучвания за изпълнение на предварителните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4.Изготвяне и разпространение на информация относно наблюдението, контрола, прилагането и оценките на ПРСР чрез:</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4.1 Изготвяне, разпространение и публикуване на материали за информираност и публичност;</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4.2 Подпомагане на подготовката и изпълнението на Комуникационния план на Програмата (вкл. наемане на външна експертна помощ за неговото разработване и/или допълнително прецизиране), в т.ч. предвидените дейности за публичност на ПРСР, включващи начините за кандидатстване по мерките, популяризиране на добри практики и др., както и изпълнението на нейните цели и приоритети.</w:t>
            </w:r>
          </w:p>
          <w:p>
            <w:pPr>
              <w:numPr>
                <w:ilvl w:val="0"/>
                <w:numId w:val="554"/>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Обезпечаване с висококачествени преводачески услуги за нуждите на ПРСР.</w:t>
            </w:r>
          </w:p>
          <w:p>
            <w:pPr>
              <w:numPr>
                <w:ilvl w:val="0"/>
                <w:numId w:val="55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(в т.ч. организация, подготовка/размножаване на информационни и др. материали, пътни, дневни, квартирни) на непланирани публични събития касаещи наблюдението, контрола, прилагането и оценките на ПРСР, по инициатива на УО/ потенциални бенефициенти/социално-икономически партньори, осъществяването на които се поема от МЗХГ.</w:t>
            </w:r>
          </w:p>
          <w:p>
            <w:pPr>
              <w:numPr>
                <w:ilvl w:val="0"/>
                <w:numId w:val="55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и участие в обучение на администрацията, ангажирана в управлението, изпълнението, контрола, наблюдението и оценката на ПРСР (вкл. специализирани обучения за държавни помощи), в т. ч. сътрудничество между УО и подобни структури в държавите членки на ЕС (в т.ч. разходи за организиране на обученията и разходи за участие – пътни, дневни, нощувки и такси за обучение).</w:t>
            </w:r>
          </w:p>
          <w:p>
            <w:pPr>
              <w:numPr>
                <w:ilvl w:val="0"/>
                <w:numId w:val="55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инсталиране, модернизиране и поддръжка на компютърни системи за управление, наблюдение и оценка (вкл. за закупуване на техника и програмни продукти), както и наемане на външни експерти за изпълнението на тези дейности, вкл. разходи за наем на помещения и закупуване на офис оборудване.</w:t>
            </w:r>
          </w:p>
          <w:p>
            <w:pPr>
              <w:numPr>
                <w:ilvl w:val="0"/>
                <w:numId w:val="55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и провеждане от УО или РА на комисии за оценка и избор на проекти, вкл. заплащане на хонорар на външните за МЗХГ и РА членове на комисиите.</w:t>
            </w:r>
          </w:p>
          <w:p>
            <w:pPr>
              <w:numPr>
                <w:ilvl w:val="0"/>
                <w:numId w:val="554"/>
              </w:numPr>
              <w:spacing w:before="0" w:after="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Подготвителни дейности, свързани с предефинирането на обхвата на другите необлагодетелствани райони, различни от планинските. </w:t>
            </w:r>
          </w:p>
          <w:p>
            <w:pPr>
              <w:numPr>
                <w:ilvl w:val="0"/>
                <w:numId w:val="554"/>
              </w:numPr>
              <w:spacing w:before="0" w:after="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на оценките, описани в Раздел 9.  </w:t>
            </w:r>
          </w:p>
          <w:p>
            <w:pPr>
              <w:numPr>
                <w:ilvl w:val="0"/>
                <w:numId w:val="554"/>
              </w:numPr>
              <w:spacing w:before="0" w:after="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Участие на администрацията, ангажирана в управлението, изпълнението, контрола, наблюдението и оценката на ПРСР в международни прояви, директно свързани с развитието на селските райони (вкл. такса участие).</w:t>
            </w:r>
          </w:p>
          <w:p>
            <w:pPr>
              <w:numPr>
                <w:ilvl w:val="0"/>
                <w:numId w:val="554"/>
              </w:numPr>
              <w:spacing w:before="0" w:after="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Участие на администрацията, ангажирана в управлението, изпълнението, контрола, наблюдението, и оценката на ПРСР в технически срещи със службите на ЕК/комитети/ работни групи, разходите за които не се възстановяват от ЕК.</w:t>
            </w:r>
          </w:p>
          <w:p>
            <w:pPr>
              <w:numPr>
                <w:ilvl w:val="0"/>
                <w:numId w:val="554"/>
              </w:numPr>
              <w:spacing w:before="0" w:after="24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Разходи в размер до 80% от индивидуалните брутни месечни заплати на персонала, изпълняващ дейности, пряко свързани с управлението, наблюдението, оценката и контрола на ПРСР/СПРЗСР и разписани в длъжностните им характеристики, на месечна база (вкл. разходи за заплата, данък общ доход и дължими от работодателя осигуровки и възнаграждения за платен отпуск).</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Плащанията по тази точка ще бъдат съпроводени с необходимите счетоводни документи и ще бъдат ограничени в рамките на периода на прилагане на ПРСР. Сумите ще бъдат изплащани за целия период на изпълнение на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щатния персонал, ангажиран с дейности, пряко свързани с ПРСР/СПРЗСР ще бъде допустимо да получава допълнително възнаграждение с непостоянен характер пропорционално на времевата ангажираност и въз основа на постигнати резултати, които ще бъдат оценявани от ръководителя на съответната административна структура или упълномощено от него лице и измервани съгласно механизъм, разработен при спазване на принципите за прозрачност. За щатния персонал, работещ на непълно работно време по задачи, свързани с ПРСР/СПРЗСР, само персонала с минимум 50% заетост по ПРСР/СПРЗСР ще е допустим за допълнително финансово стимулиране с непостоянен характер. То няма да се дублира с други подобни национални схеми за стимулиране и ще бъде съпроводено с необходимите счетоводни документи.</w:t>
            </w:r>
          </w:p>
          <w:p>
            <w:pPr>
              <w:numPr>
                <w:ilvl w:val="0"/>
                <w:numId w:val="555"/>
              </w:numPr>
              <w:spacing w:before="240" w:after="24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Наемане на допълнителен персонал към УО и РА, необходим с оглед засилване на капацитета на администрацията, ангажирана в управлението, изпълнението, контрола, наблюдението и оценката на ПРСР/СПРЗСР и разходи за възнагражденията за този персонал.</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Допълнителният персонал към УО/РА ще изпълнява ясно разграничени дейности, пряко свързани с управлението и прилагането на ПРСР/СПРЗСР, на основата на сключен договор с УО/РА, но няма да има статут на постоянни служители. Срокът на договорите на тези служители няма да надхвърля крайната дата на допустимост на разходите по ПРСР.</w:t>
            </w:r>
          </w:p>
          <w:p>
            <w:pPr>
              <w:numPr>
                <w:ilvl w:val="0"/>
                <w:numId w:val="556"/>
              </w:numPr>
              <w:spacing w:before="240" w:after="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за създаване и функциониране на НСМ след 31.12.2015 г.</w:t>
            </w:r>
          </w:p>
          <w:p>
            <w:pPr>
              <w:numPr>
                <w:ilvl w:val="0"/>
                <w:numId w:val="556"/>
              </w:numPr>
              <w:spacing w:before="0" w:after="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за работа в мрежа и разрешаване на жалби.</w:t>
            </w:r>
          </w:p>
          <w:p>
            <w:pPr>
              <w:numPr>
                <w:ilvl w:val="0"/>
                <w:numId w:val="556"/>
              </w:numPr>
              <w:spacing w:before="0" w:after="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Наемане на независими консултанти (организации/експерти) за изпълнение на краткосрочни и дългосрочни задачи, свързани с ПРСР.</w:t>
            </w:r>
          </w:p>
          <w:p>
            <w:pPr>
              <w:numPr>
                <w:ilvl w:val="0"/>
                <w:numId w:val="556"/>
              </w:numPr>
              <w:spacing w:before="0" w:after="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Наемане на консултанти (организации/експерти) от ЕС за обмяна на опит с администрацията при управлението, наблюдението, контрола и оценката на ПРСР.</w:t>
            </w:r>
          </w:p>
          <w:p>
            <w:pPr>
              <w:numPr>
                <w:ilvl w:val="0"/>
                <w:numId w:val="556"/>
              </w:numPr>
              <w:spacing w:before="0" w:after="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Извършване на проверки на място (пътни, дневни и нощувки).</w:t>
            </w:r>
          </w:p>
          <w:p>
            <w:pPr>
              <w:numPr>
                <w:ilvl w:val="0"/>
                <w:numId w:val="556"/>
              </w:numPr>
              <w:spacing w:before="0" w:after="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и изпълнение на Антикорупционна стратегия за целесъобразност на използването на помощта от ЕЗФРСР, като се планира стратегията да бъде изготвена до края на 2015 г.</w:t>
            </w:r>
          </w:p>
          <w:p>
            <w:pPr>
              <w:numPr>
                <w:ilvl w:val="0"/>
                <w:numId w:val="556"/>
              </w:numPr>
              <w:spacing w:before="0" w:after="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на ваучерна система по Мярка 1 на ПРСР.</w:t>
            </w:r>
          </w:p>
          <w:p>
            <w:pPr>
              <w:numPr>
                <w:ilvl w:val="0"/>
                <w:numId w:val="556"/>
              </w:numPr>
              <w:spacing w:before="0" w:after="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Извършване на обучения на (потенциални) бенефициенти по ПРСР (2014-20).</w:t>
            </w:r>
          </w:p>
          <w:p>
            <w:pPr>
              <w:numPr>
                <w:ilvl w:val="0"/>
                <w:numId w:val="556"/>
              </w:numPr>
              <w:spacing w:before="0" w:after="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свързани с подготовката и прилагането на следващия програмен период (след 2023 г.).</w:t>
            </w:r>
          </w:p>
          <w:p>
            <w:pPr>
              <w:numPr>
                <w:ilvl w:val="0"/>
                <w:numId w:val="556"/>
              </w:numPr>
              <w:spacing w:before="0" w:after="24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на последваща оценка на ПРСР (2007-13).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Индикативният дял на разходите за всяка от изброените дейности е описан в </w:t>
            </w:r>
            <w:r>
              <w:rPr>
                <w:rFonts w:ascii="Times New Roman" w:eastAsia="Times New Roman" w:hAnsi="Times New Roman" w:cs="Times New Roman"/>
                <w:i/>
                <w:iCs/>
                <w:szCs w:val="24"/>
              </w:rPr>
              <w:t>Приложение 2</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дейностите по техническата помощ ще бъде организирано съгласно Закона за обществените поръчки (ЗОП) за дейности, попадащи в обсега му, или съгласно приложимото национално законодателство за дейности, които не попадат в обхвата на ЗОП.</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одобрените дейности подлежи на проверки на място. Проверките на място ще се извършват от дирекция „Технически инспекторат“ (ТИ) към ДФЗ-РА. Инспекторите от дирекция ТИ са функционално независими от служителите в звената в УО и РА, които извършват административни проверки на одобрените дейности. По този начин е обезпечено спазването на чл. 49, пар. 2 от Регламент за изпълнение (ЕС) 809/2014 на ЕК за определяне на правила за прилагането на Регламент (ЕС) 1306/2013 по отношение на интегрираната система за администриране и контрол, мерките за развитие на селските райони и кръстосаното съответствие.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Звената в РА, отговорни за извършването на проверки на място и за извършването на контрол по договориране и оторизация на мерките от ПРСР, попадат в два независими един от друг ресора, които са на подчинение на двама заместник-изпълнителни директори на ДФЗ-РА (вж. </w:t>
            </w:r>
            <w:r>
              <w:rPr>
                <w:rFonts w:ascii="Times New Roman" w:eastAsia="Times New Roman" w:hAnsi="Times New Roman" w:cs="Times New Roman"/>
                <w:i/>
                <w:iCs/>
                <w:szCs w:val="24"/>
              </w:rPr>
              <w:t>Приложение 3</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Бюджет в размер на 55 656 074 евро </w:t>
            </w:r>
            <w:r>
              <w:rPr>
                <w:rFonts w:ascii="Times New Roman" w:eastAsia="Times New Roman" w:hAnsi="Times New Roman" w:cs="Times New Roman"/>
                <w:szCs w:val="24"/>
              </w:rPr>
              <w:t>принос на ЕЗФРСР е разпределен за мярката. Финансовата помощ за тези дейности е в размер до 100% от общите допустими разходи. Бюджетът е определен на база опита от прилагането на Мярка 511 от ПРСР (2007-13), като са взети предвид темповете и нивата на договориране на заявленията и на разплащане на разходите.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От бюджета на мярката се заделя сума в размер до 5.5% за създаване и обслужване на НСМ.</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Този дял е определен на база неофициален анализ на УО и обхваща: сумата, определена за дейности, предвидени да бъдат изпълнени до края на 2015 г. съгласно договор, сключен на 09.11.2012 г. с избраното с обществена поръчка Звено за управление на НСМ и разходи за дейности, планирани за периода след 31.12.2015 г., когато цитираният по-горе договор приключва.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Бенефициенти</w:t>
            </w:r>
          </w:p>
          <w:p>
            <w:pPr>
              <w:numPr>
                <w:ilvl w:val="0"/>
                <w:numId w:val="55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Министерство на земеделието;</w:t>
            </w:r>
          </w:p>
          <w:p>
            <w:pPr>
              <w:numPr>
                <w:ilvl w:val="0"/>
                <w:numId w:val="55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ДФЗ -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sectPr>
          <w:pgMar w:top="900" w:right="900" w:bottom="900" w:left="900" w:header="720" w:footer="720"/>
          <w:cols w:space="720"/>
        </w:sectPr>
      </w:pPr>
    </w:p>
    <w:p>
      <w:pPr>
        <w:pStyle w:val="Heading1"/>
      </w:pPr>
      <w:bookmarkStart w:id="238" w:name="_Toc256000238"/>
      <w:r>
        <w:t>Списък на действията за привличане на партньорите</w:t>
      </w:r>
      <w:bookmarkEnd w:id="238"/>
    </w:p>
    <w:p>
      <w:pPr>
        <w:pStyle w:val="Heading2"/>
      </w:pPr>
      <w:bookmarkStart w:id="239" w:name="_Toc256000239"/>
      <w:r>
        <w:t>16.1.1.Създаване на Тематична работна група (ТРГ) за разработване на ПРСР(2014-2020) с участие на партньорите</w:t>
      </w:r>
      <w:bookmarkEnd w:id="239"/>
    </w:p>
    <w:p>
      <w:pPr>
        <w:pStyle w:val="Heading3"/>
        <w:jc w:val="left"/>
        <w:rPr>
          <w:b w:val="0"/>
        </w:rPr>
      </w:pPr>
      <w:bookmarkStart w:id="240" w:name="_Toc256000240"/>
      <w:r>
        <w:rPr>
          <w:b w:val="0"/>
        </w:rPr>
        <w:t>Предмет на съответната консултация</w:t>
      </w:r>
      <w:bookmarkEnd w:id="24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процедура за избор на членове на ТРГ на базата на изготвени и одобрени механизъм и методика за реда и условията за избор на неправителствени организации</w:t>
            </w:r>
          </w:p>
          <w:p>
            <w:pPr>
              <w:pStyle w:val="BodyText"/>
              <w:jc w:val="both"/>
              <w:rPr>
                <w:b w:val="0"/>
              </w:rPr>
            </w:pPr>
          </w:p>
        </w:tc>
      </w:tr>
    </w:tbl>
    <w:p>
      <w:pPr>
        <w:pStyle w:val="Heading3"/>
        <w:jc w:val="left"/>
        <w:rPr>
          <w:b w:val="0"/>
        </w:rPr>
      </w:pPr>
      <w:bookmarkStart w:id="241" w:name="_Toc256000241"/>
      <w:r>
        <w:rPr>
          <w:b w:val="0"/>
        </w:rPr>
        <w:t>Обобщение на резултатите</w:t>
      </w:r>
      <w:bookmarkEnd w:id="24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Избрани и утвърдени членове на ТРГ</w:t>
            </w:r>
          </w:p>
          <w:p>
            <w:pPr>
              <w:pStyle w:val="BodyText"/>
              <w:jc w:val="both"/>
              <w:rPr>
                <w:b w:val="0"/>
              </w:rPr>
            </w:pPr>
          </w:p>
        </w:tc>
      </w:tr>
    </w:tbl>
    <w:p>
      <w:pPr>
        <w:pStyle w:val="Heading2"/>
        <w:rPr>
          <w:b w:val="0"/>
        </w:rPr>
      </w:pPr>
      <w:bookmarkStart w:id="242" w:name="_Toc256000242"/>
      <w:r>
        <w:rPr>
          <w:b w:val="0"/>
        </w:rPr>
        <w:t>16.1.2. Провеждане на 7 заседания на ТРГ.</w:t>
      </w:r>
      <w:bookmarkEnd w:id="242"/>
    </w:p>
    <w:p>
      <w:pPr>
        <w:pStyle w:val="Heading3"/>
        <w:jc w:val="left"/>
        <w:rPr>
          <w:b w:val="0"/>
        </w:rPr>
      </w:pPr>
      <w:bookmarkStart w:id="243" w:name="_Toc256000243"/>
      <w:r>
        <w:rPr>
          <w:b w:val="0"/>
        </w:rPr>
        <w:t>Предмет на съответната консултация</w:t>
      </w:r>
      <w:bookmarkEnd w:id="24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Обсъждане с партньорите на:</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1.правила и график за работа  на ТРГ, проекти на регламентите и териториалния обхват на ПРСР (2014-2020);</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2.дефиницията на селски район, SWOT анализа, интервенционна логика, анализа на нуждите;</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3.проекта на анализ и стратегия на ПРСР (2014-2020);</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4.коментарите от работата на фокус групите и предложените мерки;</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5.първи вариант на ПРСР 2014-2020;</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6.промени в програмата след отразените коментари на ЕК,ТРГ и предварителната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основни коментари на ЕК по официално изпратената ПРСР (2014-2020)</w:t>
            </w:r>
          </w:p>
          <w:p>
            <w:pPr>
              <w:pStyle w:val="BodyText"/>
              <w:jc w:val="both"/>
              <w:rPr>
                <w:b w:val="0"/>
              </w:rPr>
            </w:pPr>
          </w:p>
        </w:tc>
      </w:tr>
    </w:tbl>
    <w:p>
      <w:pPr>
        <w:pStyle w:val="Heading3"/>
        <w:jc w:val="left"/>
        <w:rPr>
          <w:b w:val="0"/>
        </w:rPr>
      </w:pPr>
      <w:bookmarkStart w:id="244" w:name="_Toc256000244"/>
      <w:r>
        <w:rPr>
          <w:b w:val="0"/>
        </w:rPr>
        <w:t>Обобщение на резултатите</w:t>
      </w:r>
      <w:bookmarkEnd w:id="24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1.Приети процедурни правила и индикативен график за работа на ТРГ;</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2.сформирани екипи от УО, РА и партньорите за разработване на ПРСР (2014-2020);</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3.подобрени анализ и стратегия, след отразяване на получените  коментари от 3-то заседание на ТРГ;</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4.подобрени варианти на мерки след отразяване на коментарите от 4-то заседание на ТРГ, свързани с работата на фокус групите;</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5.подобрен първи вариант на програмата след отразяване на получените коментари от 5-то заседание;</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6.подобрен вариант на програмата преди официалното и изпращане в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подобрен вариант на ПРСР (2014-2020) след консултиране с партньорите относно основни коментари на ЕК</w:t>
            </w:r>
          </w:p>
          <w:p>
            <w:pPr>
              <w:pStyle w:val="BodyText"/>
              <w:jc w:val="both"/>
              <w:rPr>
                <w:b w:val="0"/>
              </w:rPr>
            </w:pPr>
          </w:p>
        </w:tc>
      </w:tr>
    </w:tbl>
    <w:p>
      <w:pPr>
        <w:pStyle w:val="Heading2"/>
        <w:rPr>
          <w:b w:val="0"/>
        </w:rPr>
      </w:pPr>
      <w:bookmarkStart w:id="245" w:name="_Toc256000245"/>
      <w:r>
        <w:rPr>
          <w:b w:val="0"/>
        </w:rPr>
        <w:t>16.1.3. Сформиране на фокус групи</w:t>
      </w:r>
      <w:bookmarkEnd w:id="245"/>
    </w:p>
    <w:p>
      <w:pPr>
        <w:pStyle w:val="Heading3"/>
        <w:jc w:val="left"/>
        <w:rPr>
          <w:b w:val="0"/>
        </w:rPr>
      </w:pPr>
      <w:bookmarkStart w:id="246" w:name="_Toc256000246"/>
      <w:r>
        <w:rPr>
          <w:b w:val="0"/>
        </w:rPr>
        <w:t>Предмет на съответната консултация</w:t>
      </w:r>
      <w:bookmarkEnd w:id="24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Обсъждане  на конкретни предложения за подобряване на  частите на ПРСР (2014-2020) от членовете на съответния екип, състоящ се от представители на УО, РА и партньорите</w:t>
            </w:r>
          </w:p>
          <w:p>
            <w:pPr>
              <w:pStyle w:val="BodyText"/>
              <w:jc w:val="both"/>
              <w:rPr>
                <w:b w:val="0"/>
              </w:rPr>
            </w:pPr>
          </w:p>
        </w:tc>
      </w:tr>
    </w:tbl>
    <w:p>
      <w:pPr>
        <w:pStyle w:val="Heading3"/>
        <w:jc w:val="left"/>
        <w:rPr>
          <w:b w:val="0"/>
        </w:rPr>
      </w:pPr>
      <w:bookmarkStart w:id="247" w:name="_Toc256000247"/>
      <w:r>
        <w:rPr>
          <w:b w:val="0"/>
        </w:rPr>
        <w:t>Обобщение на резултатите</w:t>
      </w:r>
      <w:bookmarkEnd w:id="24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Подобрени стратегия, анализ, мерки на ПРСР (2014-2020) и преглед на предварителните условия</w:t>
            </w:r>
          </w:p>
          <w:p>
            <w:pPr>
              <w:pStyle w:val="BodyText"/>
              <w:jc w:val="both"/>
              <w:rPr>
                <w:b w:val="0"/>
              </w:rPr>
            </w:pPr>
          </w:p>
        </w:tc>
      </w:tr>
    </w:tbl>
    <w:p>
      <w:pPr>
        <w:pStyle w:val="Heading2"/>
        <w:rPr>
          <w:b w:val="0"/>
        </w:rPr>
      </w:pPr>
      <w:bookmarkStart w:id="248" w:name="_Toc256000248"/>
      <w:r>
        <w:rPr>
          <w:b w:val="0"/>
        </w:rPr>
        <w:t>16.1.4.Привличане на партньори със съвещателен глас</w:t>
      </w:r>
      <w:bookmarkEnd w:id="248"/>
    </w:p>
    <w:p>
      <w:pPr>
        <w:pStyle w:val="Heading3"/>
        <w:jc w:val="left"/>
        <w:rPr>
          <w:b w:val="0"/>
        </w:rPr>
      </w:pPr>
      <w:bookmarkStart w:id="249" w:name="_Toc256000249"/>
      <w:r>
        <w:rPr>
          <w:b w:val="0"/>
        </w:rPr>
        <w:t>Предмет на съответната консултация</w:t>
      </w:r>
      <w:bookmarkEnd w:id="24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Обсъждане на теми, поставени от заинтересовани партньори, които не са членове на ТРГ</w:t>
            </w:r>
          </w:p>
          <w:p>
            <w:pPr>
              <w:pStyle w:val="BodyText"/>
              <w:jc w:val="both"/>
              <w:rPr>
                <w:b w:val="0"/>
              </w:rPr>
            </w:pPr>
          </w:p>
        </w:tc>
      </w:tr>
    </w:tbl>
    <w:p>
      <w:pPr>
        <w:pStyle w:val="Heading3"/>
        <w:jc w:val="left"/>
        <w:rPr>
          <w:b w:val="0"/>
        </w:rPr>
      </w:pPr>
      <w:bookmarkStart w:id="250" w:name="_Toc256000250"/>
      <w:r>
        <w:rPr>
          <w:b w:val="0"/>
        </w:rPr>
        <w:t>Обобщение на резултатите</w:t>
      </w:r>
      <w:bookmarkEnd w:id="25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Подобрени текстове на ПРСР (2014-2020)</w:t>
            </w:r>
          </w:p>
          <w:p>
            <w:pPr>
              <w:pStyle w:val="BodyText"/>
              <w:jc w:val="both"/>
              <w:rPr>
                <w:b w:val="0"/>
              </w:rPr>
            </w:pPr>
          </w:p>
        </w:tc>
      </w:tr>
    </w:tbl>
    <w:p>
      <w:pPr>
        <w:pStyle w:val="Heading2"/>
        <w:rPr>
          <w:b w:val="0"/>
        </w:rPr>
      </w:pPr>
      <w:bookmarkStart w:id="251" w:name="_Toc256000251"/>
      <w:r>
        <w:rPr>
          <w:b w:val="0"/>
        </w:rPr>
        <w:t>16.1.5.Представяне на ПРСР на три заседания на КН</w:t>
      </w:r>
      <w:bookmarkEnd w:id="251"/>
    </w:p>
    <w:p>
      <w:pPr>
        <w:pStyle w:val="Heading3"/>
        <w:jc w:val="left"/>
        <w:rPr>
          <w:b w:val="0"/>
        </w:rPr>
      </w:pPr>
      <w:bookmarkStart w:id="252" w:name="_Toc256000252"/>
      <w:r>
        <w:rPr>
          <w:b w:val="0"/>
        </w:rPr>
        <w:t>Предмет на съответната консултация</w:t>
      </w:r>
      <w:bookmarkEnd w:id="25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1.Обсъждане на анализа и стратегията</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2.Обсъждане на проекта на ПРСР(2014-2020)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Представяне на статуса на преговорния процес с ЕК по ПРСР (2014-2020) </w:t>
            </w:r>
          </w:p>
          <w:p>
            <w:pPr>
              <w:pStyle w:val="BodyText"/>
              <w:jc w:val="both"/>
              <w:rPr>
                <w:b w:val="0"/>
              </w:rPr>
            </w:pPr>
          </w:p>
        </w:tc>
      </w:tr>
    </w:tbl>
    <w:p>
      <w:pPr>
        <w:pStyle w:val="Heading3"/>
        <w:jc w:val="left"/>
        <w:rPr>
          <w:b w:val="0"/>
        </w:rPr>
      </w:pPr>
      <w:bookmarkStart w:id="253" w:name="_Toc256000253"/>
      <w:r>
        <w:rPr>
          <w:b w:val="0"/>
        </w:rPr>
        <w:t>Обобщение на резултатите</w:t>
      </w:r>
      <w:bookmarkEnd w:id="25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Обсъден проект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Обсъдени коментари на ЕК по официално изпратения вариант на ПРСР (2014-2020)</w:t>
            </w:r>
          </w:p>
          <w:p>
            <w:pPr>
              <w:pStyle w:val="BodyText"/>
              <w:jc w:val="both"/>
              <w:rPr>
                <w:b w:val="0"/>
              </w:rPr>
            </w:pPr>
          </w:p>
        </w:tc>
      </w:tr>
    </w:tbl>
    <w:p>
      <w:pPr>
        <w:pStyle w:val="Heading2"/>
        <w:rPr>
          <w:b w:val="0"/>
        </w:rPr>
      </w:pPr>
      <w:bookmarkStart w:id="254" w:name="_Toc256000254"/>
      <w:r>
        <w:rPr>
          <w:b w:val="0"/>
        </w:rPr>
        <w:t>16.1.6.Достъп до информация, прозрачност</w:t>
      </w:r>
      <w:bookmarkEnd w:id="254"/>
    </w:p>
    <w:p>
      <w:pPr>
        <w:pStyle w:val="Heading3"/>
        <w:jc w:val="left"/>
        <w:rPr>
          <w:b w:val="0"/>
        </w:rPr>
      </w:pPr>
      <w:bookmarkStart w:id="255" w:name="_Toc256000255"/>
      <w:r>
        <w:rPr>
          <w:b w:val="0"/>
        </w:rPr>
        <w:t>Предмет на съответната консултация</w:t>
      </w:r>
      <w:bookmarkEnd w:id="25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Регулярно публикуване на материалите и документите за дейността на КН и ТРГ, както и проекта на ПРСР (2014-2020) на страницата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обществено обсъждане на проекта на ПРСР</w:t>
            </w:r>
          </w:p>
          <w:p>
            <w:pPr>
              <w:pStyle w:val="BodyText"/>
              <w:jc w:val="both"/>
              <w:rPr>
                <w:b w:val="0"/>
              </w:rPr>
            </w:pPr>
          </w:p>
        </w:tc>
      </w:tr>
    </w:tbl>
    <w:p>
      <w:pPr>
        <w:pStyle w:val="Heading3"/>
        <w:jc w:val="left"/>
        <w:rPr>
          <w:b w:val="0"/>
        </w:rPr>
      </w:pPr>
      <w:bookmarkStart w:id="256" w:name="_Toc256000256"/>
      <w:r>
        <w:rPr>
          <w:b w:val="0"/>
        </w:rPr>
        <w:t>Обобщение на резултатите</w:t>
      </w:r>
      <w:bookmarkEnd w:id="25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прозрачност и достъп на членовете на КН, ТРГ и широката общественост до последните варианти на работните документи</w:t>
            </w:r>
          </w:p>
          <w:p>
            <w:pPr>
              <w:pStyle w:val="BodyText"/>
              <w:jc w:val="both"/>
              <w:rPr>
                <w:b w:val="0"/>
              </w:rPr>
            </w:pPr>
          </w:p>
        </w:tc>
      </w:tr>
    </w:tbl>
    <w:p>
      <w:pPr>
        <w:pStyle w:val="Heading2"/>
        <w:rPr>
          <w:b w:val="0"/>
        </w:rPr>
      </w:pPr>
      <w:bookmarkStart w:id="257" w:name="_Toc256000257"/>
      <w:r>
        <w:rPr>
          <w:b w:val="0"/>
        </w:rPr>
        <w:t>(Незадължително) разяснения или допълнителна информация за допълване на списъка с действия</w:t>
      </w:r>
      <w:bookmarkEnd w:id="25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Партньорството с компетентните национални, регионални и местни власти, икономическите и социалните партньори, представителите на гражданското общество и други организации е организирано съгласно чл. 5 на Регламент (ЕС) 1303/2013 г. и Европейския кодекс на поведение за партньорство в рамките на европейските структурни и инвестиционни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изпълнение на чл. 5 от Постановление № 5/18.01.2012 г. и Решение № 328/25.04.2012 г. на Министерски съвет и във връзка с писмо на министъра по управление на средствата от Европейския съюз, МЗХ създаде организация и проведе процедура за сформиране на </w:t>
            </w:r>
            <w:r>
              <w:rPr>
                <w:rFonts w:ascii="Times New Roman" w:eastAsia="Times New Roman" w:hAnsi="Times New Roman" w:cs="Times New Roman"/>
                <w:b/>
                <w:bCs/>
                <w:szCs w:val="24"/>
              </w:rPr>
              <w:t>Тематична работна група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за разработване на Програма за развитие на селските райони за периода 2014-2020 г. (ТРГ по ПРСР (2014–2020)).</w:t>
            </w:r>
            <w:r>
              <w:rPr>
                <w:rFonts w:ascii="Times New Roman" w:eastAsia="Times New Roman" w:hAnsi="Times New Roman" w:cs="Times New Roman"/>
                <w:szCs w:val="24"/>
              </w:rPr>
              <w:t xml:space="preserve"> В състава на ТРГ бяха поканени и включени представители на:</w:t>
            </w:r>
          </w:p>
          <w:p>
            <w:pPr>
              <w:numPr>
                <w:ilvl w:val="0"/>
                <w:numId w:val="55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Централното координационно звено, Сертифициращите органи по оперативните програми, Разплащателната агенция по Програмата за развитие на селските райони и Одитния орган по оперативните програми за програмния период 2007 - 2013 г.;</w:t>
            </w:r>
          </w:p>
          <w:p>
            <w:pPr>
              <w:numPr>
                <w:ilvl w:val="0"/>
                <w:numId w:val="55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Ведомствата, отговорни за политиките, по които ще се финансират мерки от съответната програма;</w:t>
            </w:r>
          </w:p>
          <w:p>
            <w:pPr>
              <w:numPr>
                <w:ilvl w:val="0"/>
                <w:numId w:val="56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Дирекция „Стратегическо развитие и координация” в администрацията на МС;</w:t>
            </w:r>
          </w:p>
          <w:p>
            <w:pPr>
              <w:numPr>
                <w:ilvl w:val="0"/>
                <w:numId w:val="56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Дирекция „Икономическа и финансова политика” на Министерството на финансите;</w:t>
            </w:r>
          </w:p>
          <w:p>
            <w:pPr>
              <w:numPr>
                <w:ilvl w:val="0"/>
                <w:numId w:val="56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Националния статистически институт;</w:t>
            </w:r>
          </w:p>
          <w:p>
            <w:pPr>
              <w:numPr>
                <w:ilvl w:val="0"/>
                <w:numId w:val="56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Комисията за защита от дискриминация;</w:t>
            </w:r>
          </w:p>
          <w:p>
            <w:pPr>
              <w:numPr>
                <w:ilvl w:val="0"/>
                <w:numId w:val="56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Регионалните съвети за развитие в районите от ниво 2;</w:t>
            </w:r>
          </w:p>
          <w:p>
            <w:pPr>
              <w:numPr>
                <w:ilvl w:val="0"/>
                <w:numId w:val="56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Национално представителните организации на работодателите, работниците и служителите, признати от Министерския съвет по реда на Кодекса на труда;</w:t>
            </w:r>
          </w:p>
          <w:p>
            <w:pPr>
              <w:numPr>
                <w:ilvl w:val="0"/>
                <w:numId w:val="56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Национално представителните организации на и за хора с увреждания, признати от Министерския съвет по реда на Закона за интеграция на хората с увреждания;</w:t>
            </w:r>
          </w:p>
          <w:p>
            <w:pPr>
              <w:numPr>
                <w:ilvl w:val="0"/>
                <w:numId w:val="56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Националното сдружение на общините в Република България;</w:t>
            </w:r>
          </w:p>
          <w:p>
            <w:pPr>
              <w:numPr>
                <w:ilvl w:val="0"/>
                <w:numId w:val="56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Академична общност;</w:t>
            </w:r>
          </w:p>
          <w:p>
            <w:pPr>
              <w:numPr>
                <w:ilvl w:val="0"/>
                <w:numId w:val="56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Неправителствени организации.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МЗХ проведе процедура за избор на представители на неправителствения сектор, съгласно Механизма за избор на неправителствени организации, чиито представители участват в състава на работните групи за разработване на Договора за партньорство и програмите на Република България за програмен период 2014 – 2020 г., утвърден от министъра по управление на средствата от ЕС. Съгласно този механизъм бяха изключени неправителствени организации, регистрирани по ЗЮЛНЦ в частна полза. Голяма част от неправителствените организации, работещи в сектор земеделие, хранително-вкусовата промишленост и горите са регистрирани в частна полза по ЗЮЛНЦ. За да се предотврати изключването на заинтересувани лица – бъдещи бенефициенти и партньори от участие в процеса на програмиране на ПРСР (2014–2020), МЗХ поиска от министъра по управление на средствата от ЕС, неправителствени организации, работещи в частна полза, от сектор земеделие, хранително-вкусовата промишленост и горите да бъдат допуснати за членство в ТРГ. За целта бе изработена Методика за реда и условията за избор на неправителствени организации, работещи в областта на земеделието, хранително-вкусовата промишленост и горите, с която НПО, регистрирани по ЗЮЛНЦ в обществена и в частна полза, могат да бъдат членове на ТРГ. След съгласуване с министъра по управление на средствата от ЕС, МЗХ проведе процедура за избор на НПО за членове на ТРГ, съгласно Механизма и Методиката. Процедурата стартира с обява на 22 ноември 2012 г. на интернет сайтовете на МЗХ, на ПРСР и на единния информационен портал за Структурните фондове в България. Със заповед на министъра на земеделието и храните бе създадена Комисия за сформиране на Тематична работна група за разработване на ПРСР (2014 – 2020), която избра НПО за членове на ТРГ като:</w:t>
            </w:r>
          </w:p>
          <w:p>
            <w:pPr>
              <w:numPr>
                <w:ilvl w:val="0"/>
                <w:numId w:val="57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определи членовете на ТРГ, съгласно Механизма и Методиката;</w:t>
            </w:r>
          </w:p>
          <w:p>
            <w:pPr>
              <w:numPr>
                <w:ilvl w:val="0"/>
                <w:numId w:val="5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изготви поименна заповед на членовете на ТРГ;</w:t>
            </w:r>
          </w:p>
          <w:p>
            <w:pPr>
              <w:numPr>
                <w:ilvl w:val="0"/>
                <w:numId w:val="57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изготви Правила за организацията и дейността на ТРГ.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Сформираната ТРГ за разработване на ПРСР (2014-2020) наброява 77 членове с право на глас.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чл. 5 ал.(6) от ПМС № 5/18.01.2013 г. на заседанията на ТРГ се канят и заинтересовани лица, проявили значителен интерес към дейността на ТРГ – бъдещи бенефициенти, партньори и групи, които по различни причини нямат представител в ТРГ. Същите участват с експертни мнения в дискусиите и техните становища се взимат предвид при разработването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Материалите за заседанията на ТРГ се предоставят на членовете съгласно правилата за работа и заедно с протоколите от заседанията на КН и ТРГ и с проекта на ПРСР (2014-2020) се публикуват на страницата на програмата http://prsr.government.bg/index.php/bg/sections/l2/101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началото на 2013 г. се проведоха 7 присъствени заседания на ТРГ, които протекоха съгласно утвърдените правила за работа на ТРГ. Бяха сформирани 7 екипа, в които се включиха представители на УО, РА и партньорите. Всеки екип проведе серия от фокус групи за обсъждане и подобряване на разработените стратегия, анализ и мерки на ПРСР (2014-2020), направен бе и преглед на предварителните условия на ЕК. Резултатите от фокус групите бяха обсъдени на заседанията на ТРГ. 345 броя писмени становища, препоръки и коментари получени от партньорите бяха анализирани, обобщени, приети или обосновано отхвърлени от УО. От тях 227 коментара бяха приети напълно или частично и това допринесе за подобряване на Програмата. В резултат на непрекъснатия процес на консултации с партньорите, с ЕК и с екипа за предварителна оценка на програмата, първият пълен вариант на ПРСР (2014-2020), с включени всички части на програмата и тематичната подпрограма, беше обсъден на петото заседание на ТРГ, което се проведе на 10 февруари 2014 г. На 6-то заседание на ТРГ на 12.06.2014 г. се обсъди финалния вариант на ПРСР (2014-2020), след отразяване на последните коментари на ЕК, ТРГ и предварителната оценка и преди официалното и изпращане в ЕК. На 7-то заседание на ТРГ на 26.11.2014 бяха обсъдени основните коментари на ЕК по официално изпратената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13.06.2014 г. проектът на ПРСР (2014-2020) беше представен за публично обсъждане,  на което присъстваха партньори,  широката общественост и медии.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Заседанията на Комитета за наблюдение на ПРСР 2007-2013 бяха използвани интензивно за консултации с партньорите при изработването на ПРСР(2014-2020):</w:t>
            </w:r>
          </w:p>
          <w:p>
            <w:pPr>
              <w:numPr>
                <w:ilvl w:val="0"/>
                <w:numId w:val="57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 заседанието на КН на ПРСР на 24.09.2013 г. беше приета информацията за подготовката на ПРСР (2014-2020);</w:t>
            </w:r>
          </w:p>
          <w:p>
            <w:pPr>
              <w:numPr>
                <w:ilvl w:val="0"/>
                <w:numId w:val="5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 заседанието на КН на 29 април 2014 г. беше обсъден проектът на ПРСР (2014-2020);</w:t>
            </w:r>
          </w:p>
          <w:p>
            <w:pPr>
              <w:numPr>
                <w:ilvl w:val="0"/>
                <w:numId w:val="57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 заседание на КН на 21.10.2014 бяха обсъдени коментарите на ЕК по официално изпратения вариант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Принципът на партньорство е заложен и в дейностите по прилагане и изпълнение на ПРСР (2014-2020). Партньорите ще бъдат въвлечени при разработването на наредбите </w:t>
            </w:r>
            <w:r>
              <w:rPr>
                <w:rFonts w:ascii="Times New Roman" w:eastAsia="Times New Roman" w:hAnsi="Times New Roman" w:cs="Times New Roman"/>
                <w:b/>
                <w:bCs/>
                <w:szCs w:val="24"/>
                <w:u w:val="single"/>
              </w:rPr>
              <w:t>или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и при подготовката на критериите за оценка/избор на проекти по ПРСР (2014-2020). Участието на партньорите в наблюдението и оценката на програмата ще се осъществи в рамките на Комитета за наблюдение на ПРСР (2014-2020) и излъчените от него работни групи. Партньорството с Националната селска мрежа и Местните групи за действие ще се осъществява както чрез обмен на информация, така и в непрекъснат процес на консултации и съвместни действия.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Приложение 1 към Раздел 16 е даден списък на действията за въвличане на партньорите. В Приложение 2 към Раздел 16 е даден съставът на ТРГ за разработване на ПРСР 2014-2020. В Приложение 3 Раздел 16 са представени коментарите от публичното обсъждане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sectPr>
          <w:pgMar w:top="900" w:right="900" w:bottom="900" w:left="900" w:header="720" w:footer="720"/>
          <w:cols w:space="720"/>
        </w:sectPr>
      </w:pPr>
    </w:p>
    <w:p>
      <w:pPr>
        <w:pStyle w:val="Heading1"/>
      </w:pPr>
      <w:bookmarkStart w:id="258" w:name="_Toc256000258"/>
      <w:r>
        <w:t>Национална мрежа за селските райони</w:t>
      </w:r>
      <w:bookmarkEnd w:id="258"/>
    </w:p>
    <w:p>
      <w:pPr>
        <w:pStyle w:val="Heading2"/>
      </w:pPr>
      <w:bookmarkStart w:id="259" w:name="_Toc256000259"/>
      <w:r>
        <w:t>Процедура и график за създаването на националната мрежа за селските райони („НМСР“)</w:t>
      </w:r>
      <w:bookmarkEnd w:id="25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Национална селска мрежа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мрежа за развитие на селските райони в Република България ще действа съгласно националния контекст и политика за развитие на селските райони, както и  административната и социалната култура на заинтересованите страни на местно, регионално и национално ниво, и ще посреща съществуващите нужди на потребителите. Мрежата подпомага подпомага Министерството на земеделието, храните и горите при определянето и реализирането на приоритетите в развитието на селските райони и промените, които трябва да се направят в действащата политика, с оглед подобряване на ефекта от нейното провеждане; подобряването на диалога със заинтересованите страни, разширяване на участието във вземането на решения и в процеса на планиране, програмиране, наблюдение и изпълнение на политиката за развитие на селските райони; информирането на широката общественост и потенциалните бенефициенти за политиката за развитие на селсикте райони и възможностите за финансиране; насърчаването на иновациите в селското стопанство, производството на храни, горското стопанство и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Организации и публични власти като съставна част от Националната селска мрежа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Основният принцип за участие в Националната селска мрежа е организираното и представително членство на организации и институции, ангажирани с устойчивото местно и регионално развитие, насърчаването на заетостта и подобряването на качеството на живота в селските райони. Другият основен принцип, който предопределя типа участници в Националната селска мрежа, е свързан с представителство на всички настоящи и потенциални бенефициенти по ПРСР (2007-13 г.) и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селска мрежа, установена в рамките на периода 2007 – 2013 г. ще продължи да функционира и през следващия програмен период, като ще бъде проведена процедура за избор на изпълнител, който да осъществява функциите на Звено за управление на НСМ след изтичане на договора на настоящия изпълнител (31 декември 2015 г.) Процеса за подготовка на избора на  изпълнител на ЗУ ще започне през месец януари 2015 г. и ще бъде реализиран във времеви график, посочен в частта „Функции и роля на ЗУ на НСМ“ по долу.</w:t>
            </w:r>
          </w:p>
          <w:p>
            <w:pPr>
              <w:pStyle w:val="BodyText"/>
              <w:jc w:val="both"/>
            </w:pPr>
          </w:p>
        </w:tc>
      </w:tr>
    </w:tbl>
    <w:p>
      <w:pPr>
        <w:pStyle w:val="Heading2"/>
      </w:pPr>
      <w:bookmarkStart w:id="260" w:name="_Toc256000260"/>
      <w:r>
        <w:t>Планираната организация на мрежата, а именно начинът, по който организациите и администрациите, ангажирани в развитието на селските райони, включително партньорите, както е посочено в член 54, параграф 1 от Регламент (ЕС) № 1305/2013, ще бъдат включени, и как ще се посредничи при работата в мрежа</w:t>
      </w:r>
      <w:bookmarkEnd w:id="26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Участниците в Националната селска мрежа ще  бъдат представени в пет общи категории: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1. Организации, които представляват различните категории потенциални бенефициенти по приоритетите на ЕС за развитие на селските райони, заинтересовани пряко или косвено от прилагането на мерките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Представителите на организации като потенциални бенефициенти в рамките на първи, втори, трети, четвърти и пети приоритет на ЕС са асоциации на фермери, земеделски камари, групи производители и асоциации на земеделски и горски кооперации, включително консултантски организации, асоциации на собственици на гори; преработвателни браншови организации, нестопански организации, работещи в областта на опазване на околната среда, агроекологични и горски научни институти; земеделски изследователски институти; обучаващи организации в областта на земеделския и горския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Представителите на организации като потенциални бенефициенти в рамките на приоритет шест на Съюза са местни, регионални или национални нестопански организации и техни мрежи; НПО, работещи в областта на устойчиво местно развитие и селски райони; включващи организации подкрепящи дискриминирани групи (вкл. роми); сдружения на  производители и браншови организации; НПО в областта на селския туризъм, опазване на околната среда, съхраняване на културното наследство; организации за обучение и организации за професионално обучение, общини, асоциации на общини.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Представители на организации като потенциални бенефициенти по ЛИДЕР са Местни инициативни групи и техни мрежи – формални или неформални; и други бенефициенти по стратегията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2. Администрация: Министерството на земеделието, храните и горите, РА и техните регионални и местни структури; други министерства и техните регионални структури, имащи отношение към развитието на селските райони; общини и кметства; Националното и регионалните сдружения на общините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3. Консултантски организации и оперативни групи в рамките на Мрежата за Европейско партньорство за иновации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4. Членовете от Споразумението за партньорство: компетентни регионални, местни, градски и др. обществени власти; икономически и социални партньори; представители на гражданското общество в т.ч. партньори за опазване на околната среда, Неправителствени организации и организации работещи против дискриминацията и в полза на равенството.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5. Научни и изследователски институти в селскостопанския сектор, хранителната верига и горското стопанство</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селска мрежа ще дава възможност за участие от страна на всички представители на партньорските организации с пряк или косвен интерес в развитието на селските райони в т.ч. представители и организации на дискриминираните групи (роми).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под-раздел 5.5 на Раздел 5 „Описание на стратегията“ от Програмата за развитие на селските райони (2014-2020 г.), се предвижда създаването на Координационно звено за иновации (КЗИ) по ПРСР, тази функция ще бъде изпълнявана от Звеното за управление на Националната селска мрежа.</w:t>
            </w:r>
          </w:p>
          <w:p>
            <w:pPr>
              <w:pStyle w:val="BodyText"/>
              <w:jc w:val="both"/>
            </w:pPr>
          </w:p>
        </w:tc>
      </w:tr>
    </w:tbl>
    <w:p>
      <w:pPr>
        <w:pStyle w:val="Heading2"/>
      </w:pPr>
      <w:bookmarkStart w:id="261" w:name="_Toc256000261"/>
      <w:r>
        <w:t>Обобщено описание на основните категории дейности на националната мрежа за селските райони в съответствие с целите на програмата</w:t>
      </w:r>
      <w:bookmarkEnd w:id="26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Функции и роля на Координационният Комитет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Ролята на Координационният комитет е да взема основните решения за дейността на мрежата. Ще се състои от максимум до 15 члена – представители на всички основни групи заинтересовани страни на мрежата и на МЗХГ, които ще участват в него на доброволен принцип. Членовете на Координационния комитет ще се избират на квотен принцип, чрез допълнително разработен изборен механизъм.  МЗХГ ще участва най-малко с двама представители, като един от тях ще е представител  на Селскостопанска академия. В координационния комитет минимум една трета от членовете се заема от представители, участващи в дейности и групи за  ЕПИ. Координационният комитет ще избира председател от членовете си на ротационен принцип за мандат от 2 години. Председателят представлява НСМ в Комитета за наблюдение на ПРСР (2014-2020 г.). Основните задачи на Координационният комитет са да дава препоръки за избора на приоритетите и темите за работата на Мрежата, да разглежда и одобрява Плана й за действие, вкл. и Комуникационния план и техните изменения, които ще се извършват в процеса на прилагането им;  да получава и разглежда текущите доклади; да следи напредъка на Програмата и предлага  промени;  да съветва УО по въпросите свързани с НСМ и да осъществява, със съдействието на ЗУ, самооценка на цялостната дейност на Мрежата.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Експертна група за подхода ЛИДЕР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Координационният комитет ще се създаде специална експертна група за подхода ЛИДЕР, с членове представители на основните групи заинтересовани страни (УО; МИГ, прилагали стратегии за местно развитие; МИГ, разработили стратегии за местно развитие, но не получили финансиране; новосформирани МИГ през новия програмен период; НПО за местно развитие и читалища; министерства, прилагащи подхода  „Водено от общността местно развитие“). Експертната група за подхода ЛИДЕР ще подпомага Координационния съвет и ЗУ на НСМ по приоритетите и темите за работа на НСМ, свързани с МИГ и подхода ЛИДЕР. Дейността на експертната група е на доброволен принцип, и е с мандат от 2 години, съответстващ на мандата на Координационния комитет.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Експертна група по Европейско партньорство за иновации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Координационният комитет ще се създаде и специална експертна група за ЕПИ, която е изцяло нов вид дейност и ангажимент за НСМ, залегнал в Регламент 1305/2013г. Експретната група за ЕПИ ще е с членове  - представители на основните групи заинтересовани страни (УО; Национална служба за съвети в земеделието (НССЗ); Научни институции в областта на земеделието, горското стопанство, включително технологии, икономика и др.; Научни институции в областта на хранително-вкусовата промишленост, включително технологии, икономика и др.; Научни институции в областта на опазване на околната среда, включително технологии, икономика и др.; земеделски производители; представители на заинтересованите страни-членове на НСМ). Експертната група за ЕПИ ще подпомага Координационния комитет и ЗУ на НСМ по приоритетите и темите за работа на НСМ, свързани с ЕПИ и оперативните групи като определяне на специфичния фокус и теми за обмен на опит и знания, идентифициране и разпространение на добри иновативни проекти и практики, обучение на оперативните групи, набиране на идеи за пилотни проекти и други. Дейността на експертната група е на доброволен принцип, и с мандат от 2 години, съответстващ на мандата на Координационния комитет.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Функции и роля на ЗУ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Ролята на Звеното за управление на НСМ е да създаде условия за успешна комуникация и насърчаване на сътрудничеството междузаинтересованите лица на местно, регионално, национално и европейско ниво. Техническото подпомагане, оперативна и информационна координация между участниците в Националната селска мрежа ще се осъществява от това Звено, което ще осигури и необходимия човешки ресурс и експертни изисквания. Външния орган, който ще поеме тази функция след изтичане на договора с настоящия изпълнител, ще бъде избран чрез обществена поръчка, при спазване на Закона за обществените поръчки, не по-късно от 31 декември 2015 г., но договора ще влезе в сила от 01.01.2016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Времево разпределение за създаване на Звено за управление на Национална селска мрежа на Програмата за развитие на селските райони (2014-2020 г.)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u w:val="single"/>
              </w:rPr>
              <w:t xml:space="preserve">Дейност:                                   Срок/ период:                                                  Отговорник: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w:t>
            </w:r>
            <w:r>
              <w:rPr>
                <w:rFonts w:ascii="Times New Roman" w:eastAsia="Times New Roman" w:hAnsi="Times New Roman" w:cs="Times New Roman"/>
                <w:b/>
                <w:bCs/>
                <w:szCs w:val="24"/>
              </w:rPr>
              <w:t>Стартиране подготовката на техническо задание за избор на изпълнител за Звено за управление на НСМ -   </w:t>
            </w:r>
            <w:r>
              <w:rPr>
                <w:rFonts w:ascii="Times New Roman" w:eastAsia="Times New Roman" w:hAnsi="Times New Roman" w:cs="Times New Roman"/>
                <w:b/>
                <w:bCs/>
                <w:i/>
                <w:iCs/>
                <w:szCs w:val="24"/>
              </w:rPr>
              <w:t>Януари-февруари 2015 г.</w:t>
            </w:r>
            <w:r>
              <w:rPr>
                <w:rFonts w:ascii="Times New Roman" w:eastAsia="Times New Roman" w:hAnsi="Times New Roman" w:cs="Times New Roman"/>
                <w:b/>
                <w:bCs/>
                <w:szCs w:val="24"/>
              </w:rPr>
              <w:t xml:space="preserve"> -   Управляващият орган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2.</w:t>
            </w:r>
            <w:r>
              <w:rPr>
                <w:rFonts w:ascii="Times New Roman" w:eastAsia="Times New Roman" w:hAnsi="Times New Roman" w:cs="Times New Roman"/>
                <w:b/>
                <w:bCs/>
                <w:szCs w:val="24"/>
              </w:rPr>
              <w:t xml:space="preserve">Процес на стартиране, подготовка на обществена поръчка и избор на изпълнител на дейността  - </w:t>
            </w:r>
            <w:r>
              <w:rPr>
                <w:rFonts w:ascii="Times New Roman" w:eastAsia="Times New Roman" w:hAnsi="Times New Roman" w:cs="Times New Roman"/>
                <w:b/>
                <w:bCs/>
                <w:i/>
                <w:iCs/>
                <w:szCs w:val="24"/>
              </w:rPr>
              <w:t>Февруари-  декември 2015 г.</w:t>
            </w:r>
            <w:r>
              <w:rPr>
                <w:rFonts w:ascii="Times New Roman" w:eastAsia="Times New Roman" w:hAnsi="Times New Roman" w:cs="Times New Roman"/>
                <w:b/>
                <w:bCs/>
                <w:szCs w:val="24"/>
              </w:rPr>
              <w:t xml:space="preserve"> - УО на ПРСР (2014-2020 г.) и дирекция „Обществени поръчки“ на МЗХ:</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 подготвена документацията на процедурата за възлагане на обществена поръчка;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 премината вътрешноведомствената съгласувателна процедура на документацията в МЗХ;</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премината вътрешноведомствената съгласувателна процедура на документацията в МЗХ;</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 в изпълнение на изискванията на Закона за обществени поръчки - преминат предварителен контрол от страна на Агенцията за обществени поръчки (АОП);</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 в резултат на предварителния контрол от АОП – премината повторна вътрешноведомствената съгласувателна процедура в МЗХ на документацията, с отразени бележките от извършения предварителен контрол;</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 създадена Комисия за оценка на офертите в МЗХ;</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-проведени заседания на Комисията за оценка на офертите и финално класиране на участниците;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-издадена заповед на министъра на земеделието и храните за избор на изпълнител.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3. *Сключен договор с избрания изпълнител  -  </w:t>
            </w:r>
            <w:r>
              <w:rPr>
                <w:rFonts w:ascii="Times New Roman" w:eastAsia="Times New Roman" w:hAnsi="Times New Roman" w:cs="Times New Roman"/>
                <w:b/>
                <w:bCs/>
                <w:i/>
                <w:iCs/>
                <w:szCs w:val="24"/>
              </w:rPr>
              <w:t>До средата на месец януари 2016 г. или веднага след изтичане на действащия договор (31.12.2015 г.)</w:t>
            </w:r>
            <w:r>
              <w:rPr>
                <w:rFonts w:ascii="Times New Roman" w:eastAsia="Times New Roman" w:hAnsi="Times New Roman" w:cs="Times New Roman"/>
                <w:b/>
                <w:bCs/>
                <w:szCs w:val="24"/>
              </w:rPr>
              <w:t xml:space="preserve"> -  Дирекция „Обществени поръчки“ на МЗХ;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4. Създадена Комисия за управление и контрол на проекта   </w:t>
            </w:r>
            <w:r>
              <w:rPr>
                <w:rFonts w:ascii="Times New Roman" w:eastAsia="Times New Roman" w:hAnsi="Times New Roman" w:cs="Times New Roman"/>
                <w:b/>
                <w:bCs/>
                <w:i/>
                <w:iCs/>
                <w:szCs w:val="24"/>
              </w:rPr>
              <w:t>-  До края на месец януари 2016 г.</w:t>
            </w:r>
            <w:r>
              <w:rPr>
                <w:rFonts w:ascii="Times New Roman" w:eastAsia="Times New Roman" w:hAnsi="Times New Roman" w:cs="Times New Roman"/>
                <w:b/>
                <w:bCs/>
                <w:szCs w:val="24"/>
              </w:rPr>
              <w:t>  -  Управляващият орган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5. Стартиране реалното изпълнение на проекта/договора с избрания изпълнител  -  </w:t>
            </w:r>
            <w:r>
              <w:rPr>
                <w:rFonts w:ascii="Times New Roman" w:eastAsia="Times New Roman" w:hAnsi="Times New Roman" w:cs="Times New Roman"/>
                <w:b/>
                <w:bCs/>
                <w:i/>
                <w:iCs/>
                <w:szCs w:val="24"/>
              </w:rPr>
              <w:t xml:space="preserve">След края на месец януари 2016 г.  </w:t>
            </w:r>
            <w:r>
              <w:rPr>
                <w:rFonts w:ascii="Times New Roman" w:eastAsia="Times New Roman" w:hAnsi="Times New Roman" w:cs="Times New Roman"/>
                <w:b/>
                <w:bCs/>
                <w:szCs w:val="24"/>
              </w:rPr>
              <w:t>-  Изпълнител на договор за Звено за управление на НСМ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w:t>
            </w:r>
            <w:r>
              <w:rPr>
                <w:rFonts w:ascii="Times New Roman" w:eastAsia="Times New Roman" w:hAnsi="Times New Roman" w:cs="Times New Roman"/>
                <w:b/>
                <w:bCs/>
                <w:i/>
                <w:iCs/>
                <w:szCs w:val="24"/>
              </w:rPr>
              <w:t>Бележка:</w:t>
            </w:r>
            <w:r>
              <w:rPr>
                <w:rFonts w:ascii="Times New Roman" w:eastAsia="Times New Roman" w:hAnsi="Times New Roman" w:cs="Times New Roman"/>
                <w:i/>
                <w:iCs/>
                <w:szCs w:val="24"/>
              </w:rPr>
              <w:t xml:space="preserve"> Договорът следва да бъде сключен след 31 декември 2015 г., тъй като тогава приключва срока на изпълнение на настоящият договор за Звено за управление на НСМ, с изпълнител „Агротек Спа“</w:t>
            </w:r>
            <w:r>
              <w:rPr>
                <w:rFonts w:ascii="Times New Roman" w:eastAsia="Times New Roman" w:hAnsi="Times New Roman" w:cs="Times New Roman"/>
                <w:szCs w:val="24"/>
              </w:rPr>
              <w:t xml:space="preserve"> и да влезе в сила не по-рано от 01.01.2016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Звеното за управление ще осъществява следните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Техническа и/или методическа помощ за участниците в НСМ и Европейската мрежа за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Подкрепа за междутериториално и транснационално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Обмен на информация между националните селски мрежи и Европейската мрежа за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Набиране и разпространение на добри практики от страната и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Комуникация и публичност.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Неразделна част от екипа на Звеното за управление на НСМ са 28 регионални координатори, които са разположени на територията на цялата страна и покриват всички 28 административни области . Те  действат като информационни точки и канал на НСМ за съответната област. На областно ниво, координаторите осигуряват връзка с други мрежи и/или отделни  участници в сферата на развитието на селските райони. Регионалните координатори насърчават включването на нови членове  и участието на членовете на Мрежата на регионално ниво, в изпълнение на Плана за действие на мрежата. Също така, участват в идентифицирането на добри практики от прилагането на ПРСР (2014-2020 г.), и в организиране и провеждане на регионални мероприятия.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Ангажиране на партньорите и дейност на Тематичните работни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Ангажирането на партньорите и заинтересованите лица в областта на развитието на селските райони, ще се осъществява чрез тематичните работни групи (ТРГ), които ще представят интересите на членовете на Националната мрежа на национално ниво.  Тематичните групи в  обхвата на Мрежата, спомагат за осъществяването на интегриран и междусекторен подход при обсъждането и реализацията на политиките за развитие на селските райони в България. В рамките на ТРГ се дава възможност за обсъждане, консултиране и участие на заинтересованите социално-икономически партньори в процеса на формиране на националните политики в областта на развитието на селските райони. Тематичните направления в рамките на Мрежата не разделят участниците в различни групи, а по-скоро представляват гъвкаво и взаимосвързано взаимодействие между участниците.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Тематичните работни групи работят на </w:t>
            </w:r>
            <w:r>
              <w:rPr>
                <w:rFonts w:ascii="Times New Roman" w:eastAsia="Times New Roman" w:hAnsi="Times New Roman" w:cs="Times New Roman"/>
                <w:b/>
                <w:bCs/>
                <w:szCs w:val="24"/>
              </w:rPr>
              <w:t>доброволен принцип в рамките на определен мандат по отношение 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-Конкретен обхват на проучване, анализ и/или доклад по определената тема;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-Експертен състав – обичайно участниците в тематичните работни групи са до 12 експерта, които активно участват в срещите;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-Период на дейност, достатъчен за подготвянето на материалите и обсъждането им с експертния състав, не по-дълго от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ЗУ- НСМ е координатор на дейността на Тематичните работни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Темите, върху които се фокусират тематичните работни групи следва да са свързани с  политиката за развитие на селските райони и нейното прилагане, както и да са от общ интерес за по-голям брой членове на мрежата. Темите могат да се предлагат от членовете на НСМ, от членовете на Координационния Комитет и експертните групи към него, експертите на Звеното за управление на НСМ и от координаторите на регионалните звена, както и по инициатива на Управляващия орган на ПРСР. Постъпилите предложения за теми се обобщават от експертите на ЗУ на НСМ и се одобряват от Управляващия орган на Програмата за развитие на селските райони (2014-2020г.). Приоритет се дава на теми от национален и/или регионален интерес, които могат да послужат на широк кръг заинтересовани лица, членове на мрежата и са релевантни към периода, в който се предлагат.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Управление и наблюдение на дейностите, свързани с Националната селска мрежа и оценка на работата на Мрежата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Стратегическите решения по дейностите, изпълнявани от, НСМ ще бъдат взимани от Координационния Комитет на НСМ, с одобрението на Комитета по наблюдение на ПРСР (2014-2020 г.). Дейностите на НСМ ще бъдат по-детайлно описани в Плана за действие на НСМ, а Комуникационния план на НСМ ще съдържа детайлно описание на информационните и комуникационните дейности на Мрежата, които ще са насочени към широката общественост.  В плана за действие на НСМ ще бъде посочено, кои решения ще се вземат с изричното одобрение на КН на ПРСР и кои само от Координационния комитет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Планът за действие и Комуникационният план на Мрежата, ще бъдат разглеждани и одобрявани от Координациониня комитет на Мрежата, а като ключов орган, насочващ прилагането на ПРСР на принципа на партньорството, Комитета по наблюдение, по предложение на УО на ПРСР, ще съгласува и приема предложените средства за информация/комуникация и др., които да бъдат използвани от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Наблюдение: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Наблюдението на цялостната дейност на НСМ ще се извършва от УО на ПРСР (2014-2020г.) и ще е финансирано по линия на мярка „Техническа помощ“ от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Предвидената за извършване оценка на ефективността, ефикасността и въздействието от работата на НСМ е описана в Раздел 9 „План за оценки“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Цели и дейности на Плана за действие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категории дейности които ще бъдат включени в Националната селска мрежа в България, ще се съставят от УО и ще бъдат по-детайлно разписани в Плана за действие на НСМ, вкл. и в Комуникационния план, съгласно изброените отговорности, в срок не по-късно от 12 месеца след официалното одобрение на ПРСР от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1.Идентифициране, анализ и осигуряване на информация на добри практики, приложими в България, разработване на теми касаещи иновации, енергия от възобновяеми източници, заетост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2.Идентифициране и обмен на опит и знания, включително в областта на административни правила, процедури и прилагащи механизми в рамките на ПРСР (2014-2012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3.Разработване и разпространение на теми, касаещи наблюдението и оценката, вкл. и дейности, свързани със споделянето и разпространението на резултатите от наблюдението и оценката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4.Осигуряване на информация за потребителите на мрежата – потенциалните бенефициенти по мерките на ПРСР (2014-2020 г.) и представители и организации на дискриминираните групи (т.е. роми);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5.Подготовка и провеждане на информационни семинари и осигуряване на експертна помощ за развитие на капацитета на потенциалните бенефициенти, в т.ч. представители и организации на дискриминираните групи (т.е. роми);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6.Укрепване и разширяване на обхвата на Мрежата в периода на действие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7.Организиране на изследвания за нуждите на Програмата; в т.ч. дейности и анализи нужни при подготовката за следващия програмен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8.Съдействие в процеса на обучение и укрепване на капацитета на местните инициативни групи по подхода ЛИДЕР. Улесняване и стимулиране проектите за между-териториалното и транс- национално сътрудничество на МИГ, както и в процеса на търсене и намиране на партньори във връзка с мярката за сътрудничество по чл. 35;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9.Осигуряване на платформа за общуване и обмяна на идеи между представителите на съветническите и иновативните подпомагащи звена, в това число създадените Оперативни групи по чл. 56 от Регламент на ЕС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Дейности за подкрепа и разпространение на проекти на Оперативните групи по чл. 56;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11.Представяне на Националната селска мрежа на България в Европейската мрежа за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12.Дейности по сътрудничество с други Национални селски мрежи;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13.Дейности по сътрудничество с Европейската мрежата за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14.Насърчаване на иновациите в селското стопанство, производството на храни, горското стопанство и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Допустими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Мрежата ще се финансира със средства от ТП по ПРСР и ще покрива: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-Избор на Звено за управление на мрежата след 31 декември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-Оперативно функциониране на Звеното и създаване и поддържане на оперативни структури на Мрежата;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и одобрение на План за действие на мрежата за периода 2014-2020 г. и неговото прилагане в срок не по-късно от 12 месеца след одобрението на ПРСР от ЕК, вкл. и Комуникационен план за периода 2014-2020 г., включващ популяризиране и информация относно ПРСР (2014-2020 г.), както и информационни и комуникационни дейнсоти, насочени към широката общественост;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 или надграждане на съществуващата  интегрирана база данни с примери за проекти и интернет портал за мрежата с цел да се подпомогне обмена на знания, опит и добри практики обхващащи всички приоритети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насочени към повишаване участието на заинтересованите страни в областта на развитието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насочени към насърчаване на иновациите в селското стопанство, производството на храни, горското стопанство и селските райони и осигуряване на платформа за общуване в рамките на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по сътрудничество между представителите на съветническите и иновативните подпомагащи звена;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по укрепване на капацитета на местните инициативни групи по подхода Лидер, включително улесняване и стимулиране на проектите за между-териториалното и транс- национално сътрудничество на МИГ, както и търсенето и намирането на партньори във връзка с мярката за сътрудничество по чл. 35.</w:t>
            </w:r>
          </w:p>
          <w:p>
            <w:pPr>
              <w:pStyle w:val="BodyText"/>
              <w:jc w:val="both"/>
            </w:pPr>
          </w:p>
          <w:p>
            <w:pPr>
              <w:pStyle w:val="BodyText3"/>
              <w:jc w:val="center"/>
            </w:pPr>
            <w:r>
              <w:drawing>
                <wp:inline>
                  <wp:extent cx="3571875" cy="2428875"/>
                  <wp:docPr id="10002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
                          <pic:cNvPicPr>
                            <a:picLocks noChangeAspect="1"/>
                          </pic:cNvPicPr>
                        </pic:nvPicPr>
                        <pic:blipFill>
                          <a:blip xmlns:r="http://schemas.openxmlformats.org/officeDocument/2006/relationships" r:embed="rId22"/>
                          <a:stretch>
                            <a:fillRect/>
                          </a:stretch>
                        </pic:blipFill>
                        <pic:spPr>
                          <a:xfrm>
                            <a:off x="0" y="0"/>
                            <a:ext cx="3571875" cy="2428875"/>
                          </a:xfrm>
                          <a:prstGeom prst="rect">
                            <a:avLst/>
                          </a:prstGeom>
                        </pic:spPr>
                      </pic:pic>
                    </a:graphicData>
                  </a:graphic>
                </wp:inline>
              </w:drawing>
            </w:r>
          </w:p>
          <w:p>
            <w:pPr>
              <w:pStyle w:val="Footer"/>
              <w:jc w:val="center"/>
            </w:pPr>
            <w:r>
              <w:t>НСМ структура</w:t>
            </w:r>
          </w:p>
          <w:p>
            <w:pPr>
              <w:pStyle w:val="Footer"/>
              <w:jc w:val="center"/>
            </w:pPr>
          </w:p>
        </w:tc>
      </w:tr>
    </w:tbl>
    <w:p>
      <w:pPr>
        <w:pStyle w:val="Heading2"/>
      </w:pPr>
      <w:bookmarkStart w:id="262" w:name="_Toc256000262"/>
      <w:r>
        <w:t>Налични ресурси за създаването и привеждането в действие на националната мрежа за селските райони</w:t>
      </w:r>
      <w:bookmarkEnd w:id="26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Бюджет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Бюджета предвиден за подпомагане на мрежата е в размер на 5.5 % от бюджета на мярка „Техническа помощ“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Бюджета за Мрежата ще се използва за покриване на разходите за функциониране и развиване на мрежата и разходите за прилагане на Плана за действие, вкл. и  Комуникационния план на НСМ. Размерът на текущите разходи на НСМ не трябва да надвишава 25 % от общия бюджет на Мрежата. УО на ПРСР ще продължи да следи управлението на НСМ, така че делът на текущите разходи ще се спазва в рамките на договорения размер.</w:t>
            </w:r>
          </w:p>
          <w:p>
            <w:pPr>
              <w:spacing w:before="240" w:after="240"/>
              <w:ind w:left="1077"/>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sectPr>
          <w:pgMar w:top="900" w:right="900" w:bottom="900" w:left="900" w:header="720" w:footer="720"/>
          <w:cols w:space="720"/>
        </w:sectPr>
      </w:pPr>
    </w:p>
    <w:p>
      <w:pPr>
        <w:pStyle w:val="Heading1"/>
      </w:pPr>
      <w:bookmarkStart w:id="263" w:name="_Toc256000263"/>
      <w:r>
        <w:t>Предварителна оценка на доказуемостта и на възможността за контрол, както и на риска от грешки</w:t>
      </w:r>
      <w:bookmarkEnd w:id="263"/>
    </w:p>
    <w:p>
      <w:pPr>
        <w:pStyle w:val="Heading2"/>
      </w:pPr>
      <w:bookmarkStart w:id="264" w:name="_Toc256000264"/>
      <w:r>
        <w:t>Удостоверение от управляващия орган и разплащателната агенция относно доказуемостта и възможността за контрол на мерките, подкрепяни по програмата за развитие на селските райони</w:t>
      </w:r>
      <w:bookmarkEnd w:id="26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Оценка на риска</w:t>
            </w:r>
          </w:p>
          <w:p>
            <w:pPr>
              <w:numPr>
                <w:ilvl w:val="0"/>
                <w:numId w:val="572"/>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Възможни са трудности при въвеждане на адекватни проверки и системи за контрол за:</w:t>
            </w:r>
          </w:p>
          <w:p>
            <w:pPr>
              <w:numPr>
                <w:ilvl w:val="0"/>
                <w:numId w:val="57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Разумност на предложените разходи при частните бенефициенти;</w:t>
            </w:r>
          </w:p>
          <w:p>
            <w:pPr>
              <w:numPr>
                <w:ilvl w:val="0"/>
                <w:numId w:val="57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Проведени обществени поръчки за публичните бенефициенти;</w:t>
            </w:r>
          </w:p>
          <w:p>
            <w:pPr>
              <w:numPr>
                <w:ilvl w:val="0"/>
                <w:numId w:val="57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Разграничаване между мерките и избягване на двойно финансиране с други финансови инструменти от фондовете на ЕС;</w:t>
            </w:r>
          </w:p>
          <w:p>
            <w:pPr>
              <w:numPr>
                <w:ilvl w:val="0"/>
                <w:numId w:val="57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Допустимост и възможността за усвояемост на обезпеченията при авансови плащания;</w:t>
            </w:r>
          </w:p>
          <w:p>
            <w:pPr>
              <w:numPr>
                <w:ilvl w:val="0"/>
                <w:numId w:val="57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Спазване на поети дългосрочни ангажименти;</w:t>
            </w:r>
          </w:p>
          <w:p>
            <w:pPr>
              <w:numPr>
                <w:ilvl w:val="0"/>
                <w:numId w:val="57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Допустимост на кандидатите в случаите на МСП;</w:t>
            </w:r>
          </w:p>
          <w:p>
            <w:pPr>
              <w:numPr>
                <w:ilvl w:val="0"/>
                <w:numId w:val="57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Изкуствено създадени условия;</w:t>
            </w:r>
          </w:p>
          <w:p>
            <w:pPr>
              <w:numPr>
                <w:ilvl w:val="0"/>
                <w:numId w:val="57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за минималните помощи.</w:t>
            </w:r>
          </w:p>
          <w:p>
            <w:pPr>
              <w:numPr>
                <w:ilvl w:val="0"/>
                <w:numId w:val="574"/>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Предварителната оценка сочи, че съществува риск от:</w:t>
            </w:r>
          </w:p>
          <w:p>
            <w:pPr>
              <w:numPr>
                <w:ilvl w:val="0"/>
                <w:numId w:val="57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Неизпълнение на договорни задължения и ангажименти, както и липсата на разбиране на изискванията и информираност на кандидатите;</w:t>
            </w:r>
          </w:p>
          <w:p>
            <w:pPr>
              <w:numPr>
                <w:ilvl w:val="0"/>
                <w:numId w:val="57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Пропуски при подаване на заявка за плащане, които водят до високи санкции.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Мерки за минимизиране на риска</w:t>
            </w:r>
          </w:p>
          <w:p>
            <w:pPr>
              <w:numPr>
                <w:ilvl w:val="0"/>
                <w:numId w:val="57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механизъм за оценка на обоснованост на разходите, своевременно актуализиране на базата данни с референтни цени, въвеждане на подробни изисквания за работата на оценителна комисия.</w:t>
            </w:r>
          </w:p>
          <w:p>
            <w:pPr>
              <w:numPr>
                <w:ilvl w:val="0"/>
                <w:numId w:val="57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Повишаване на административния капацитет на РА за извършване на проверки в областта на обществените поръчки. Дефиниране в нормативната уредба </w:t>
            </w:r>
            <w:r>
              <w:rPr>
                <w:rFonts w:ascii="Times New Roman" w:eastAsia="Times New Roman" w:hAnsi="Times New Roman" w:cs="Times New Roman"/>
                <w:b/>
                <w:bCs/>
                <w:szCs w:val="24"/>
                <w:u w:val="single"/>
              </w:rPr>
              <w:t>или в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и изготвяне на насоки към бенефициентите за гарантиране спазването на изискванията на законодателство в областта на обществените поръчки.</w:t>
            </w:r>
          </w:p>
          <w:p>
            <w:pPr>
              <w:numPr>
                <w:ilvl w:val="0"/>
                <w:numId w:val="57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адекватно разграничаване на отделните операции и бенефициенти, допустими по мерките от ПРСР и финансовите инструменти, от други източници на ЕС.</w:t>
            </w:r>
          </w:p>
          <w:p>
            <w:pPr>
              <w:numPr>
                <w:ilvl w:val="0"/>
                <w:numId w:val="57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Прецизиране на изискванията за обезпечаване на авансовите плащания, като се има предвид трудностите при възстановяване на средства от изискуеми аванси, гарантирани с инструменти различни от банкова гаранция.</w:t>
            </w:r>
          </w:p>
          <w:p>
            <w:pPr>
              <w:numPr>
                <w:ilvl w:val="0"/>
                <w:numId w:val="57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на база данни и публичен регистър, поддържан от компетентния орган за предприятията, попадащи под дефиницията за МСП на национално ниво.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Обща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предложените мерки в програмата са прилагани през 2007-2013 г. и за тях има натрупан опит. Необходимо е да се насочат усилия към подобряване и конкретизиране на изискванията и условията за допустимост на кандидати и разходи, както и за подбор на проекти. Действията следва да включват максимално адаптиране на актовете по прилагане на ПРСР 2014 – 2020 г. със заложените изисквания. С това ще се постигне намаляване на риска от забавяне на обработката на проектите и на административната тежест. РА разполага с изграден капацитет от 2007-2013 г. за проверки за допустимост на ниво операции, бенефициенти и разходи. В РА е внедрена система за управление на качеството и информационна сигурност /ISO 9001-2008 и ISO 27001-2005/.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националното законодателство по прилагане на ПРСР ще бъдат конкретизирани изисквания и дефиниции за определяне на допустимостта, предвид разяснения и ръководства от ЕК. При извършване на контрол ще се използва обмен на информация между отговорни институции и компетентни органи по административен път и чрез достъп до регистрите, в които се отразяват резултатите от проверките. В рамките на изпълнението на ПРСР 2007-2013 г., в следствие на проведени одити от страна на ЕК и други външни одитиращи институции основните констатирани слабости се отнасят до контрола върху провеждането на тръжни процедури, момента на изплащане на авансовите плащания на бенефициенти и риска произтичащ от допълнително публично финансиране на проекти за ВЕИ. Установените рискове се управляват ефективно, като от една страна са предприети действия в рамките на програмен период 2007-2013 г., описани в националния План за действие по отношение на процента грешки, а от друга при изготвянето на ПРСР 2014-2020 г. са предвидени оптимизации. По отношение на провеждането на тръжни процедури, след изменения в нормативната уредба, процедурите за предварителен и последващ контрол са подобрени, а новите указания са съгласувани с АОП, СП, АДФИ и ОСЕС с цел уеднаквяване на практиката по прилагане на ЗОП. По отношение на риска от допълнително публично финансиране на проекти за ВЕИ, в ПРСР 2014-2020 г. е предвидено, че ще се финансират проекти за производство на енергия от ВЕИ единствено за собствено потребление. По време на изпълнение на ПРСР ще се извършва текуща оценка на проверимостта и възможността за контрол, като при необходимост мерките ще се коригират.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и Разплащателна агенция удостоверяват, че мерките, включени в ПРСР 2014-2020 са проверяеми  и контролируеми в достатъчна степен. </w:t>
            </w:r>
          </w:p>
          <w:p>
            <w:pPr>
              <w:pStyle w:val="BodyText"/>
              <w:jc w:val="both"/>
            </w:pPr>
          </w:p>
        </w:tc>
      </w:tr>
    </w:tbl>
    <w:p>
      <w:pPr>
        <w:pStyle w:val="Heading2"/>
      </w:pPr>
      <w:bookmarkStart w:id="265" w:name="_Toc256000265"/>
      <w:r>
        <w:t>Удостоверение от органа, който е функционално независим от органите, отговарящи за изпълнението на програмата, удостоверяващо адекватността и точността на изчисленията на стандартните разходи, допълнителните разходи и пропуснатите доходи</w:t>
      </w:r>
      <w:bookmarkEnd w:id="26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Удостоверение, потвърждаващо адекватността и точността на изчисленията по подмярка 1.1 от мярка 1 „Трансфер на знания и действия за осведомяване“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ПРСР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по подмярка 1.1 са извършени от екип на Университета за национално и световно стопанство, гр. София, който е функционално независим орган от Министерство на земеделието, храните и горите и Държавен фонд „Земеделие“, съгласно чл. 62, пар. 2 от Регламент 1305/2013 и който притежава подходящите експертни знания. Изпълнителят удостоверява и гарантира, че съответните изчисления са адекватни и точни и са направени въз основа на метода за коректно, справедливо и доказуемо изчисление.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Удостоверение от Съюз на икономистите в България за потвърждаване на адекватността и точността на изчисленията в стандартна таблица на разходите на единица продукт по подмерки 1.2 и 1.3 от мярка 1 „Трансфер на знания и действия за осведомяване“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Професор Кръстьо Петков, Председател на Управителния съвет на Съюза на икономистите в България, неправителствена организация в частна полза, учредена в СГС ф.д. 4944/ 1990 г., която е функционално независима организация от Министерство на земеделието, храните и горите и от Държавен фонд „Земеделие“ декларира, че изчисленията в стандартната таблица на разходите на единица продукт по мярка 1 от ПРСР 2014-2020 г. са извършени по коректен, справедлив и проверим метод, основаващ се на проверими данни за минали периоди за отделните бенефициенти на базата на информацията от прилагането на мярка 111 от ПРСР 2007-2013 г. Използваните данни от статистическото множество са представени на основата на прилагане на условията и допустимите разходи по мярка 111 от ПРСР 2007-2013 г. В резултат на извършената верификация е съставен доклад № 001, приет от експертна група на СИБ  с председател проф. д-р Кр. Петков, председател на УС на СИБ на  16.12.2014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Удостоверение от Съюз на икономистите в България за потвърждаване на адекватността и точността на изчисленията в стандартна таблица на разходите на единица продукт по мярка 2 „Консултантски услуги,  услуги по управление на стопанството и услуги по заместване в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Професор Кръстьо Петков, Председател на Управителния съвет на Съюза на икономистите в България, неправителствена организация в частна полза, учредена в СГС ф.д. 4944/ 1990 г., която е функционално независима организация от Министерство на земеделието, храните и горите  и от Държавен фонд „Земеделие“ декларира, че изчисленията в стандартната таблица на разходите на единица продукт по мярка 2 са извършени по коректен, справедлив и проверим метод, основаващ се на проверими данни за минали периоди за отделните бенефициенти на базата на информацията от прилагането на Мярка 143 и Мярка 114 от ПРСР 2007-2013 г. Използваните данни от статистическото множество са представени на основата на прилагане на условията и допустимите разходи по Мярка 143 и Мярка 114  ПРСР 2007-2013 г. В резултат на извършената верификация е съставен доклад № 002, приет  от експертната група на СИБ с председател проф. д-р Кръстьо Петков, председател на УС на СИБ на 16.12.2014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Удостоверение, потвърждаващо адекватността и точността на изчисленията</w:t>
            </w:r>
            <w:r>
              <w:rPr>
                <w:rFonts w:ascii="Times New Roman" w:eastAsia="Times New Roman" w:hAnsi="Times New Roman" w:cs="Times New Roman"/>
                <w:b/>
                <w:bCs/>
                <w:szCs w:val="24"/>
              </w:rPr>
              <w:t xml:space="preserve"> по мерки 10, 11, 12, 13, 14 и подмерки 16.1, 16.2, 16.4, 19.1, 19.3 и 19.4 от ПРСР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Екип от независими експерти в състав Красимира Кънева, Диляна Митова, Тотка Митова, Емилия Соколова, Васил Стойчев и Божидар Иванов е изработил и изчислил компенсаторните премии по мерки 10, 11, 12 и 13.  Екипът удостоверява, че разработените подход и методика са значими и направените изчисления са акуратни. Екипът потвърждава, че изработената методика и следваният подход са в съответствие с правилата и методическите принципни изискванията на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Изработването и изчисляването на компенсаторните премии по мярка 14 е извършено от независим изпълнител Божидар Иванов. Изпълнителят удостоверява, че разработеният подход и развита методика са значими и надеждни, като направените изчисления са акуратни. Той потвърждава, че изработената методика и следваният подход са в съответствие с правилата и методическите принципни изискванията на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Методиките за изчисление на опростените разходи по подмерки 16.1, 16.2, 16.4, 19.1 19.3 и 19.4 са извършени от екип от Университета за национално и световно стопанство, който е функционално независим орган от Министерство на земеделието, храните и горите и Държавен фонд „Земеделие“, и който притежава подходящите експертни знания. Изпълнителят удостоверява и гарантира, че съответните изчисления са адекватни и точни и са направени въз основа на метода за коректно, справедливо и доказуемо изчисление.</w:t>
            </w:r>
          </w:p>
          <w:p>
            <w:pPr>
              <w:pStyle w:val="BodyText"/>
              <w:jc w:val="both"/>
            </w:pPr>
          </w:p>
        </w:tc>
      </w:tr>
    </w:tbl>
    <w:p>
      <w:pPr>
        <w:sectPr>
          <w:pgMar w:top="900" w:right="900" w:bottom="900" w:left="900" w:header="720" w:footer="720"/>
          <w:cols w:space="720"/>
        </w:sectPr>
      </w:pPr>
    </w:p>
    <w:p>
      <w:pPr>
        <w:pStyle w:val="Heading1"/>
      </w:pPr>
      <w:bookmarkStart w:id="266" w:name="_Toc256000266"/>
      <w:r>
        <w:t>Преходни условия</w:t>
      </w:r>
      <w:bookmarkEnd w:id="266"/>
    </w:p>
    <w:p>
      <w:pPr>
        <w:pStyle w:val="Heading2"/>
      </w:pPr>
      <w:bookmarkStart w:id="267" w:name="_Toc256000267"/>
      <w:r>
        <w:t>Описание на преходните условия по мерки</w:t>
      </w:r>
      <w:bookmarkEnd w:id="26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Описание на преходните условия по 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с продължаващи многогодишни ангажименти, сключени в рамките на Програмата за развитие на селските райони за периода 2007-2013 г. в съответствие с Регламент (EО) 1698/2005 за подкрепа на развитието на селските райони чрез Европейския земеделски фонд за развитие на селските райони, при които периодът за плащане продължава след крайния допустим срок за плащания по Програма за развитие на селските райони за периода 2007-2013 г.,  ще бъдат признати и уредени в рамките на Програмата за развитие на селските райони за периода 2014-2020 г., в съответствие с Регламент (ЕС) № 1310/2013 на Европейския парламент и на Съвета относно определяне на някои преходни разпоредби във връзка с подпомагането на развитието на селските райони от Европейския земеделски фонд за развитие на селските райони (ЕЗФРСР), за изменение на Регламент (ЕС) № 1305/2013 на Европейския парламент и на Съвета по отношение на ресурсите и тяхното разпределение за 2014 г. и за изменение на Регламент (ЕО) № 73/2009 на Съвета и Регламенти (ЕС) № 1307/2013, (ЕС) № 1306/2013 и (ЕС) № 1308/2013 на Европейския парламент и на Съвета във връзка с прилагането им през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всички разходи по мерките, по които поетите ангажименти за изплащане на помощта продължават след крайния допустим срок за плащания по ПРСР 2007-2013 г., ще бъде приложен делът на финансиране от ЕЗФРСР за съответната мярка от ПРСР 2014-2020 г., посочен в Раздел 10.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Операциите, по които е поет ангажимент за изплащане на помощта след крайния допустим срок за плащания по ПРСР 2007-2013 г.  са ясно идентифицирани в системите за управление и контрол на РА.</w:t>
            </w:r>
          </w:p>
          <w:p>
            <w:pPr>
              <w:numPr>
                <w:ilvl w:val="0"/>
                <w:numId w:val="57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112 „Създаване на стопанства на млади фермери“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сключените по мярката договори за предоставяне на финансова помощ в периода 2012 – 2014 г. вторият транш на финансовата помощ трябва да бъде изплатен след крайния допустим срок за плащания по ПРСР 2007-2013 г. Разходите за изплащане на втория транш от помощта ще бъдат отнесени към бюджета на подмярка 6.1 „Стартова помощ за млади земеделски производители“ от ПРСР 2014-2020 г. В съответствие с чл. 88 от Регламент (ЕС) № 1305/2013 за договорите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подмярка 6.1., ще бъдат извършени най-късно през 2019 г.  </w:t>
            </w:r>
          </w:p>
          <w:p>
            <w:pPr>
              <w:numPr>
                <w:ilvl w:val="0"/>
                <w:numId w:val="57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141 „Подпомагане на полупазарни стопанства в процес на преструктуриране“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 141 е в размер левовата равностойност на 1500 евро годишно за период максимум 5 години. По сключените по мярката договори за предоставяне на финансова помощ през 2013 г. второ, трето, четвърто и пето плащане следва да бъдат извършени след крайния допустим срок за плащания по ПРСР 2007-2013 г. Разходите за извършване на второ, трето, четвърто и пето плащане на помощта ще бъдат отнесени към бюджета на подмярка 6.3 „Стартова помощ за развитие на малки стопанства” от ПРСР 2014-2020 г. В съответствие с чл. 88 от Регламент (ЕС) № 1305/2013 за договорите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подмярка 6.3, ще бъдат извършени най-късно през 2018 г.</w:t>
            </w:r>
          </w:p>
          <w:p>
            <w:pPr>
              <w:numPr>
                <w:ilvl w:val="0"/>
                <w:numId w:val="57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142 „Създаване на групи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е под формата на годишно плащане, отпускана за пет последователни години, считано от датата на признаване на организацията на производителите. За периода 2007-2013 г. по мярката са сключени 4 договора на обща стойност 884 699 лв., извършено е 1 плащане на стойност 28 408 лв. Разходите за следващите плащания по сключените договори ще бъдат отнесени към бюджета на мярка 9 „Учредяване на групи и организации на производителите” от ПРСР 2014-2020 г. В съответствие с чл. 88 от Регламент (ЕС) № 1305/2013 за договорите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мярка 9, ще бъдат извършени най-късно през 2019 г.</w:t>
            </w:r>
          </w:p>
          <w:p>
            <w:pPr>
              <w:numPr>
                <w:ilvl w:val="0"/>
                <w:numId w:val="58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214 „Агроекологични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под формата на компенсаторно плащане за хектар при поемането на петгодишен агроекологичен ангажимент от страна на земеделските стопани. При недостиг на средства в рамките на бюджета на мярка 214 „Агроекологични плащания“ разходите по поетите и изпълнявани ангажименти за всички допустими заявления по мярката, извършени преди крайния допустим срок по ПРСР 2007-2013 г. ще се извършват съгласно чл. 3 на Регламент (ЕС) № 1310/2013 на Европейския парламент и на Съвета от 17 декември 2013 г. Разходите по поетите и изпълнявани ангажименти за всички допустими заявления по мярката, извършени след крайния допустим срок за плащания по ПРСР 2007-2013 г. ще бъдат отнесени към бюджета на мярка 10 „Агроекология и климат“ и мярка 11 „Биологично земеделие“. В съответствие с чл. 88 от Регламент (ЕС) № 1305/2013 за заявленията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мерки 10 и 11, ще бъдат извършени най-късно през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календарната 2014 г. в рамките на кампанията за директни плащания на площ не са поемани нови правни ангажименти по мярката.</w:t>
            </w:r>
          </w:p>
          <w:p>
            <w:pPr>
              <w:numPr>
                <w:ilvl w:val="0"/>
                <w:numId w:val="58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223 „Първоначално залесяване на неземеделски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за инвестиции, извършвани върху всички неземеделски земи на територията на цялата страна, включително и за създаване на горски култури, тяхното отглеждане и поддържане до 5 години след залесяването. Разходите за следващите плащания по сключените договори ще бъдат отнесени към бюджета на мярка 8 ”Инвестиции в развитието на горски територии и подобряване на жизнеспособността на горите”, подмярка 8.1 „Залесяване и създаване на горски масиви – разходи за създаване“ и подмярка 8.2 „Залесяване и създаване на горски масиви – разходи за поддръжка“. В съответствие с чл. 88 от Регламент (ЕС) № 1305/2013 за заявленията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мярка 8, ще бъдат извършени най-късно през 2020 г.</w:t>
            </w:r>
          </w:p>
          <w:p>
            <w:pPr>
              <w:numPr>
                <w:ilvl w:val="0"/>
                <w:numId w:val="58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Мерки 313 „Насърчаване на туристическите дейности“, 321 „Основни услуги за населението и икономиката в селските райони“ и 322 „Обновяване и развитие на населените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мерките се предоставя безвъзмездна финансова помощ за инвестиции в изграждане или обновяване на туристическа инфраструктура; инфраструктура и оборудване с цел развитие на населението и икономиката в селските райони; инвестиции в паркове, зелени площи, улици, площади, тротоари и обновяване на сгради в населените места от селските райони. Допустимите разходи за междинни и окончателни плащания по поети правни ангажименти с бенефициери, за които не е наличен бюджет от ПРСР 2007-2013 г. и които ще бъдат извършени след крайния допустим срок за плащания по ПРСР 2007-2013 г. ще бъдат отнесени към бюджета на мярка 7 „Основни услуги и обновяване на селата в селските райони“ в съответствие с чл. 16 от Делегиран Регламент № 807/2014 г. В съответствие с чл. 88 от Регламент (ЕС) № 1305/2013 за заявленията в процес на изпълнение ще се прилагат условията, уредени в Регламент (ЕО) № 1698/2005.Разходите по мерки 313, 321 и 322, за които е поет ангажимент за изплащане на помощта от бюджета на мярка 7, ще бъдат извършени най-късно през 2017 г.  </w:t>
            </w:r>
          </w:p>
          <w:p>
            <w:pPr>
              <w:pStyle w:val="BodyText"/>
              <w:jc w:val="both"/>
            </w:pPr>
          </w:p>
        </w:tc>
      </w:tr>
    </w:tbl>
    <w:p>
      <w:pPr>
        <w:pStyle w:val="Heading2"/>
      </w:pPr>
      <w:bookmarkStart w:id="268" w:name="_Toc256000268"/>
      <w:r>
        <w:t>Ориентировъчна таблица за пренос на средства</w:t>
      </w:r>
      <w:bookmarkEnd w:id="26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5328"/>
        <w:gridCol w:w="5328"/>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top"/>
          </w:tcPr>
          <w:p>
            <w:pPr>
              <w:jc w:val="center"/>
              <w:rPr>
                <w:b/>
                <w:sz w:val="20"/>
              </w:rPr>
            </w:pPr>
            <w:r>
              <w:rPr>
                <w:b/>
                <w:sz w:val="20"/>
              </w:rPr>
              <w:t>Мерки</w:t>
            </w:r>
          </w:p>
        </w:tc>
        <w:tc>
          <w:tcPr>
            <w:tcW w:w="1000" w:type="pct"/>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М01 — Трансфер на знания и действия за осведомяване (член 14)</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M04 — Инвестиции в материални активи (член 17)</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M06 — Развитие на стопанства и предприятия (член 19)</w:t>
            </w:r>
          </w:p>
        </w:tc>
        <w:tc>
          <w:tcPr>
            <w:tcW w:w="1000" w:type="pct"/>
            <w:shd w:val="clear" w:color="auto" w:fill="FFFFFF"/>
            <w:noWrap w:val="0"/>
            <w:tcMar>
              <w:top w:w="60" w:type="dxa"/>
            </w:tcMar>
            <w:vAlign w:val="top"/>
          </w:tcPr>
          <w:p>
            <w:pPr>
              <w:jc w:val="right"/>
              <w:rPr>
                <w:b w:val="0"/>
                <w:sz w:val="16"/>
              </w:rPr>
            </w:pPr>
            <w:r>
              <w:rPr>
                <w:b w:val="0"/>
                <w:sz w:val="16"/>
              </w:rPr>
              <w:t>22 750 000,00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000" w:type="pct"/>
            <w:shd w:val="clear" w:color="auto" w:fill="FFFFFF"/>
            <w:noWrap w:val="0"/>
            <w:tcMar>
              <w:top w:w="60" w:type="dxa"/>
            </w:tcMar>
            <w:vAlign w:val="top"/>
          </w:tcPr>
          <w:p>
            <w:pPr>
              <w:jc w:val="right"/>
              <w:rPr>
                <w:b w:val="0"/>
                <w:sz w:val="16"/>
              </w:rPr>
            </w:pPr>
            <w:r>
              <w:rPr>
                <w:b w:val="0"/>
                <w:sz w:val="16"/>
              </w:rPr>
              <w:t>211 377 155,00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000" w:type="pct"/>
            <w:shd w:val="clear" w:color="auto" w:fill="FFFFFF"/>
            <w:noWrap w:val="0"/>
            <w:tcMar>
              <w:top w:w="60" w:type="dxa"/>
            </w:tcMar>
            <w:vAlign w:val="top"/>
          </w:tcPr>
          <w:p>
            <w:pPr>
              <w:jc w:val="right"/>
              <w:rPr>
                <w:b w:val="0"/>
                <w:sz w:val="16"/>
              </w:rPr>
            </w:pPr>
            <w:r>
              <w:rPr>
                <w:b w:val="0"/>
                <w:sz w:val="16"/>
              </w:rPr>
              <w:t>2 148 000,00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M09 — Създаване на групи и организации на производителите (член 27)</w:t>
            </w:r>
          </w:p>
        </w:tc>
        <w:tc>
          <w:tcPr>
            <w:tcW w:w="1000" w:type="pct"/>
            <w:shd w:val="clear" w:color="auto" w:fill="FFFFFF"/>
            <w:noWrap w:val="0"/>
            <w:tcMar>
              <w:top w:w="60" w:type="dxa"/>
            </w:tcMar>
            <w:vAlign w:val="top"/>
          </w:tcPr>
          <w:p>
            <w:pPr>
              <w:jc w:val="right"/>
              <w:rPr>
                <w:b w:val="0"/>
                <w:sz w:val="16"/>
              </w:rPr>
            </w:pPr>
            <w:r>
              <w:rPr>
                <w:b w:val="0"/>
                <w:sz w:val="16"/>
              </w:rPr>
              <w:t>350 000,00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M10 — Агроекология и климат (член 28)</w:t>
            </w:r>
          </w:p>
        </w:tc>
        <w:tc>
          <w:tcPr>
            <w:tcW w:w="1000" w:type="pct"/>
            <w:shd w:val="clear" w:color="auto" w:fill="FFFFFF"/>
            <w:noWrap w:val="0"/>
            <w:tcMar>
              <w:top w:w="60" w:type="dxa"/>
            </w:tcMar>
            <w:vAlign w:val="top"/>
          </w:tcPr>
          <w:p>
            <w:pPr>
              <w:jc w:val="right"/>
              <w:rPr>
                <w:b w:val="0"/>
                <w:sz w:val="16"/>
              </w:rPr>
            </w:pPr>
            <w:r>
              <w:rPr>
                <w:b w:val="0"/>
                <w:sz w:val="16"/>
              </w:rPr>
              <w:t>41 300 000,00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М11 — Биологично земеделие (член 29)</w:t>
            </w:r>
          </w:p>
        </w:tc>
        <w:tc>
          <w:tcPr>
            <w:tcW w:w="1000" w:type="pct"/>
            <w:shd w:val="clear" w:color="auto" w:fill="FFFFFF"/>
            <w:noWrap w:val="0"/>
            <w:tcMar>
              <w:top w:w="60" w:type="dxa"/>
            </w:tcMar>
            <w:vAlign w:val="top"/>
          </w:tcPr>
          <w:p>
            <w:pPr>
              <w:jc w:val="right"/>
              <w:rPr>
                <w:b w:val="0"/>
                <w:sz w:val="16"/>
              </w:rPr>
            </w:pPr>
            <w:r>
              <w:rPr>
                <w:b w:val="0"/>
                <w:sz w:val="16"/>
              </w:rPr>
              <w:t>5 100 000,00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M12 — Плащания по „Натура 2000“ и Рамковата директива за водите (член 30)</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М13 — Плащания за райони, изправени пред природни или други специфични ограничения (член 31)</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M14 — Хуманно отношение към животните (член 33)</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M16 — Сътрудничество (член 35)</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M19 — Подкрепа за местно развитие по LEADER (ВОМР — водено от общностите местно развитие) (член 35 от Регламент (ЕС) № 1303/2013)</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М20 — Техническа помощ държави членки (членове 51 — 54)</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M22 — Извънредно временно подпомагане за земеделските стопани и МСП, които са особено засегнати от последиците от руското нашествие в Украйна (член 39в)</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C0C0C0"/>
            <w:noWrap w:val="0"/>
            <w:tcMar>
              <w:top w:w="60" w:type="dxa"/>
            </w:tcMar>
            <w:vAlign w:val="top"/>
          </w:tcPr>
          <w:p>
            <w:pPr>
              <w:jc w:val="center"/>
              <w:rPr>
                <w:b w:val="0"/>
                <w:sz w:val="16"/>
              </w:rPr>
            </w:pPr>
            <w:r>
              <w:rPr>
                <w:b w:val="0"/>
                <w:sz w:val="16"/>
              </w:rPr>
              <w:t>Total</w:t>
            </w:r>
          </w:p>
        </w:tc>
        <w:tc>
          <w:tcPr>
            <w:tcW w:w="1000" w:type="pct"/>
            <w:shd w:val="clear" w:color="auto" w:fill="C0C0C0"/>
            <w:noWrap w:val="0"/>
            <w:tcMar>
              <w:top w:w="60" w:type="dxa"/>
            </w:tcMar>
            <w:vAlign w:val="top"/>
          </w:tcPr>
          <w:p>
            <w:pPr>
              <w:jc w:val="right"/>
              <w:rPr>
                <w:b w:val="0"/>
                <w:sz w:val="16"/>
              </w:rPr>
            </w:pPr>
            <w:r>
              <w:rPr>
                <w:b w:val="0"/>
                <w:sz w:val="16"/>
              </w:rPr>
              <w:t>283 025 155,00</w:t>
            </w:r>
          </w:p>
        </w:tc>
      </w:tr>
    </w:tbl>
    <w:p>
      <w:pPr>
        <w:rPr>
          <w:b/>
        </w:rPr>
        <w:sectPr>
          <w:pgMar w:top="900" w:right="900" w:bottom="900" w:left="900" w:header="720" w:footer="720"/>
          <w:cols w:space="720"/>
        </w:sectPr>
      </w:pPr>
    </w:p>
    <w:p>
      <w:pPr>
        <w:pStyle w:val="Heading1"/>
      </w:pPr>
      <w:bookmarkStart w:id="269" w:name="_Toc256000269"/>
      <w:r>
        <w:t>Тематични подпрограми</w:t>
      </w:r>
      <w:bookmarkEnd w:id="26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20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184"/>
        </w:trPr>
        <w:tc>
          <w:tcPr>
            <w:tcW w:w="1000" w:type="pct"/>
            <w:shd w:val="clear" w:color="auto" w:fill="C0C0C0"/>
            <w:noWrap w:val="0"/>
            <w:tcMar>
              <w:top w:w="60" w:type="dxa"/>
            </w:tcMar>
            <w:vAlign w:val="top"/>
          </w:tcPr>
          <w:p>
            <w:pPr>
              <w:jc w:val="center"/>
              <w:rPr>
                <w:b w:val="0"/>
                <w:sz w:val="16"/>
              </w:rPr>
            </w:pPr>
            <w:r>
              <w:rPr>
                <w:b w:val="0"/>
                <w:sz w:val="20"/>
              </w:rPr>
              <w:t>Наименование на тематичната подпрограма</w:t>
            </w:r>
          </w:p>
        </w:tc>
      </w:tr>
      <w:tr>
        <w:tblPrEx>
          <w:tblW w:w="5000" w:type="pct"/>
          <w:tblCellMar>
            <w:left w:w="108" w:type="dxa"/>
            <w:right w:w="108" w:type="dxa"/>
          </w:tblCellMar>
        </w:tblPrEx>
        <w:tc>
          <w:tcPr>
            <w:tcW w:w="2000" w:type="pct"/>
            <w:shd w:val="clear" w:color="auto" w:fill="FFFFFF"/>
            <w:noWrap w:val="0"/>
            <w:tcMar>
              <w:top w:w="60" w:type="dxa"/>
            </w:tcMar>
            <w:vAlign w:val="center"/>
          </w:tcPr>
          <w:p>
            <w:pPr>
              <w:jc w:val="left"/>
              <w:rPr>
                <w:b w:val="0"/>
                <w:sz w:val="16"/>
              </w:rPr>
            </w:pPr>
            <w:r>
              <w:rPr>
                <w:b w:val="0"/>
                <w:sz w:val="16"/>
              </w:rPr>
              <w:t>Тематична подпрограма за развитие на малки земеделски стопанства в Република България - 2014-2020</w:t>
            </w:r>
          </w:p>
        </w:tc>
      </w:tr>
    </w:tbl>
    <w:p>
      <w:pPr>
        <w:sectPr>
          <w:pgSz w:w="15840" w:h="12240" w:orient="landscape"/>
          <w:pgMar w:top="900" w:right="900" w:bottom="900" w:left="900" w:header="720" w:footer="720"/>
          <w:cols w:space="720"/>
        </w:sectPr>
      </w:pPr>
    </w:p>
    <w:p>
      <w:pPr>
        <w:pStyle w:val="Subtitle"/>
        <w:rPr>
          <w:b w:val="0"/>
          <w:i w:val="0"/>
        </w:rPr>
      </w:pPr>
      <w:bookmarkStart w:id="270" w:name="_Toc256000270"/>
      <w:r>
        <w:rPr>
          <w:b w:val="0"/>
          <w:i w:val="0"/>
        </w:rPr>
        <w:t>Документи</w:t>
      </w:r>
      <w:bookmarkEnd w:id="27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584"/>
        <w:gridCol w:w="1584"/>
        <w:gridCol w:w="1584"/>
        <w:gridCol w:w="1584"/>
        <w:gridCol w:w="1584"/>
        <w:gridCol w:w="1584"/>
        <w:gridCol w:w="1584"/>
        <w:gridCol w:w="1584"/>
        <w:gridCol w:w="15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top"/>
          </w:tcPr>
          <w:p>
            <w:pPr>
              <w:jc w:val="center"/>
              <w:rPr>
                <w:b/>
                <w:i w:val="0"/>
                <w:sz w:val="20"/>
              </w:rPr>
            </w:pPr>
            <w:r>
              <w:rPr>
                <w:b/>
                <w:i w:val="0"/>
                <w:sz w:val="20"/>
              </w:rPr>
              <w:t>Заглавие на документа</w:t>
            </w:r>
          </w:p>
        </w:tc>
        <w:tc>
          <w:tcPr>
            <w:tcW w:w="2000" w:type="pct"/>
            <w:shd w:val="clear" w:color="auto" w:fill="C0C0C0"/>
            <w:noWrap w:val="0"/>
            <w:tcMar>
              <w:top w:w="60" w:type="dxa"/>
            </w:tcMar>
            <w:vAlign w:val="top"/>
          </w:tcPr>
          <w:p>
            <w:pPr>
              <w:jc w:val="center"/>
              <w:rPr>
                <w:b/>
                <w:i w:val="0"/>
                <w:sz w:val="20"/>
              </w:rPr>
            </w:pPr>
            <w:r>
              <w:rPr>
                <w:b/>
                <w:i w:val="0"/>
                <w:sz w:val="20"/>
              </w:rPr>
              <w:t>Вид документ</w:t>
            </w:r>
          </w:p>
        </w:tc>
        <w:tc>
          <w:tcPr>
            <w:tcW w:w="2000" w:type="pct"/>
            <w:shd w:val="clear" w:color="auto" w:fill="C0C0C0"/>
            <w:noWrap w:val="0"/>
            <w:tcMar>
              <w:top w:w="60" w:type="dxa"/>
            </w:tcMar>
            <w:vAlign w:val="top"/>
          </w:tcPr>
          <w:p>
            <w:pPr>
              <w:jc w:val="center"/>
              <w:rPr>
                <w:b/>
                <w:i w:val="0"/>
                <w:sz w:val="20"/>
              </w:rPr>
            </w:pPr>
            <w:r>
              <w:rPr>
                <w:b/>
                <w:i w:val="0"/>
                <w:sz w:val="20"/>
              </w:rPr>
              <w:t>Дата на документа</w:t>
            </w:r>
          </w:p>
        </w:tc>
        <w:tc>
          <w:tcPr>
            <w:tcW w:w="2000" w:type="pct"/>
            <w:shd w:val="clear" w:color="auto" w:fill="C0C0C0"/>
            <w:noWrap w:val="0"/>
            <w:tcMar>
              <w:top w:w="60" w:type="dxa"/>
            </w:tcMar>
            <w:vAlign w:val="top"/>
          </w:tcPr>
          <w:p>
            <w:pPr>
              <w:jc w:val="center"/>
              <w:rPr>
                <w:b/>
                <w:i w:val="0"/>
                <w:sz w:val="20"/>
              </w:rPr>
            </w:pPr>
            <w:r>
              <w:rPr>
                <w:b/>
                <w:i w:val="0"/>
                <w:sz w:val="20"/>
              </w:rPr>
              <w:t>Локален референтен номер</w:t>
            </w:r>
          </w:p>
        </w:tc>
        <w:tc>
          <w:tcPr>
            <w:tcW w:w="2000" w:type="pct"/>
            <w:shd w:val="clear" w:color="auto" w:fill="C0C0C0"/>
            <w:noWrap w:val="0"/>
            <w:tcMar>
              <w:top w:w="60" w:type="dxa"/>
            </w:tcMar>
            <w:vAlign w:val="top"/>
          </w:tcPr>
          <w:p>
            <w:pPr>
              <w:jc w:val="center"/>
              <w:rPr>
                <w:b/>
                <w:i w:val="0"/>
                <w:sz w:val="20"/>
              </w:rPr>
            </w:pPr>
            <w:r>
              <w:rPr>
                <w:b/>
                <w:i w:val="0"/>
                <w:sz w:val="20"/>
              </w:rPr>
              <w:t>Референтен номер на Комисията</w:t>
            </w:r>
          </w:p>
        </w:tc>
        <w:tc>
          <w:tcPr>
            <w:tcW w:w="2000" w:type="pct"/>
            <w:shd w:val="clear" w:color="auto" w:fill="C0C0C0"/>
            <w:noWrap w:val="0"/>
            <w:tcMar>
              <w:top w:w="60" w:type="dxa"/>
            </w:tcMar>
            <w:vAlign w:val="top"/>
          </w:tcPr>
          <w:p>
            <w:pPr>
              <w:jc w:val="center"/>
              <w:rPr>
                <w:b/>
                <w:i w:val="0"/>
                <w:sz w:val="20"/>
              </w:rPr>
            </w:pPr>
            <w:r>
              <w:rPr>
                <w:b/>
                <w:i w:val="0"/>
                <w:sz w:val="20"/>
              </w:rPr>
              <w:t>Контролна сума</w:t>
            </w:r>
          </w:p>
        </w:tc>
        <w:tc>
          <w:tcPr>
            <w:tcW w:w="2000" w:type="pct"/>
            <w:shd w:val="clear" w:color="auto" w:fill="C0C0C0"/>
            <w:noWrap w:val="0"/>
            <w:tcMar>
              <w:top w:w="60" w:type="dxa"/>
            </w:tcMar>
            <w:vAlign w:val="top"/>
          </w:tcPr>
          <w:p>
            <w:pPr>
              <w:jc w:val="center"/>
              <w:rPr>
                <w:b/>
                <w:i w:val="0"/>
                <w:sz w:val="20"/>
              </w:rPr>
            </w:pPr>
            <w:r>
              <w:rPr>
                <w:b/>
                <w:i w:val="0"/>
                <w:sz w:val="20"/>
              </w:rPr>
              <w:t>Файлове</w:t>
            </w:r>
          </w:p>
        </w:tc>
        <w:tc>
          <w:tcPr>
            <w:tcW w:w="2000" w:type="pct"/>
            <w:shd w:val="clear" w:color="auto" w:fill="C0C0C0"/>
            <w:noWrap w:val="0"/>
            <w:tcMar>
              <w:top w:w="60" w:type="dxa"/>
            </w:tcMar>
            <w:vAlign w:val="top"/>
          </w:tcPr>
          <w:p>
            <w:pPr>
              <w:jc w:val="center"/>
              <w:rPr>
                <w:b/>
                <w:i w:val="0"/>
                <w:sz w:val="20"/>
              </w:rPr>
            </w:pPr>
            <w:r>
              <w:rPr>
                <w:b/>
                <w:i w:val="0"/>
                <w:sz w:val="20"/>
              </w:rPr>
              <w:t>Дата на изпращане</w:t>
            </w:r>
          </w:p>
        </w:tc>
        <w:tc>
          <w:tcPr>
            <w:tcW w:w="2000" w:type="pct"/>
            <w:shd w:val="clear" w:color="auto" w:fill="C0C0C0"/>
            <w:noWrap w:val="0"/>
            <w:tcMar>
              <w:top w:w="60" w:type="dxa"/>
            </w:tcMar>
            <w:vAlign w:val="top"/>
          </w:tcPr>
          <w:p>
            <w:pPr>
              <w:jc w:val="center"/>
              <w:rPr>
                <w:b w:val="0"/>
                <w:i w:val="0"/>
                <w:sz w:val="20"/>
              </w:rPr>
            </w:pPr>
            <w:r>
              <w:rPr>
                <w:b/>
                <w:i w:val="0"/>
                <w:sz w:val="20"/>
              </w:rPr>
              <w:t>Изпратено от</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i w:val="0"/>
                <w:sz w:val="16"/>
              </w:rPr>
            </w:pPr>
            <w:r>
              <w:rPr>
                <w:b w:val="0"/>
                <w:i w:val="0"/>
                <w:sz w:val="16"/>
              </w:rPr>
              <w:t>Тематична подпрограма за малки стопанства</w:t>
            </w:r>
          </w:p>
        </w:tc>
        <w:tc>
          <w:tcPr>
            <w:tcW w:w="2000" w:type="pct"/>
            <w:shd w:val="clear" w:color="auto" w:fill="FFFFFF"/>
            <w:noWrap w:val="0"/>
            <w:tcMar>
              <w:top w:w="60" w:type="dxa"/>
            </w:tcMar>
            <w:vAlign w:val="top"/>
          </w:tcPr>
          <w:p>
            <w:pPr>
              <w:jc w:val="left"/>
              <w:rPr>
                <w:b w:val="0"/>
                <w:i w:val="0"/>
                <w:sz w:val="16"/>
              </w:rPr>
            </w:pPr>
            <w:r>
              <w:rPr>
                <w:b w:val="0"/>
                <w:i w:val="0"/>
                <w:sz w:val="16"/>
              </w:rPr>
              <w:t>20 Тематични подпрограми — приложение</w:t>
            </w:r>
          </w:p>
        </w:tc>
        <w:tc>
          <w:tcPr>
            <w:tcW w:w="2000" w:type="pct"/>
            <w:shd w:val="clear" w:color="auto" w:fill="FFFFFF"/>
            <w:noWrap w:val="0"/>
            <w:tcMar>
              <w:top w:w="60" w:type="dxa"/>
            </w:tcMar>
            <w:vAlign w:val="top"/>
          </w:tcPr>
          <w:p>
            <w:pPr>
              <w:jc w:val="left"/>
              <w:rPr>
                <w:b w:val="0"/>
                <w:i w:val="0"/>
                <w:sz w:val="16"/>
              </w:rPr>
            </w:pPr>
            <w:r>
              <w:rPr>
                <w:b w:val="0"/>
                <w:i w:val="0"/>
                <w:sz w:val="16"/>
              </w:rPr>
              <w:t>06-06-2025</w:t>
            </w:r>
          </w:p>
        </w:tc>
        <w:tc>
          <w:tcPr>
            <w:tcW w:w="2000" w:type="pct"/>
            <w:shd w:val="clear" w:color="auto" w:fill="FFFFFF"/>
            <w:noWrap w:val="0"/>
            <w:tcMar>
              <w:top w:w="60" w:type="dxa"/>
            </w:tcMar>
            <w:vAlign w:val="top"/>
          </w:tcPr>
          <w:p>
            <w:pPr>
              <w:jc w:val="left"/>
              <w:rPr>
                <w:b w:val="0"/>
                <w:i w:val="0"/>
                <w:sz w:val="16"/>
              </w:rPr>
            </w:pPr>
          </w:p>
        </w:tc>
        <w:tc>
          <w:tcPr>
            <w:tcW w:w="2000" w:type="pct"/>
            <w:shd w:val="clear" w:color="auto" w:fill="FFFFFF"/>
            <w:noWrap w:val="0"/>
            <w:tcMar>
              <w:top w:w="60" w:type="dxa"/>
            </w:tcMar>
            <w:vAlign w:val="top"/>
          </w:tcPr>
          <w:p>
            <w:pPr>
              <w:jc w:val="left"/>
              <w:rPr>
                <w:b w:val="0"/>
                <w:i w:val="0"/>
                <w:sz w:val="16"/>
              </w:rPr>
            </w:pPr>
            <w:r>
              <w:rPr>
                <w:b w:val="0"/>
                <w:i w:val="0"/>
                <w:sz w:val="16"/>
              </w:rPr>
              <w:t>Ares(2025)5207207</w:t>
            </w:r>
          </w:p>
        </w:tc>
        <w:tc>
          <w:tcPr>
            <w:tcW w:w="2000" w:type="pct"/>
            <w:shd w:val="clear" w:color="auto" w:fill="FFFFFF"/>
            <w:noWrap w:val="0"/>
            <w:tcMar>
              <w:top w:w="60" w:type="dxa"/>
            </w:tcMar>
            <w:vAlign w:val="top"/>
          </w:tcPr>
          <w:p>
            <w:pPr>
              <w:jc w:val="left"/>
              <w:rPr>
                <w:b w:val="0"/>
                <w:i w:val="0"/>
                <w:sz w:val="16"/>
              </w:rPr>
            </w:pPr>
            <w:r>
              <w:rPr>
                <w:b w:val="0"/>
                <w:i w:val="0"/>
                <w:sz w:val="16"/>
              </w:rPr>
              <w:t>2232752735</w:t>
            </w:r>
          </w:p>
        </w:tc>
        <w:tc>
          <w:tcPr>
            <w:tcW w:w="2000" w:type="pct"/>
            <w:shd w:val="clear" w:color="auto" w:fill="FFFFFF"/>
            <w:noWrap w:val="0"/>
            <w:tcMar>
              <w:top w:w="60" w:type="dxa"/>
            </w:tcMar>
            <w:vAlign w:val="top"/>
          </w:tcPr>
          <w:p>
            <w:pPr>
              <w:jc w:val="left"/>
              <w:rPr>
                <w:b w:val="0"/>
                <w:i w:val="0"/>
                <w:sz w:val="16"/>
              </w:rPr>
            </w:pPr>
            <w:r>
              <w:rPr>
                <w:b w:val="0"/>
                <w:i w:val="0"/>
                <w:sz w:val="16"/>
              </w:rPr>
              <w:t>Тематична подпрограма за малки стопанства</w:t>
            </w:r>
          </w:p>
        </w:tc>
        <w:tc>
          <w:tcPr>
            <w:tcW w:w="2000" w:type="pct"/>
            <w:shd w:val="clear" w:color="auto" w:fill="FFFFFF"/>
            <w:noWrap w:val="0"/>
            <w:tcMar>
              <w:top w:w="60" w:type="dxa"/>
            </w:tcMar>
            <w:vAlign w:val="top"/>
          </w:tcPr>
          <w:p>
            <w:pPr>
              <w:jc w:val="left"/>
              <w:rPr>
                <w:b w:val="0"/>
                <w:i w:val="0"/>
                <w:sz w:val="16"/>
              </w:rPr>
            </w:pPr>
            <w:r>
              <w:rPr>
                <w:b w:val="0"/>
                <w:i w:val="0"/>
                <w:sz w:val="16"/>
              </w:rPr>
              <w:t>30-06-2025</w:t>
            </w:r>
          </w:p>
        </w:tc>
        <w:tc>
          <w:tcPr>
            <w:tcW w:w="2000" w:type="pct"/>
            <w:shd w:val="clear" w:color="auto" w:fill="FFFFFF"/>
            <w:noWrap w:val="0"/>
            <w:tcMar>
              <w:top w:w="60" w:type="dxa"/>
            </w:tcMar>
            <w:vAlign w:val="top"/>
          </w:tcPr>
          <w:p>
            <w:pPr>
              <w:jc w:val="left"/>
              <w:rPr>
                <w:b w:val="0"/>
                <w:i w:val="0"/>
                <w:sz w:val="16"/>
              </w:rPr>
            </w:pPr>
            <w:r>
              <w:rPr>
                <w:b w:val="0"/>
                <w:i w:val="0"/>
                <w:sz w:val="16"/>
              </w:rPr>
              <w:t>nivnovel</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i w:val="0"/>
                <w:sz w:val="16"/>
              </w:rPr>
            </w:pPr>
            <w:r>
              <w:rPr>
                <w:b w:val="0"/>
                <w:i w:val="0"/>
                <w:sz w:val="16"/>
              </w:rPr>
              <w:t>Приложения към Раздел 3 - Предварителна оценка</w:t>
            </w:r>
          </w:p>
        </w:tc>
        <w:tc>
          <w:tcPr>
            <w:tcW w:w="2000" w:type="pct"/>
            <w:shd w:val="clear" w:color="auto" w:fill="FFFFFF"/>
            <w:noWrap w:val="0"/>
            <w:tcMar>
              <w:top w:w="60" w:type="dxa"/>
            </w:tcMar>
            <w:vAlign w:val="top"/>
          </w:tcPr>
          <w:p>
            <w:pPr>
              <w:jc w:val="left"/>
              <w:rPr>
                <w:b w:val="0"/>
                <w:i w:val="0"/>
                <w:sz w:val="16"/>
              </w:rPr>
            </w:pPr>
            <w:r>
              <w:rPr>
                <w:b w:val="0"/>
                <w:i w:val="0"/>
                <w:sz w:val="16"/>
              </w:rPr>
              <w:t>3 Доклад от предварителната оценка — приложение</w:t>
            </w:r>
          </w:p>
        </w:tc>
        <w:tc>
          <w:tcPr>
            <w:tcW w:w="2000" w:type="pct"/>
            <w:shd w:val="clear" w:color="auto" w:fill="FFFFFF"/>
            <w:noWrap w:val="0"/>
            <w:tcMar>
              <w:top w:w="60" w:type="dxa"/>
            </w:tcMar>
            <w:vAlign w:val="top"/>
          </w:tcPr>
          <w:p>
            <w:pPr>
              <w:jc w:val="left"/>
              <w:rPr>
                <w:b w:val="0"/>
                <w:i w:val="0"/>
                <w:sz w:val="16"/>
              </w:rPr>
            </w:pPr>
            <w:r>
              <w:rPr>
                <w:b w:val="0"/>
                <w:i w:val="0"/>
                <w:sz w:val="16"/>
              </w:rPr>
              <w:t>25-01-2017</w:t>
            </w:r>
          </w:p>
        </w:tc>
        <w:tc>
          <w:tcPr>
            <w:tcW w:w="2000" w:type="pct"/>
            <w:shd w:val="clear" w:color="auto" w:fill="FFFFFF"/>
            <w:noWrap w:val="0"/>
            <w:tcMar>
              <w:top w:w="60" w:type="dxa"/>
            </w:tcMar>
            <w:vAlign w:val="top"/>
          </w:tcPr>
          <w:p>
            <w:pPr>
              <w:jc w:val="left"/>
              <w:rPr>
                <w:b w:val="0"/>
                <w:i w:val="0"/>
                <w:sz w:val="16"/>
              </w:rPr>
            </w:pPr>
          </w:p>
        </w:tc>
        <w:tc>
          <w:tcPr>
            <w:tcW w:w="2000" w:type="pct"/>
            <w:shd w:val="clear" w:color="auto" w:fill="FFFFFF"/>
            <w:noWrap w:val="0"/>
            <w:tcMar>
              <w:top w:w="60" w:type="dxa"/>
            </w:tcMar>
            <w:vAlign w:val="top"/>
          </w:tcPr>
          <w:p>
            <w:pPr>
              <w:jc w:val="left"/>
              <w:rPr>
                <w:b w:val="0"/>
                <w:i w:val="0"/>
                <w:sz w:val="16"/>
              </w:rPr>
            </w:pPr>
            <w:r>
              <w:rPr>
                <w:b w:val="0"/>
                <w:i w:val="0"/>
                <w:sz w:val="16"/>
              </w:rPr>
              <w:t>Ares(2025)5207207</w:t>
            </w:r>
          </w:p>
        </w:tc>
        <w:tc>
          <w:tcPr>
            <w:tcW w:w="2000" w:type="pct"/>
            <w:shd w:val="clear" w:color="auto" w:fill="FFFFFF"/>
            <w:noWrap w:val="0"/>
            <w:tcMar>
              <w:top w:w="60" w:type="dxa"/>
            </w:tcMar>
            <w:vAlign w:val="top"/>
          </w:tcPr>
          <w:p>
            <w:pPr>
              <w:jc w:val="left"/>
              <w:rPr>
                <w:b w:val="0"/>
                <w:i w:val="0"/>
                <w:sz w:val="16"/>
              </w:rPr>
            </w:pPr>
            <w:r>
              <w:rPr>
                <w:b w:val="0"/>
                <w:i w:val="0"/>
                <w:sz w:val="16"/>
              </w:rPr>
              <w:t>642434225</w:t>
            </w:r>
          </w:p>
        </w:tc>
        <w:tc>
          <w:tcPr>
            <w:tcW w:w="2000" w:type="pct"/>
            <w:shd w:val="clear" w:color="auto" w:fill="FFFFFF"/>
            <w:noWrap w:val="0"/>
            <w:tcMar>
              <w:top w:w="60" w:type="dxa"/>
            </w:tcMar>
            <w:vAlign w:val="top"/>
          </w:tcPr>
          <w:p>
            <w:pPr>
              <w:jc w:val="left"/>
              <w:rPr>
                <w:b w:val="0"/>
                <w:i w:val="0"/>
                <w:sz w:val="16"/>
              </w:rPr>
            </w:pPr>
            <w:r>
              <w:rPr>
                <w:b w:val="0"/>
                <w:i w:val="0"/>
                <w:sz w:val="16"/>
              </w:rPr>
              <w:t>Приложения към Раздел 3 - Предварителна оценка - 7 бр.</w:t>
            </w:r>
          </w:p>
        </w:tc>
        <w:tc>
          <w:tcPr>
            <w:tcW w:w="2000" w:type="pct"/>
            <w:shd w:val="clear" w:color="auto" w:fill="FFFFFF"/>
            <w:noWrap w:val="0"/>
            <w:tcMar>
              <w:top w:w="60" w:type="dxa"/>
            </w:tcMar>
            <w:vAlign w:val="top"/>
          </w:tcPr>
          <w:p>
            <w:pPr>
              <w:jc w:val="left"/>
              <w:rPr>
                <w:b w:val="0"/>
                <w:i w:val="0"/>
                <w:sz w:val="16"/>
              </w:rPr>
            </w:pPr>
            <w:r>
              <w:rPr>
                <w:b w:val="0"/>
                <w:i w:val="0"/>
                <w:sz w:val="16"/>
              </w:rPr>
              <w:t>30-06-2025</w:t>
            </w:r>
          </w:p>
        </w:tc>
        <w:tc>
          <w:tcPr>
            <w:tcW w:w="2000" w:type="pct"/>
            <w:shd w:val="clear" w:color="auto" w:fill="FFFFFF"/>
            <w:noWrap w:val="0"/>
            <w:tcMar>
              <w:top w:w="60" w:type="dxa"/>
            </w:tcMar>
            <w:vAlign w:val="top"/>
          </w:tcPr>
          <w:p>
            <w:pPr>
              <w:jc w:val="left"/>
              <w:rPr>
                <w:b w:val="0"/>
                <w:i w:val="0"/>
                <w:sz w:val="16"/>
              </w:rPr>
            </w:pPr>
            <w:r>
              <w:rPr>
                <w:b w:val="0"/>
                <w:i w:val="0"/>
                <w:sz w:val="16"/>
              </w:rPr>
              <w:t>nivnovel</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i w:val="0"/>
                <w:sz w:val="16"/>
              </w:rPr>
            </w:pPr>
            <w:r>
              <w:rPr>
                <w:b w:val="0"/>
                <w:i w:val="0"/>
                <w:sz w:val="16"/>
              </w:rPr>
              <w:t>Приложения към ПРСР 2014-2020</w:t>
            </w:r>
          </w:p>
        </w:tc>
        <w:tc>
          <w:tcPr>
            <w:tcW w:w="2000" w:type="pct"/>
            <w:shd w:val="clear" w:color="auto" w:fill="FFFFFF"/>
            <w:noWrap w:val="0"/>
            <w:tcMar>
              <w:top w:w="60" w:type="dxa"/>
            </w:tcMar>
            <w:vAlign w:val="top"/>
          </w:tcPr>
          <w:p>
            <w:pPr>
              <w:jc w:val="left"/>
              <w:rPr>
                <w:b w:val="0"/>
                <w:i w:val="0"/>
                <w:sz w:val="16"/>
              </w:rPr>
            </w:pPr>
            <w:r>
              <w:rPr>
                <w:b w:val="0"/>
                <w:i w:val="0"/>
                <w:sz w:val="16"/>
              </w:rPr>
              <w:t>2 Държава членка или административен район — приложение</w:t>
            </w:r>
          </w:p>
        </w:tc>
        <w:tc>
          <w:tcPr>
            <w:tcW w:w="2000" w:type="pct"/>
            <w:shd w:val="clear" w:color="auto" w:fill="FFFFFF"/>
            <w:noWrap w:val="0"/>
            <w:tcMar>
              <w:top w:w="60" w:type="dxa"/>
            </w:tcMar>
            <w:vAlign w:val="top"/>
          </w:tcPr>
          <w:p>
            <w:pPr>
              <w:jc w:val="left"/>
              <w:rPr>
                <w:b w:val="0"/>
                <w:i w:val="0"/>
                <w:sz w:val="16"/>
              </w:rPr>
            </w:pPr>
            <w:r>
              <w:rPr>
                <w:b w:val="0"/>
                <w:i w:val="0"/>
                <w:sz w:val="16"/>
              </w:rPr>
              <w:t>10-04-2023</w:t>
            </w:r>
          </w:p>
        </w:tc>
        <w:tc>
          <w:tcPr>
            <w:tcW w:w="2000" w:type="pct"/>
            <w:shd w:val="clear" w:color="auto" w:fill="FFFFFF"/>
            <w:noWrap w:val="0"/>
            <w:tcMar>
              <w:top w:w="60" w:type="dxa"/>
            </w:tcMar>
            <w:vAlign w:val="top"/>
          </w:tcPr>
          <w:p>
            <w:pPr>
              <w:jc w:val="left"/>
              <w:rPr>
                <w:b w:val="0"/>
                <w:i w:val="0"/>
                <w:sz w:val="16"/>
              </w:rPr>
            </w:pPr>
          </w:p>
        </w:tc>
        <w:tc>
          <w:tcPr>
            <w:tcW w:w="2000" w:type="pct"/>
            <w:shd w:val="clear" w:color="auto" w:fill="FFFFFF"/>
            <w:noWrap w:val="0"/>
            <w:tcMar>
              <w:top w:w="60" w:type="dxa"/>
            </w:tcMar>
            <w:vAlign w:val="top"/>
          </w:tcPr>
          <w:p>
            <w:pPr>
              <w:jc w:val="left"/>
              <w:rPr>
                <w:b w:val="0"/>
                <w:i w:val="0"/>
                <w:sz w:val="16"/>
              </w:rPr>
            </w:pPr>
            <w:r>
              <w:rPr>
                <w:b w:val="0"/>
                <w:i w:val="0"/>
                <w:sz w:val="16"/>
              </w:rPr>
              <w:t>Ares(2025)5207207</w:t>
            </w:r>
          </w:p>
        </w:tc>
        <w:tc>
          <w:tcPr>
            <w:tcW w:w="2000" w:type="pct"/>
            <w:shd w:val="clear" w:color="auto" w:fill="FFFFFF"/>
            <w:noWrap w:val="0"/>
            <w:tcMar>
              <w:top w:w="60" w:type="dxa"/>
            </w:tcMar>
            <w:vAlign w:val="top"/>
          </w:tcPr>
          <w:p>
            <w:pPr>
              <w:jc w:val="left"/>
              <w:rPr>
                <w:b w:val="0"/>
                <w:i w:val="0"/>
                <w:sz w:val="16"/>
              </w:rPr>
            </w:pPr>
            <w:r>
              <w:rPr>
                <w:b w:val="0"/>
                <w:i w:val="0"/>
                <w:sz w:val="16"/>
              </w:rPr>
              <w:t>3004420981</w:t>
            </w:r>
          </w:p>
        </w:tc>
        <w:tc>
          <w:tcPr>
            <w:tcW w:w="2000" w:type="pct"/>
            <w:shd w:val="clear" w:color="auto" w:fill="FFFFFF"/>
            <w:noWrap w:val="0"/>
            <w:tcMar>
              <w:top w:w="60" w:type="dxa"/>
            </w:tcMar>
            <w:vAlign w:val="top"/>
          </w:tcPr>
          <w:p>
            <w:pPr>
              <w:jc w:val="left"/>
              <w:rPr>
                <w:b w:val="0"/>
                <w:i w:val="0"/>
                <w:sz w:val="16"/>
              </w:rPr>
            </w:pPr>
            <w:r>
              <w:rPr>
                <w:b w:val="0"/>
                <w:i w:val="0"/>
                <w:sz w:val="16"/>
              </w:rPr>
              <w:t>Приложения към ПРСР 2014-2020 април 2023</w:t>
            </w:r>
          </w:p>
        </w:tc>
        <w:tc>
          <w:tcPr>
            <w:tcW w:w="2000" w:type="pct"/>
            <w:shd w:val="clear" w:color="auto" w:fill="FFFFFF"/>
            <w:noWrap w:val="0"/>
            <w:tcMar>
              <w:top w:w="60" w:type="dxa"/>
            </w:tcMar>
            <w:vAlign w:val="top"/>
          </w:tcPr>
          <w:p>
            <w:pPr>
              <w:jc w:val="left"/>
              <w:rPr>
                <w:b w:val="0"/>
                <w:i w:val="0"/>
                <w:sz w:val="16"/>
              </w:rPr>
            </w:pPr>
            <w:r>
              <w:rPr>
                <w:b w:val="0"/>
                <w:i w:val="0"/>
                <w:sz w:val="16"/>
              </w:rPr>
              <w:t>30-06-2025</w:t>
            </w:r>
          </w:p>
        </w:tc>
        <w:tc>
          <w:tcPr>
            <w:tcW w:w="2000" w:type="pct"/>
            <w:shd w:val="clear" w:color="auto" w:fill="FFFFFF"/>
            <w:noWrap w:val="0"/>
            <w:tcMar>
              <w:top w:w="60" w:type="dxa"/>
            </w:tcMar>
            <w:vAlign w:val="top"/>
          </w:tcPr>
          <w:p>
            <w:pPr>
              <w:jc w:val="left"/>
              <w:rPr>
                <w:b w:val="0"/>
                <w:i w:val="0"/>
                <w:sz w:val="16"/>
              </w:rPr>
            </w:pPr>
            <w:r>
              <w:rPr>
                <w:b w:val="0"/>
                <w:i w:val="0"/>
                <w:sz w:val="16"/>
              </w:rPr>
              <w:t>nivnovel</w:t>
            </w:r>
          </w:p>
        </w:tc>
      </w:tr>
    </w:tbl>
    <w:p>
      <w:pPr>
        <w:rPr>
          <w:b/>
          <w:i w:val="0"/>
        </w:rPr>
        <w:sectPr>
          <w:pgSz w:w="15840" w:h="12240" w:orient="landscape"/>
          <w:pgMar w:top="900" w:right="900" w:bottom="900" w:left="900" w:header="720" w:footer="720"/>
          <w:cols w:space="720"/>
        </w:sectPr>
      </w:pPr>
    </w:p>
    <w:p>
      <w:pPr>
        <w:rPr>
          <w:b/>
          <w:i w:val="0"/>
        </w:rPr>
      </w:pPr>
    </w:p>
    <w:sectPr>
      <w:type w:val="nextPage"/>
      <w:pgSz w:w="15840" w:h="12240" w:orient="landscape"/>
      <w:pgMar w:top="900" w:right="900" w:bottom="900" w:left="900" w:header="720" w:footer="720"/>
      <w:cols w:space="72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embedRegular r:id="rId1" w:fontKey="{131498D1-70E6-48F5-9FCF-82F541506D7A}"/>
    <w:embedBold r:id="rId2" w:fontKey="{CB678513-0F54-4FDB-BE88-46DE309551FF}"/>
    <w:embedItalic r:id="rId3" w:fontKey="{E4C6A678-3B33-48A4-9F7C-0F32D0B6A11D}"/>
    <w:embedBoldItalic r:id="rId4" w:fontKey="{9CADF4D0-0646-4A18-893F-5E1F08B9518E}"/>
  </w:font>
  <w:font w:name="Symbol">
    <w:panose1 w:val="05050102010706020507"/>
    <w:charset w:val="02"/>
    <w:family w:val="roman"/>
    <w:pitch w:val="variable"/>
    <w:sig w:usb0="00000000" w:usb1="10000000" w:usb2="00000000" w:usb3="00000000" w:csb0="80000000" w:csb1="00000000"/>
    <w:embedRegular r:id="rId5" w:fontKey="{C704AFD7-2CC6-4484-AD85-0913AFD3709E}"/>
  </w:font>
  <w:font w:name="Arial">
    <w:panose1 w:val="020B0604020202020204"/>
    <w:charset w:val="00"/>
    <w:family w:val="swiss"/>
    <w:pitch w:val="variable"/>
    <w:sig w:usb0="E0002AFF" w:usb1="C0007843" w:usb2="00000009" w:usb3="00000000" w:csb0="000001FF" w:csb1="00000000"/>
    <w:embedRegular r:id="rId6" w:fontKey="{0016184C-2F52-47F2-9E10-A87CB5D69237}"/>
    <w:embedBold r:id="rId7" w:fontKey="{581951A1-3376-491D-8FD3-F8D42C63AF26}"/>
    <w:embedItalic r:id="rId8" w:fontKey="{4B8DDD72-7CFB-4F83-931F-F59D56DDF7CE}"/>
  </w:font>
  <w:font w:name="Calibri">
    <w:panose1 w:val="020F0502020204030204"/>
    <w:charset w:val="00"/>
    <w:family w:val="swiss"/>
    <w:pitch w:val="variable"/>
    <w:sig w:usb0="E10002FF" w:usb1="4000ACFF" w:usb2="00000009" w:usb3="00000000" w:csb0="0000019F" w:csb1="00000000"/>
    <w:embedRegular r:id="rId9" w:fontKey="{5B8B44D8-10E6-4B3C-9796-6AFACD92A2D8}"/>
  </w:font>
  <w:font w:name="Tahoma">
    <w:panose1 w:val="020B0604030504040204"/>
    <w:charset w:val="00"/>
    <w:family w:val="swiss"/>
    <w:pitch w:val="variable"/>
    <w:sig w:usb0="E1002EFF" w:usb1="C000605B" w:usb2="00000029" w:usb3="00000000" w:csb0="000101FF" w:csb1="00000000"/>
    <w:embedRegular r:id="rId10" w:fontKey="{CDE2349C-7D29-4862-B2F1-20726D7554F9}"/>
  </w:font>
  <w:font w:name="Courier New">
    <w:panose1 w:val="02070309020205020404"/>
    <w:charset w:val="00"/>
    <w:family w:val="modern"/>
    <w:pitch w:val="fixed"/>
    <w:sig w:usb0="E0002AFF" w:usb1="C0007843" w:usb2="00000009" w:usb3="00000000" w:csb0="000001FF" w:csb1="00000000"/>
    <w:embedRegular r:id="rId11" w:fontKey="{989B201C-3112-48A2-BDD3-CF8A2CD424C0}"/>
  </w:font>
  <w:font w:name="Wingdings">
    <w:charset w:val="00"/>
    <w:family w:val="auto"/>
    <w:pitch w:val="default"/>
    <w:sig w:usb0="00000000" w:usb1="00000000" w:usb2="00000000" w:usb3="00000000" w:csb0="00000001" w:csb1="00000000"/>
    <w:embedRegular r:id="rId12" w:fontKey="{BEB3EC99-BA5B-4CC4-8D9A-9669BC0A2F9E}"/>
  </w:font>
  <w:font w:name="Cambria">
    <w:charset w:val="00"/>
    <w:family w:val="auto"/>
    <w:pitch w:val="default"/>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4B21">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E0A">
    <w:pPr>
      <w:pStyle w:val="Footer"/>
      <w:jc w:val="center"/>
    </w:pPr>
    <w:r>
      <w:fldChar w:fldCharType="begin"/>
    </w:r>
    <w:r>
      <w:instrText>PAGE</w:instrText>
    </w:r>
    <w:r>
      <w:fldChar w:fldCharType="separate"/>
    </w:r>
    <w:r>
      <w:t>938</w:t>
    </w:r>
    <w: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E0A">
    <w:pPr>
      <w:pStyle w:val="Footer"/>
      <w:jc w:val="center"/>
    </w:pPr>
    <w:r>
      <w:fldChar w:fldCharType="begin"/>
    </w:r>
    <w:r>
      <w:instrText xml:space="preserve"> PAGE   \* MERGEFORMAT </w:instrText>
    </w:r>
    <w:r>
      <w:fldChar w:fldCharType="separate"/>
    </w:r>
    <w:r w:rsidR="00CA4B21">
      <w:rPr>
        <w:noProof/>
      </w:rPr>
      <w:t>1</w:t>
    </w:r>
    <w:r>
      <w:rPr>
        <w:noProof/>
      </w:rPr>
      <w:fldChar w:fldCharType="end"/>
    </w:r>
  </w:p>
  <w:p w:rsidR="00B21E0A">
    <w:pPr>
      <w:pStyle w:val="Footer"/>
    </w:pP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4B21">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4B21">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E0A" w:rsidRPr="004551CD">
    <w:pPr>
      <w:pStyle w:val="Header"/>
      <w:spacing w:after="0"/>
      <w:rPr>
        <w:lang w:val="fr-BE"/>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EA58E78E"/>
    <w:lvl w:ilvl="0">
      <w:start w:val="1"/>
      <w:numFmt w:val="decimal"/>
      <w:pStyle w:val="ListNumber5"/>
      <w:lvlText w:val="%1."/>
      <w:lvlJc w:val="left"/>
      <w:pPr>
        <w:tabs>
          <w:tab w:val="num" w:pos="1492"/>
        </w:tabs>
        <w:ind w:left="1492" w:hanging="360"/>
      </w:pPr>
    </w:lvl>
  </w:abstractNum>
  <w:abstractNum w:abstractNumId="1">
    <w:nsid w:val="FFFFFF80"/>
    <w:multiLevelType w:val="singleLevel"/>
    <w:tmpl w:val="E7A64A6A"/>
    <w:lvl w:ilvl="0">
      <w:start w:val="1"/>
      <w:numFmt w:val="bullet"/>
      <w:pStyle w:val="ListBullet5"/>
      <w:lvlText w:val=""/>
      <w:lvlJc w:val="left"/>
      <w:pPr>
        <w:tabs>
          <w:tab w:val="num" w:pos="1492"/>
        </w:tabs>
        <w:ind w:left="1492" w:hanging="360"/>
      </w:pPr>
      <w:rPr>
        <w:rFonts w:ascii="Symbol" w:hAnsi="Symbol" w:hint="default"/>
      </w:rPr>
    </w:lvl>
  </w:abstractNum>
  <w:abstractNum w:abstractNumId="2">
    <w:nsid w:val="1B1530A4"/>
    <w:multiLevelType w:val="multilevel"/>
    <w:tmpl w:val="8CE23BCC"/>
    <w:lvl w:ilvl="0">
      <w:start w:val="1"/>
      <w:numFmt w:val="decimal"/>
      <w:pStyle w:val="ListNumber2"/>
      <w:lvlText w:val="(%1)"/>
      <w:lvlJc w:val="left"/>
      <w:pPr>
        <w:tabs>
          <w:tab w:val="num" w:pos="1911"/>
        </w:tabs>
        <w:ind w:left="1911" w:hanging="709"/>
      </w:pPr>
    </w:lvl>
    <w:lvl w:ilvl="1">
      <w:start w:val="1"/>
      <w:numFmt w:val="lowerLetter"/>
      <w:pStyle w:val="ListNumber2Level2"/>
      <w:lvlText w:val="(%2)"/>
      <w:lvlJc w:val="left"/>
      <w:pPr>
        <w:tabs>
          <w:tab w:val="num" w:pos="2619"/>
        </w:tabs>
        <w:ind w:left="2619" w:hanging="708"/>
      </w:pPr>
    </w:lvl>
    <w:lvl w:ilvl="2">
      <w:start w:val="1"/>
      <w:numFmt w:val="bullet"/>
      <w:pStyle w:val="ListNumber2Level3"/>
      <w:lvlText w:val="–"/>
      <w:lvlJc w:val="left"/>
      <w:pPr>
        <w:tabs>
          <w:tab w:val="num" w:pos="3328"/>
        </w:tabs>
        <w:ind w:left="3328" w:hanging="709"/>
      </w:pPr>
      <w:rPr>
        <w:rFonts w:ascii="Times New Roman" w:hAnsi="Times New Roman"/>
      </w:rPr>
    </w:lvl>
    <w:lvl w:ilvl="3">
      <w:start w:val="1"/>
      <w:numFmt w:val="bullet"/>
      <w:pStyle w:val="ListNumber2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
    <w:nsid w:val="1C7B624F"/>
    <w:multiLevelType w:val="singleLevel"/>
    <w:tmpl w:val="55144760"/>
    <w:name w:val="ListDash 1222"/>
    <w:lvl w:ilvl="0">
      <w:start w:val="1"/>
      <w:numFmt w:val="bullet"/>
      <w:lvlText w:val="-"/>
      <w:lvlJc w:val="left"/>
      <w:pPr>
        <w:tabs>
          <w:tab w:val="num" w:pos="283"/>
        </w:tabs>
        <w:ind w:left="283" w:hanging="283"/>
      </w:pPr>
      <w:rPr>
        <w:rFonts w:ascii="Symbol" w:hAnsi="Symbol" w:cs="Times New Roman" w:hint="default"/>
      </w:rPr>
    </w:lvl>
  </w:abstractNum>
  <w:abstractNum w:abstractNumId="4">
    <w:nsid w:val="22DD3599"/>
    <w:multiLevelType w:val="multilevel"/>
    <w:tmpl w:val="4EAA5BA6"/>
    <w:lvl w:ilvl="0">
      <w:start w:val="1"/>
      <w:numFmt w:val="decimal"/>
      <w:pStyle w:val="ListNumber"/>
      <w:lvlText w:val="(%1)"/>
      <w:lvlJc w:val="left"/>
      <w:pPr>
        <w:tabs>
          <w:tab w:val="num" w:pos="709"/>
        </w:tabs>
        <w:ind w:left="709" w:hanging="709"/>
      </w:pPr>
    </w:lvl>
    <w:lvl w:ilvl="1">
      <w:start w:val="1"/>
      <w:numFmt w:val="lowerLetter"/>
      <w:pStyle w:val="ListNumberLevel2"/>
      <w:lvlText w:val="(%2)"/>
      <w:lvlJc w:val="left"/>
      <w:pPr>
        <w:tabs>
          <w:tab w:val="num" w:pos="1417"/>
        </w:tabs>
        <w:ind w:left="1417" w:hanging="708"/>
      </w:pPr>
    </w:lvl>
    <w:lvl w:ilvl="2">
      <w:start w:val="1"/>
      <w:numFmt w:val="bullet"/>
      <w:pStyle w:val="ListNumberLevel3"/>
      <w:lvlText w:val="–"/>
      <w:lvlJc w:val="left"/>
      <w:pPr>
        <w:tabs>
          <w:tab w:val="num" w:pos="2126"/>
        </w:tabs>
        <w:ind w:left="2126" w:hanging="709"/>
      </w:pPr>
      <w:rPr>
        <w:rFonts w:ascii="Times New Roman" w:hAnsi="Times New Roman"/>
      </w:rPr>
    </w:lvl>
    <w:lvl w:ilvl="3">
      <w:start w:val="1"/>
      <w:numFmt w:val="bullet"/>
      <w:pStyle w:val="ListNumberLevel4"/>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nsid w:val="2B75631B"/>
    <w:multiLevelType w:val="singleLevel"/>
    <w:tmpl w:val="A4DC141A"/>
    <w:lvl w:ilvl="0">
      <w:start w:val="1"/>
      <w:numFmt w:val="bullet"/>
      <w:pStyle w:val="ListBullet1"/>
      <w:lvlText w:val=""/>
      <w:lvlJc w:val="left"/>
      <w:pPr>
        <w:tabs>
          <w:tab w:val="num" w:pos="765"/>
        </w:tabs>
        <w:ind w:left="765" w:hanging="283"/>
      </w:pPr>
      <w:rPr>
        <w:rFonts w:ascii="Symbol" w:hAnsi="Symbol"/>
      </w:rPr>
    </w:lvl>
  </w:abstractNum>
  <w:abstractNum w:abstractNumId="6">
    <w:nsid w:val="2CAB4527"/>
    <w:multiLevelType w:val="multilevel"/>
    <w:tmpl w:val="26C24C12"/>
    <w:lvl w:ilvl="0">
      <w:start w:val="1"/>
      <w:numFmt w:val="decimal"/>
      <w:pStyle w:val="ListNumber3"/>
      <w:lvlText w:val="(%1)"/>
      <w:lvlJc w:val="left"/>
      <w:pPr>
        <w:tabs>
          <w:tab w:val="num" w:pos="1911"/>
        </w:tabs>
        <w:ind w:left="1911" w:hanging="709"/>
      </w:pPr>
    </w:lvl>
    <w:lvl w:ilvl="1">
      <w:start w:val="1"/>
      <w:numFmt w:val="lowerLetter"/>
      <w:pStyle w:val="ListNumber3Level2"/>
      <w:lvlText w:val="(%2)"/>
      <w:lvlJc w:val="left"/>
      <w:pPr>
        <w:tabs>
          <w:tab w:val="num" w:pos="2619"/>
        </w:tabs>
        <w:ind w:left="2619" w:hanging="708"/>
      </w:pPr>
    </w:lvl>
    <w:lvl w:ilvl="2">
      <w:start w:val="1"/>
      <w:numFmt w:val="bullet"/>
      <w:pStyle w:val="ListNumber3Level3"/>
      <w:lvlText w:val="–"/>
      <w:lvlJc w:val="left"/>
      <w:pPr>
        <w:tabs>
          <w:tab w:val="num" w:pos="3328"/>
        </w:tabs>
        <w:ind w:left="3328" w:hanging="709"/>
      </w:pPr>
      <w:rPr>
        <w:rFonts w:ascii="Times New Roman" w:hAnsi="Times New Roman"/>
      </w:rPr>
    </w:lvl>
    <w:lvl w:ilvl="3">
      <w:start w:val="1"/>
      <w:numFmt w:val="bullet"/>
      <w:pStyle w:val="ListNumber3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nsid w:val="34293F3F"/>
    <w:multiLevelType w:val="singleLevel"/>
    <w:tmpl w:val="B074E4EC"/>
    <w:lvl w:ilvl="0">
      <w:start w:val="1"/>
      <w:numFmt w:val="bullet"/>
      <w:pStyle w:val="ListDash"/>
      <w:lvlText w:val="–"/>
      <w:lvlJc w:val="left"/>
      <w:pPr>
        <w:tabs>
          <w:tab w:val="num" w:pos="283"/>
        </w:tabs>
        <w:ind w:left="283" w:hanging="283"/>
      </w:pPr>
      <w:rPr>
        <w:rFonts w:ascii="Times New Roman" w:hAnsi="Times New Roman"/>
      </w:rPr>
    </w:lvl>
  </w:abstractNum>
  <w:abstractNum w:abstractNumId="8">
    <w:nsid w:val="358B6119"/>
    <w:multiLevelType w:val="multilevel"/>
    <w:tmpl w:val="A8BA546C"/>
    <w:lvl w:ilvl="0">
      <w:start w:val="1"/>
      <w:numFmt w:val="decimal"/>
      <w:pStyle w:val="ListNumber1"/>
      <w:lvlText w:val="(%1)"/>
      <w:lvlJc w:val="left"/>
      <w:pPr>
        <w:tabs>
          <w:tab w:val="num" w:pos="1191"/>
        </w:tabs>
        <w:ind w:left="1191" w:hanging="709"/>
      </w:pPr>
    </w:lvl>
    <w:lvl w:ilvl="1">
      <w:start w:val="1"/>
      <w:numFmt w:val="lowerLetter"/>
      <w:pStyle w:val="ListNumber1Level2"/>
      <w:lvlText w:val="(%2)"/>
      <w:lvlJc w:val="left"/>
      <w:pPr>
        <w:tabs>
          <w:tab w:val="num" w:pos="1899"/>
        </w:tabs>
        <w:ind w:left="1899" w:hanging="708"/>
      </w:pPr>
    </w:lvl>
    <w:lvl w:ilvl="2">
      <w:start w:val="1"/>
      <w:numFmt w:val="bullet"/>
      <w:pStyle w:val="ListNumber1Level3"/>
      <w:lvlText w:val="–"/>
      <w:lvlJc w:val="left"/>
      <w:pPr>
        <w:tabs>
          <w:tab w:val="num" w:pos="2608"/>
        </w:tabs>
        <w:ind w:left="2608" w:hanging="709"/>
      </w:pPr>
      <w:rPr>
        <w:rFonts w:ascii="Times New Roman" w:hAnsi="Times New Roman"/>
      </w:rPr>
    </w:lvl>
    <w:lvl w:ilvl="3">
      <w:start w:val="1"/>
      <w:numFmt w:val="bullet"/>
      <w:pStyle w:val="ListNumber1Level4"/>
      <w:lvlText w:val=""/>
      <w:lvlJc w:val="left"/>
      <w:pPr>
        <w:tabs>
          <w:tab w:val="num" w:pos="3317"/>
        </w:tabs>
        <w:ind w:left="331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nsid w:val="36324F1E"/>
    <w:multiLevelType w:val="singleLevel"/>
    <w:tmpl w:val="E7764108"/>
    <w:name w:val="List Dash 1222"/>
    <w:lvl w:ilvl="0">
      <w:start w:val="1"/>
      <w:numFmt w:val="bullet"/>
      <w:lvlText w:val="-"/>
      <w:lvlJc w:val="left"/>
      <w:pPr>
        <w:tabs>
          <w:tab w:val="num" w:pos="283"/>
        </w:tabs>
        <w:ind w:left="283" w:hanging="283"/>
      </w:pPr>
      <w:rPr>
        <w:rFonts w:ascii="Symbol" w:hAnsi="Symbol" w:cs="Times New Roman" w:hint="default"/>
      </w:rPr>
    </w:lvl>
  </w:abstractNum>
  <w:abstractNum w:abstractNumId="10">
    <w:nsid w:val="37CB1E1C"/>
    <w:multiLevelType w:val="singleLevel"/>
    <w:tmpl w:val="628C12D0"/>
    <w:name w:val="List Dash 1223"/>
    <w:lvl w:ilvl="0">
      <w:start w:val="1"/>
      <w:numFmt w:val="bullet"/>
      <w:lvlText w:val="-"/>
      <w:lvlJc w:val="left"/>
      <w:pPr>
        <w:tabs>
          <w:tab w:val="num" w:pos="283"/>
        </w:tabs>
        <w:ind w:left="283" w:hanging="283"/>
      </w:pPr>
      <w:rPr>
        <w:rFonts w:ascii="Symbol" w:hAnsi="Symbol" w:cs="Times New Roman" w:hint="default"/>
      </w:rPr>
    </w:lvl>
  </w:abstractNum>
  <w:abstractNum w:abstractNumId="11">
    <w:nsid w:val="3AFB6DC8"/>
    <w:multiLevelType w:val="singleLevel"/>
    <w:tmpl w:val="D97CFDF8"/>
    <w:lvl w:ilvl="0">
      <w:start w:val="1"/>
      <w:numFmt w:val="bullet"/>
      <w:pStyle w:val="ListBullet2"/>
      <w:lvlText w:val=""/>
      <w:lvlJc w:val="left"/>
      <w:pPr>
        <w:tabs>
          <w:tab w:val="num" w:pos="1485"/>
        </w:tabs>
        <w:ind w:left="1485" w:hanging="283"/>
      </w:pPr>
      <w:rPr>
        <w:rFonts w:ascii="Symbol" w:hAnsi="Symbol"/>
      </w:rPr>
    </w:lvl>
  </w:abstractNum>
  <w:abstractNum w:abstractNumId="12">
    <w:nsid w:val="3CF00E18"/>
    <w:multiLevelType w:val="singleLevel"/>
    <w:tmpl w:val="4E1A982C"/>
    <w:lvl w:ilvl="0">
      <w:start w:val="1"/>
      <w:numFmt w:val="bullet"/>
      <w:pStyle w:val="ListBullet"/>
      <w:lvlText w:val=""/>
      <w:lvlJc w:val="left"/>
      <w:pPr>
        <w:tabs>
          <w:tab w:val="num" w:pos="283"/>
        </w:tabs>
        <w:ind w:left="283" w:hanging="283"/>
      </w:pPr>
      <w:rPr>
        <w:rFonts w:ascii="Symbol" w:hAnsi="Symbol"/>
      </w:rPr>
    </w:lvl>
  </w:abstractNum>
  <w:abstractNum w:abstractNumId="13">
    <w:nsid w:val="46113D4F"/>
    <w:multiLevelType w:val="singleLevel"/>
    <w:tmpl w:val="A3323CB8"/>
    <w:lvl w:ilvl="0">
      <w:start w:val="1"/>
      <w:numFmt w:val="bullet"/>
      <w:pStyle w:val="ListDash3"/>
      <w:lvlText w:val="–"/>
      <w:lvlJc w:val="left"/>
      <w:pPr>
        <w:tabs>
          <w:tab w:val="num" w:pos="1485"/>
        </w:tabs>
        <w:ind w:left="1485" w:hanging="283"/>
      </w:pPr>
      <w:rPr>
        <w:rFonts w:ascii="Times New Roman" w:hAnsi="Times New Roman"/>
      </w:rPr>
    </w:lvl>
  </w:abstractNum>
  <w:abstractNum w:abstractNumId="14">
    <w:nsid w:val="53436603"/>
    <w:multiLevelType w:val="multilevel"/>
    <w:tmpl w:val="A09AD310"/>
    <w:numStyleLink w:val="Headings"/>
  </w:abstractNum>
  <w:abstractNum w:abstractNumId="15">
    <w:nsid w:val="54D10AB0"/>
    <w:multiLevelType w:val="singleLevel"/>
    <w:tmpl w:val="5B50620E"/>
    <w:lvl w:ilvl="0">
      <w:start w:val="1"/>
      <w:numFmt w:val="bullet"/>
      <w:pStyle w:val="ListDash4"/>
      <w:lvlText w:val="–"/>
      <w:lvlJc w:val="left"/>
      <w:pPr>
        <w:tabs>
          <w:tab w:val="num" w:pos="1485"/>
        </w:tabs>
        <w:ind w:left="1485" w:hanging="283"/>
      </w:pPr>
      <w:rPr>
        <w:rFonts w:ascii="Times New Roman" w:hAnsi="Times New Roman"/>
      </w:rPr>
    </w:lvl>
  </w:abstractNum>
  <w:abstractNum w:abstractNumId="16">
    <w:nsid w:val="57594894"/>
    <w:multiLevelType w:val="multilevel"/>
    <w:tmpl w:val="A09AD310"/>
    <w:styleLink w:val="Headings"/>
    <w:lvl w:ilvl="0">
      <w:start w:val="1"/>
      <w:numFmt w:val="decimal"/>
      <w:pStyle w:val="Heading1"/>
      <w:suff w:val="space"/>
      <w:lvlText w:val="%1."/>
      <w:lvlJc w:val="left"/>
      <w:pPr>
        <w:ind w:left="0" w:firstLine="0"/>
      </w:pPr>
      <w:rPr>
        <w:rFonts w:hint="default"/>
      </w:rPr>
    </w:lvl>
    <w:lvl w:ilvl="1">
      <w:start w:val="1"/>
      <w:numFmt w:val="decimal"/>
      <w:pStyle w:val="Heading2"/>
      <w:suff w:val="space"/>
      <w:lvlText w:val="%1.%2."/>
      <w:lvlJc w:val="left"/>
      <w:pPr>
        <w:ind w:left="0" w:firstLine="0"/>
      </w:pPr>
      <w:rPr>
        <w:rFonts w:hint="default"/>
      </w:rPr>
    </w:lvl>
    <w:lvl w:ilvl="2">
      <w:start w:val="1"/>
      <w:numFmt w:val="decimal"/>
      <w:pStyle w:val="Heading3"/>
      <w:suff w:val="space"/>
      <w:lvlText w:val="%1.%2.%3."/>
      <w:lvlJc w:val="left"/>
      <w:pPr>
        <w:ind w:left="0" w:firstLine="0"/>
      </w:pPr>
      <w:rPr>
        <w:rFonts w:hint="default"/>
        <w:color w:val="auto"/>
      </w:rPr>
    </w:lvl>
    <w:lvl w:ilvl="3">
      <w:start w:val="1"/>
      <w:numFmt w:val="decimal"/>
      <w:pStyle w:val="Heading4"/>
      <w:suff w:val="space"/>
      <w:lvlText w:val="%1.%2.%3.%4."/>
      <w:lvlJc w:val="left"/>
      <w:pPr>
        <w:ind w:left="0" w:firstLine="0"/>
      </w:pPr>
      <w:rPr>
        <w:rFonts w:hint="default"/>
      </w:rPr>
    </w:lvl>
    <w:lvl w:ilvl="4">
      <w:start w:val="1"/>
      <w:numFmt w:val="decimal"/>
      <w:pStyle w:val="Heading5"/>
      <w:suff w:val="space"/>
      <w:lvlText w:val="%1.%2.%3.%4.%5."/>
      <w:lvlJc w:val="left"/>
      <w:pPr>
        <w:ind w:left="0" w:firstLine="0"/>
      </w:pPr>
      <w:rPr>
        <w:rFonts w:hint="default"/>
      </w:rPr>
    </w:lvl>
    <w:lvl w:ilvl="5">
      <w:start w:val="1"/>
      <w:numFmt w:val="decimal"/>
      <w:pStyle w:val="Heading6"/>
      <w:suff w:val="space"/>
      <w:lvlText w:val="%1.%2.%3.%4.%5.%6."/>
      <w:lvlJc w:val="left"/>
      <w:pPr>
        <w:ind w:left="0" w:firstLine="0"/>
      </w:pPr>
      <w:rPr>
        <w:rFonts w:hint="default"/>
      </w:rPr>
    </w:lvl>
    <w:lvl w:ilvl="6">
      <w:start w:val="1"/>
      <w:numFmt w:val="decimal"/>
      <w:pStyle w:val="Heading7"/>
      <w:suff w:val="space"/>
      <w:lvlText w:val="%1.%2.%3.%4.%5.%6.%7."/>
      <w:lvlJc w:val="left"/>
      <w:pPr>
        <w:ind w:left="0" w:firstLine="0"/>
      </w:pPr>
      <w:rPr>
        <w:rFonts w:hint="default"/>
      </w:rPr>
    </w:lvl>
    <w:lvl w:ilvl="7">
      <w:start w:val="1"/>
      <w:numFmt w:val="decimal"/>
      <w:pStyle w:val="Heading8"/>
      <w:suff w:val="space"/>
      <w:lvlText w:val="%1.%2.%3.%4.%5.%6.%7.%8."/>
      <w:lvlJc w:val="left"/>
      <w:pPr>
        <w:ind w:left="0" w:firstLine="0"/>
      </w:pPr>
      <w:rPr>
        <w:rFonts w:hint="default"/>
      </w:rPr>
    </w:lvl>
    <w:lvl w:ilvl="8">
      <w:start w:val="1"/>
      <w:numFmt w:val="decimal"/>
      <w:pStyle w:val="Heading9"/>
      <w:suff w:val="space"/>
      <w:lvlText w:val="%1.%2.%3.%4.%5.%6.%7.%8.%9."/>
      <w:lvlJc w:val="left"/>
      <w:pPr>
        <w:ind w:left="0" w:firstLine="0"/>
      </w:pPr>
      <w:rPr>
        <w:rFonts w:hint="default"/>
      </w:rPr>
    </w:lvl>
  </w:abstractNum>
  <w:abstractNum w:abstractNumId="17">
    <w:nsid w:val="5C405D49"/>
    <w:multiLevelType w:val="multilevel"/>
    <w:tmpl w:val="E3AE3AA0"/>
    <w:numStyleLink w:val="Headings"/>
  </w:abstractNum>
  <w:abstractNum w:abstractNumId="18">
    <w:nsid w:val="5E0D6286"/>
    <w:multiLevelType w:val="singleLevel"/>
    <w:tmpl w:val="B0567122"/>
    <w:lvl w:ilvl="0">
      <w:start w:val="1"/>
      <w:numFmt w:val="bullet"/>
      <w:pStyle w:val="ListDash2"/>
      <w:lvlText w:val="–"/>
      <w:lvlJc w:val="left"/>
      <w:pPr>
        <w:tabs>
          <w:tab w:val="num" w:pos="1485"/>
        </w:tabs>
        <w:ind w:left="1485" w:hanging="283"/>
      </w:pPr>
      <w:rPr>
        <w:rFonts w:ascii="Times New Roman" w:hAnsi="Times New Roman"/>
      </w:rPr>
    </w:lvl>
  </w:abstractNum>
  <w:abstractNum w:abstractNumId="19">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20">
    <w:nsid w:val="620F2440"/>
    <w:multiLevelType w:val="singleLevel"/>
    <w:tmpl w:val="6860A420"/>
    <w:lvl w:ilvl="0">
      <w:start w:val="1"/>
      <w:numFmt w:val="bullet"/>
      <w:pStyle w:val="ListBullet3"/>
      <w:lvlText w:val=""/>
      <w:lvlJc w:val="left"/>
      <w:pPr>
        <w:tabs>
          <w:tab w:val="num" w:pos="1485"/>
        </w:tabs>
        <w:ind w:left="1485" w:hanging="283"/>
      </w:pPr>
      <w:rPr>
        <w:rFonts w:ascii="Symbol" w:hAnsi="Symbol"/>
      </w:rPr>
    </w:lvl>
  </w:abstractNum>
  <w:abstractNum w:abstractNumId="21">
    <w:nsid w:val="6DF118C0"/>
    <w:multiLevelType w:val="singleLevel"/>
    <w:tmpl w:val="B90C8B88"/>
    <w:lvl w:ilvl="0">
      <w:start w:val="1"/>
      <w:numFmt w:val="bullet"/>
      <w:pStyle w:val="ListBullet4"/>
      <w:lvlText w:val=""/>
      <w:lvlJc w:val="left"/>
      <w:pPr>
        <w:tabs>
          <w:tab w:val="num" w:pos="1485"/>
        </w:tabs>
        <w:ind w:left="1485" w:hanging="283"/>
      </w:pPr>
      <w:rPr>
        <w:rFonts w:ascii="Symbol" w:hAnsi="Symbol"/>
      </w:rPr>
    </w:lvl>
  </w:abstractNum>
  <w:abstractNum w:abstractNumId="22">
    <w:nsid w:val="722304D7"/>
    <w:multiLevelType w:val="multilevel"/>
    <w:tmpl w:val="9DE2758E"/>
    <w:lvl w:ilvl="0">
      <w:start w:val="1"/>
      <w:numFmt w:val="decimal"/>
      <w:pStyle w:val="ListNumber4"/>
      <w:lvlText w:val="(%1)"/>
      <w:lvlJc w:val="left"/>
      <w:pPr>
        <w:tabs>
          <w:tab w:val="num" w:pos="1911"/>
        </w:tabs>
        <w:ind w:left="1911" w:hanging="709"/>
      </w:pPr>
    </w:lvl>
    <w:lvl w:ilvl="1">
      <w:start w:val="1"/>
      <w:numFmt w:val="lowerLetter"/>
      <w:pStyle w:val="ListNumber4Level2"/>
      <w:lvlText w:val="(%2)"/>
      <w:lvlJc w:val="left"/>
      <w:pPr>
        <w:tabs>
          <w:tab w:val="num" w:pos="2619"/>
        </w:tabs>
        <w:ind w:left="2619" w:hanging="708"/>
      </w:pPr>
    </w:lvl>
    <w:lvl w:ilvl="2">
      <w:start w:val="1"/>
      <w:numFmt w:val="bullet"/>
      <w:pStyle w:val="ListNumber4Level3"/>
      <w:lvlText w:val="–"/>
      <w:lvlJc w:val="left"/>
      <w:pPr>
        <w:tabs>
          <w:tab w:val="num" w:pos="3328"/>
        </w:tabs>
        <w:ind w:left="3328" w:hanging="709"/>
      </w:pPr>
      <w:rPr>
        <w:rFonts w:ascii="Times New Roman" w:hAnsi="Times New Roman"/>
      </w:rPr>
    </w:lvl>
    <w:lvl w:ilvl="3">
      <w:start w:val="1"/>
      <w:numFmt w:val="bullet"/>
      <w:pStyle w:val="ListNumber4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nsid w:val="722304D8"/>
    <w:multiLevelType w:val="hybridMultilevel"/>
    <w:tmpl w:val="722304D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
    <w:nsid w:val="722304D9"/>
    <w:multiLevelType w:val="hybridMultilevel"/>
    <w:tmpl w:val="722304D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
    <w:nsid w:val="722304DA"/>
    <w:multiLevelType w:val="hybridMultilevel"/>
    <w:tmpl w:val="722304D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
    <w:nsid w:val="722304DB"/>
    <w:multiLevelType w:val="hybridMultilevel"/>
    <w:tmpl w:val="722304D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
    <w:nsid w:val="722304DC"/>
    <w:multiLevelType w:val="hybridMultilevel"/>
    <w:tmpl w:val="722304D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
    <w:nsid w:val="722304DD"/>
    <w:multiLevelType w:val="hybridMultilevel"/>
    <w:tmpl w:val="722304D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
    <w:nsid w:val="722304DE"/>
    <w:multiLevelType w:val="hybridMultilevel"/>
    <w:tmpl w:val="722304D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
    <w:nsid w:val="722304DF"/>
    <w:multiLevelType w:val="hybridMultilevel"/>
    <w:tmpl w:val="722304D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
    <w:nsid w:val="722304E0"/>
    <w:multiLevelType w:val="hybridMultilevel"/>
    <w:tmpl w:val="722304E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
    <w:nsid w:val="722304E1"/>
    <w:multiLevelType w:val="hybridMultilevel"/>
    <w:tmpl w:val="722304E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
    <w:nsid w:val="722304E2"/>
    <w:multiLevelType w:val="hybridMultilevel"/>
    <w:tmpl w:val="722304E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
    <w:nsid w:val="722304E3"/>
    <w:multiLevelType w:val="hybridMultilevel"/>
    <w:tmpl w:val="722304E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
    <w:nsid w:val="722304E4"/>
    <w:multiLevelType w:val="hybridMultilevel"/>
    <w:tmpl w:val="722304E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
    <w:nsid w:val="722304E5"/>
    <w:multiLevelType w:val="hybridMultilevel"/>
    <w:tmpl w:val="722304E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
    <w:nsid w:val="722304E6"/>
    <w:multiLevelType w:val="hybridMultilevel"/>
    <w:tmpl w:val="722304E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
    <w:nsid w:val="722304E7"/>
    <w:multiLevelType w:val="hybridMultilevel"/>
    <w:tmpl w:val="722304E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
    <w:nsid w:val="722304E8"/>
    <w:multiLevelType w:val="hybridMultilevel"/>
    <w:tmpl w:val="722304E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
    <w:nsid w:val="722304E9"/>
    <w:multiLevelType w:val="hybridMultilevel"/>
    <w:tmpl w:val="722304E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
    <w:nsid w:val="722304EA"/>
    <w:multiLevelType w:val="hybridMultilevel"/>
    <w:tmpl w:val="722304E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
    <w:nsid w:val="722304EB"/>
    <w:multiLevelType w:val="hybridMultilevel"/>
    <w:tmpl w:val="722304E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
    <w:nsid w:val="722304EC"/>
    <w:multiLevelType w:val="hybridMultilevel"/>
    <w:tmpl w:val="722304E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
    <w:nsid w:val="722304ED"/>
    <w:multiLevelType w:val="hybridMultilevel"/>
    <w:tmpl w:val="722304E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
    <w:nsid w:val="722304EE"/>
    <w:multiLevelType w:val="hybridMultilevel"/>
    <w:tmpl w:val="722304E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
    <w:nsid w:val="722304EF"/>
    <w:multiLevelType w:val="hybridMultilevel"/>
    <w:tmpl w:val="722304E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
    <w:nsid w:val="722304F0"/>
    <w:multiLevelType w:val="hybridMultilevel"/>
    <w:tmpl w:val="722304F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
    <w:nsid w:val="722304F1"/>
    <w:multiLevelType w:val="hybridMultilevel"/>
    <w:tmpl w:val="722304F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
    <w:nsid w:val="722304F2"/>
    <w:multiLevelType w:val="hybridMultilevel"/>
    <w:tmpl w:val="722304F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
    <w:nsid w:val="722304F3"/>
    <w:multiLevelType w:val="hybridMultilevel"/>
    <w:tmpl w:val="722304F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
    <w:nsid w:val="722304F4"/>
    <w:multiLevelType w:val="hybridMultilevel"/>
    <w:tmpl w:val="722304F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
    <w:nsid w:val="722304F5"/>
    <w:multiLevelType w:val="hybridMultilevel"/>
    <w:tmpl w:val="722304F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
    <w:nsid w:val="722304F6"/>
    <w:multiLevelType w:val="hybridMultilevel"/>
    <w:tmpl w:val="722304F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
    <w:nsid w:val="722304F7"/>
    <w:multiLevelType w:val="hybridMultilevel"/>
    <w:tmpl w:val="722304F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
    <w:nsid w:val="722304F8"/>
    <w:multiLevelType w:val="hybridMultilevel"/>
    <w:tmpl w:val="722304F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
    <w:nsid w:val="722304F9"/>
    <w:multiLevelType w:val="hybridMultilevel"/>
    <w:tmpl w:val="722304F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
    <w:nsid w:val="722304FA"/>
    <w:multiLevelType w:val="hybridMultilevel"/>
    <w:tmpl w:val="722304F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8">
    <w:nsid w:val="722304FB"/>
    <w:multiLevelType w:val="hybridMultilevel"/>
    <w:tmpl w:val="722304F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9">
    <w:nsid w:val="722304FC"/>
    <w:multiLevelType w:val="hybridMultilevel"/>
    <w:tmpl w:val="722304F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0">
    <w:nsid w:val="722304FD"/>
    <w:multiLevelType w:val="hybridMultilevel"/>
    <w:tmpl w:val="722304F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1">
    <w:nsid w:val="722304FE"/>
    <w:multiLevelType w:val="hybridMultilevel"/>
    <w:tmpl w:val="722304F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2">
    <w:nsid w:val="722304FF"/>
    <w:multiLevelType w:val="hybridMultilevel"/>
    <w:tmpl w:val="722304F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3">
    <w:nsid w:val="72230500"/>
    <w:multiLevelType w:val="hybridMultilevel"/>
    <w:tmpl w:val="7223050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4">
    <w:nsid w:val="72230501"/>
    <w:multiLevelType w:val="hybridMultilevel"/>
    <w:tmpl w:val="7223050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5">
    <w:nsid w:val="72230502"/>
    <w:multiLevelType w:val="hybridMultilevel"/>
    <w:tmpl w:val="7223050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6">
    <w:nsid w:val="72230503"/>
    <w:multiLevelType w:val="hybridMultilevel"/>
    <w:tmpl w:val="7223050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7">
    <w:nsid w:val="72230504"/>
    <w:multiLevelType w:val="hybridMultilevel"/>
    <w:tmpl w:val="7223050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8">
    <w:nsid w:val="72230505"/>
    <w:multiLevelType w:val="hybridMultilevel"/>
    <w:tmpl w:val="7223050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9">
    <w:nsid w:val="72230506"/>
    <w:multiLevelType w:val="hybridMultilevel"/>
    <w:tmpl w:val="7223050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0">
    <w:nsid w:val="72230507"/>
    <w:multiLevelType w:val="hybridMultilevel"/>
    <w:tmpl w:val="7223050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1">
    <w:nsid w:val="72230508"/>
    <w:multiLevelType w:val="hybridMultilevel"/>
    <w:tmpl w:val="7223050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2">
    <w:nsid w:val="72230509"/>
    <w:multiLevelType w:val="hybridMultilevel"/>
    <w:tmpl w:val="7223050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3">
    <w:nsid w:val="7223050A"/>
    <w:multiLevelType w:val="hybridMultilevel"/>
    <w:tmpl w:val="7223050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4">
    <w:nsid w:val="7223050B"/>
    <w:multiLevelType w:val="hybridMultilevel"/>
    <w:tmpl w:val="7223050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5">
    <w:nsid w:val="7223050C"/>
    <w:multiLevelType w:val="hybridMultilevel"/>
    <w:tmpl w:val="7223050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6">
    <w:nsid w:val="7223050D"/>
    <w:multiLevelType w:val="hybridMultilevel"/>
    <w:tmpl w:val="7223050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7">
    <w:nsid w:val="7223050E"/>
    <w:multiLevelType w:val="hybridMultilevel"/>
    <w:tmpl w:val="7223050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8">
    <w:nsid w:val="7223050F"/>
    <w:multiLevelType w:val="hybridMultilevel"/>
    <w:tmpl w:val="7223050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9">
    <w:nsid w:val="72230510"/>
    <w:multiLevelType w:val="hybridMultilevel"/>
    <w:tmpl w:val="7223051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0">
    <w:nsid w:val="72230511"/>
    <w:multiLevelType w:val="hybridMultilevel"/>
    <w:tmpl w:val="7223051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1">
    <w:nsid w:val="72230512"/>
    <w:multiLevelType w:val="hybridMultilevel"/>
    <w:tmpl w:val="7223051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2">
    <w:nsid w:val="72230513"/>
    <w:multiLevelType w:val="hybridMultilevel"/>
    <w:tmpl w:val="7223051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3">
    <w:nsid w:val="72230514"/>
    <w:multiLevelType w:val="hybridMultilevel"/>
    <w:tmpl w:val="7223051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4">
    <w:nsid w:val="72230515"/>
    <w:multiLevelType w:val="hybridMultilevel"/>
    <w:tmpl w:val="7223051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5">
    <w:nsid w:val="72230516"/>
    <w:multiLevelType w:val="hybridMultilevel"/>
    <w:tmpl w:val="7223051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6">
    <w:nsid w:val="72230517"/>
    <w:multiLevelType w:val="hybridMultilevel"/>
    <w:tmpl w:val="7223051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7">
    <w:nsid w:val="72230518"/>
    <w:multiLevelType w:val="hybridMultilevel"/>
    <w:tmpl w:val="7223051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8">
    <w:nsid w:val="72230519"/>
    <w:multiLevelType w:val="hybridMultilevel"/>
    <w:tmpl w:val="7223051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9">
    <w:nsid w:val="7223051A"/>
    <w:multiLevelType w:val="hybridMultilevel"/>
    <w:tmpl w:val="7223051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0">
    <w:nsid w:val="7223051B"/>
    <w:multiLevelType w:val="hybridMultilevel"/>
    <w:tmpl w:val="7223051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1">
    <w:nsid w:val="7223051C"/>
    <w:multiLevelType w:val="hybridMultilevel"/>
    <w:tmpl w:val="7223051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2">
    <w:nsid w:val="7223051D"/>
    <w:multiLevelType w:val="hybridMultilevel"/>
    <w:tmpl w:val="7223051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3">
    <w:nsid w:val="7223051E"/>
    <w:multiLevelType w:val="hybridMultilevel"/>
    <w:tmpl w:val="7223051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4">
    <w:nsid w:val="7223051F"/>
    <w:multiLevelType w:val="hybridMultilevel"/>
    <w:tmpl w:val="7223051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5">
    <w:nsid w:val="72230520"/>
    <w:multiLevelType w:val="hybridMultilevel"/>
    <w:tmpl w:val="7223052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6">
    <w:nsid w:val="72230521"/>
    <w:multiLevelType w:val="hybridMultilevel"/>
    <w:tmpl w:val="7223052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7">
    <w:nsid w:val="72230522"/>
    <w:multiLevelType w:val="hybridMultilevel"/>
    <w:tmpl w:val="7223052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8">
    <w:nsid w:val="72230523"/>
    <w:multiLevelType w:val="hybridMultilevel"/>
    <w:tmpl w:val="7223052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9">
    <w:nsid w:val="72230524"/>
    <w:multiLevelType w:val="hybridMultilevel"/>
    <w:tmpl w:val="7223052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0">
    <w:nsid w:val="72230525"/>
    <w:multiLevelType w:val="hybridMultilevel"/>
    <w:tmpl w:val="7223052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1">
    <w:nsid w:val="72230526"/>
    <w:multiLevelType w:val="hybridMultilevel"/>
    <w:tmpl w:val="7223052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2">
    <w:nsid w:val="72230527"/>
    <w:multiLevelType w:val="hybridMultilevel"/>
    <w:tmpl w:val="7223052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3">
    <w:nsid w:val="72230528"/>
    <w:multiLevelType w:val="hybridMultilevel"/>
    <w:tmpl w:val="7223052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4">
    <w:nsid w:val="72230529"/>
    <w:multiLevelType w:val="hybridMultilevel"/>
    <w:tmpl w:val="7223052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5">
    <w:nsid w:val="7223052A"/>
    <w:multiLevelType w:val="hybridMultilevel"/>
    <w:tmpl w:val="7223052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6">
    <w:nsid w:val="7223052B"/>
    <w:multiLevelType w:val="hybridMultilevel"/>
    <w:tmpl w:val="7223052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7">
    <w:nsid w:val="7223052C"/>
    <w:multiLevelType w:val="hybridMultilevel"/>
    <w:tmpl w:val="7223052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8">
    <w:nsid w:val="7223052D"/>
    <w:multiLevelType w:val="hybridMultilevel"/>
    <w:tmpl w:val="7223052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9">
    <w:nsid w:val="7223052E"/>
    <w:multiLevelType w:val="hybridMultilevel"/>
    <w:tmpl w:val="7223052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0">
    <w:nsid w:val="7223052F"/>
    <w:multiLevelType w:val="hybridMultilevel"/>
    <w:tmpl w:val="7223052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1">
    <w:nsid w:val="72230530"/>
    <w:multiLevelType w:val="hybridMultilevel"/>
    <w:tmpl w:val="7223053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2">
    <w:nsid w:val="72230531"/>
    <w:multiLevelType w:val="hybridMultilevel"/>
    <w:tmpl w:val="7223053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3">
    <w:nsid w:val="72230532"/>
    <w:multiLevelType w:val="hybridMultilevel"/>
    <w:tmpl w:val="7223053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4">
    <w:nsid w:val="72230533"/>
    <w:multiLevelType w:val="hybridMultilevel"/>
    <w:tmpl w:val="7223053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5">
    <w:nsid w:val="72230534"/>
    <w:multiLevelType w:val="multilevel"/>
    <w:tmpl w:val="7223053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6">
    <w:nsid w:val="72230535"/>
    <w:multiLevelType w:val="multilevel"/>
    <w:tmpl w:val="7223053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7">
    <w:nsid w:val="72230536"/>
    <w:multiLevelType w:val="multilevel"/>
    <w:tmpl w:val="7223053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8">
    <w:nsid w:val="72230537"/>
    <w:multiLevelType w:val="multilevel"/>
    <w:tmpl w:val="7223053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9">
    <w:nsid w:val="72230538"/>
    <w:multiLevelType w:val="hybridMultilevel"/>
    <w:tmpl w:val="7223053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0">
    <w:nsid w:val="72230539"/>
    <w:multiLevelType w:val="hybridMultilevel"/>
    <w:tmpl w:val="7223053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1">
    <w:nsid w:val="7223053A"/>
    <w:multiLevelType w:val="hybridMultilevel"/>
    <w:tmpl w:val="7223053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2">
    <w:nsid w:val="7223053B"/>
    <w:multiLevelType w:val="multilevel"/>
    <w:tmpl w:val="7223053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3">
    <w:nsid w:val="7223053C"/>
    <w:multiLevelType w:val="multilevel"/>
    <w:tmpl w:val="7223053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4">
    <w:nsid w:val="7223053D"/>
    <w:multiLevelType w:val="multilevel"/>
    <w:tmpl w:val="7223053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5">
    <w:nsid w:val="7223053E"/>
    <w:multiLevelType w:val="hybridMultilevel"/>
    <w:tmpl w:val="7223053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6">
    <w:nsid w:val="7223053F"/>
    <w:multiLevelType w:val="hybridMultilevel"/>
    <w:tmpl w:val="7223053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7">
    <w:nsid w:val="72230540"/>
    <w:multiLevelType w:val="hybridMultilevel"/>
    <w:tmpl w:val="7223054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ind w:left="2160" w:hanging="360"/>
      </w:pPr>
      <w:rPr>
        <w:rFonts w:ascii="Symbol" w:hAnsi="Symbol"/>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8">
    <w:nsid w:val="72230541"/>
    <w:multiLevelType w:val="hybridMultilevel"/>
    <w:tmpl w:val="7223054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9">
    <w:nsid w:val="72230542"/>
    <w:multiLevelType w:val="hybridMultilevel"/>
    <w:tmpl w:val="7223054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0">
    <w:nsid w:val="72230543"/>
    <w:multiLevelType w:val="multilevel"/>
    <w:tmpl w:val="7223054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1">
    <w:nsid w:val="72230544"/>
    <w:multiLevelType w:val="hybridMultilevel"/>
    <w:tmpl w:val="7223054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2">
    <w:nsid w:val="72230545"/>
    <w:multiLevelType w:val="multilevel"/>
    <w:tmpl w:val="7223054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3">
    <w:nsid w:val="72230546"/>
    <w:multiLevelType w:val="hybridMultilevel"/>
    <w:tmpl w:val="7223054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4">
    <w:nsid w:val="72230547"/>
    <w:multiLevelType w:val="multilevel"/>
    <w:tmpl w:val="7223054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5">
    <w:nsid w:val="72230548"/>
    <w:multiLevelType w:val="hybridMultilevel"/>
    <w:tmpl w:val="7223054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6">
    <w:nsid w:val="72230549"/>
    <w:multiLevelType w:val="multilevel"/>
    <w:tmpl w:val="7223054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7">
    <w:nsid w:val="7223054A"/>
    <w:multiLevelType w:val="hybridMultilevel"/>
    <w:tmpl w:val="7223054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8">
    <w:nsid w:val="7223054B"/>
    <w:multiLevelType w:val="hybridMultilevel"/>
    <w:tmpl w:val="7223054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9">
    <w:nsid w:val="7223054C"/>
    <w:multiLevelType w:val="hybridMultilevel"/>
    <w:tmpl w:val="7223054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0">
    <w:nsid w:val="7223054D"/>
    <w:multiLevelType w:val="hybridMultilevel"/>
    <w:tmpl w:val="7223054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1">
    <w:nsid w:val="7223054E"/>
    <w:multiLevelType w:val="multilevel"/>
    <w:tmpl w:val="7223054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2">
    <w:nsid w:val="7223054F"/>
    <w:multiLevelType w:val="multilevel"/>
    <w:tmpl w:val="7223054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3">
    <w:nsid w:val="72230550"/>
    <w:multiLevelType w:val="multilevel"/>
    <w:tmpl w:val="7223055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4">
    <w:nsid w:val="72230551"/>
    <w:multiLevelType w:val="hybridMultilevel"/>
    <w:tmpl w:val="7223055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5">
    <w:nsid w:val="72230552"/>
    <w:multiLevelType w:val="hybridMultilevel"/>
    <w:tmpl w:val="7223055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6">
    <w:nsid w:val="72230553"/>
    <w:multiLevelType w:val="hybridMultilevel"/>
    <w:tmpl w:val="7223055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7">
    <w:nsid w:val="72230554"/>
    <w:multiLevelType w:val="hybridMultilevel"/>
    <w:tmpl w:val="7223055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8">
    <w:nsid w:val="72230555"/>
    <w:multiLevelType w:val="multilevel"/>
    <w:tmpl w:val="7223055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9">
    <w:nsid w:val="72230556"/>
    <w:multiLevelType w:val="hybridMultilevel"/>
    <w:tmpl w:val="7223055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0">
    <w:nsid w:val="72230557"/>
    <w:multiLevelType w:val="hybridMultilevel"/>
    <w:tmpl w:val="7223055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1">
    <w:nsid w:val="72230558"/>
    <w:multiLevelType w:val="hybridMultilevel"/>
    <w:tmpl w:val="7223055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2">
    <w:nsid w:val="72230559"/>
    <w:multiLevelType w:val="hybridMultilevel"/>
    <w:tmpl w:val="7223055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3">
    <w:nsid w:val="7223055A"/>
    <w:multiLevelType w:val="hybridMultilevel"/>
    <w:tmpl w:val="7223055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4">
    <w:nsid w:val="7223055B"/>
    <w:multiLevelType w:val="hybridMultilevel"/>
    <w:tmpl w:val="7223055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5">
    <w:nsid w:val="7223055C"/>
    <w:multiLevelType w:val="hybridMultilevel"/>
    <w:tmpl w:val="7223055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6">
    <w:nsid w:val="7223055D"/>
    <w:multiLevelType w:val="hybridMultilevel"/>
    <w:tmpl w:val="7223055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7">
    <w:nsid w:val="7223055E"/>
    <w:multiLevelType w:val="hybridMultilevel"/>
    <w:tmpl w:val="7223055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8">
    <w:nsid w:val="7223055F"/>
    <w:multiLevelType w:val="hybridMultilevel"/>
    <w:tmpl w:val="7223055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9">
    <w:nsid w:val="72230560"/>
    <w:multiLevelType w:val="multilevel"/>
    <w:tmpl w:val="7223056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0">
    <w:nsid w:val="72230561"/>
    <w:multiLevelType w:val="hybridMultilevel"/>
    <w:tmpl w:val="7223056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1">
    <w:nsid w:val="72230562"/>
    <w:multiLevelType w:val="hybridMultilevel"/>
    <w:tmpl w:val="7223056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2">
    <w:nsid w:val="72230563"/>
    <w:multiLevelType w:val="hybridMultilevel"/>
    <w:tmpl w:val="7223056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3">
    <w:nsid w:val="72230564"/>
    <w:multiLevelType w:val="hybridMultilevel"/>
    <w:tmpl w:val="7223056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4">
    <w:nsid w:val="72230565"/>
    <w:multiLevelType w:val="hybridMultilevel"/>
    <w:tmpl w:val="7223056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5">
    <w:nsid w:val="72230566"/>
    <w:multiLevelType w:val="hybridMultilevel"/>
    <w:tmpl w:val="7223056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6">
    <w:nsid w:val="72230567"/>
    <w:multiLevelType w:val="multilevel"/>
    <w:tmpl w:val="7223056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7">
    <w:nsid w:val="72230568"/>
    <w:multiLevelType w:val="hybridMultilevel"/>
    <w:tmpl w:val="7223056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8">
    <w:nsid w:val="72230569"/>
    <w:multiLevelType w:val="hybridMultilevel"/>
    <w:tmpl w:val="7223056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9">
    <w:nsid w:val="7223056A"/>
    <w:multiLevelType w:val="hybridMultilevel"/>
    <w:tmpl w:val="7223056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0">
    <w:nsid w:val="7223056B"/>
    <w:multiLevelType w:val="hybridMultilevel"/>
    <w:tmpl w:val="7223056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1">
    <w:nsid w:val="7223056C"/>
    <w:multiLevelType w:val="hybridMultilevel"/>
    <w:tmpl w:val="7223056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2">
    <w:nsid w:val="7223056D"/>
    <w:multiLevelType w:val="hybridMultilevel"/>
    <w:tmpl w:val="7223056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3">
    <w:nsid w:val="7223056E"/>
    <w:multiLevelType w:val="hybridMultilevel"/>
    <w:tmpl w:val="7223056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4">
    <w:nsid w:val="7223056F"/>
    <w:multiLevelType w:val="hybridMultilevel"/>
    <w:tmpl w:val="7223056F"/>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5">
    <w:nsid w:val="72230570"/>
    <w:multiLevelType w:val="multilevel"/>
    <w:tmpl w:val="7223057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6">
    <w:nsid w:val="72230571"/>
    <w:multiLevelType w:val="multilevel"/>
    <w:tmpl w:val="7223057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7">
    <w:nsid w:val="72230572"/>
    <w:multiLevelType w:val="hybridMultilevel"/>
    <w:tmpl w:val="7223057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8">
    <w:nsid w:val="72230573"/>
    <w:multiLevelType w:val="multilevel"/>
    <w:tmpl w:val="7223057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9">
    <w:nsid w:val="72230574"/>
    <w:multiLevelType w:val="multilevel"/>
    <w:tmpl w:val="7223057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0">
    <w:nsid w:val="72230575"/>
    <w:multiLevelType w:val="hybridMultilevel"/>
    <w:tmpl w:val="7223057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1">
    <w:nsid w:val="72230576"/>
    <w:multiLevelType w:val="hybridMultilevel"/>
    <w:tmpl w:val="7223057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2">
    <w:nsid w:val="72230577"/>
    <w:multiLevelType w:val="multilevel"/>
    <w:tmpl w:val="7223057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3">
    <w:nsid w:val="72230578"/>
    <w:multiLevelType w:val="hybridMultilevel"/>
    <w:tmpl w:val="7223057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4">
    <w:nsid w:val="72230579"/>
    <w:multiLevelType w:val="multilevel"/>
    <w:tmpl w:val="7223057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5">
    <w:nsid w:val="7223057A"/>
    <w:multiLevelType w:val="multilevel"/>
    <w:tmpl w:val="7223057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6">
    <w:nsid w:val="7223057B"/>
    <w:multiLevelType w:val="multilevel"/>
    <w:tmpl w:val="7223057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7">
    <w:nsid w:val="7223057C"/>
    <w:multiLevelType w:val="hybridMultilevel"/>
    <w:tmpl w:val="7223057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8">
    <w:nsid w:val="7223057D"/>
    <w:multiLevelType w:val="hybridMultilevel"/>
    <w:tmpl w:val="7223057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9">
    <w:nsid w:val="7223057E"/>
    <w:multiLevelType w:val="multilevel"/>
    <w:tmpl w:val="7223057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0">
    <w:nsid w:val="7223057F"/>
    <w:multiLevelType w:val="multilevel"/>
    <w:tmpl w:val="7223057F"/>
    <w:lvl w:ilvl="0">
      <w:start w:val="4"/>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1">
    <w:nsid w:val="72230580"/>
    <w:multiLevelType w:val="multilevel"/>
    <w:tmpl w:val="7223058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2">
    <w:nsid w:val="72230581"/>
    <w:multiLevelType w:val="multilevel"/>
    <w:tmpl w:val="72230581"/>
    <w:lvl w:ilvl="0">
      <w:start w:val="6"/>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3">
    <w:nsid w:val="72230582"/>
    <w:multiLevelType w:val="multilevel"/>
    <w:tmpl w:val="7223058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4">
    <w:nsid w:val="72230583"/>
    <w:multiLevelType w:val="hybridMultilevel"/>
    <w:tmpl w:val="7223058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5">
    <w:nsid w:val="72230584"/>
    <w:multiLevelType w:val="hybridMultilevel"/>
    <w:tmpl w:val="7223058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6">
    <w:nsid w:val="72230585"/>
    <w:multiLevelType w:val="hybridMultilevel"/>
    <w:tmpl w:val="7223058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7">
    <w:nsid w:val="72230586"/>
    <w:multiLevelType w:val="multilevel"/>
    <w:tmpl w:val="7223058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8">
    <w:nsid w:val="72230587"/>
    <w:multiLevelType w:val="hybridMultilevel"/>
    <w:tmpl w:val="7223058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9">
    <w:nsid w:val="72230588"/>
    <w:multiLevelType w:val="hybridMultilevel"/>
    <w:tmpl w:val="7223058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0">
    <w:nsid w:val="72230589"/>
    <w:multiLevelType w:val="multilevel"/>
    <w:tmpl w:val="7223058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1">
    <w:nsid w:val="7223058A"/>
    <w:multiLevelType w:val="multilevel"/>
    <w:tmpl w:val="7223058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2">
    <w:nsid w:val="7223058B"/>
    <w:multiLevelType w:val="hybridMultilevel"/>
    <w:tmpl w:val="7223058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3">
    <w:nsid w:val="7223058C"/>
    <w:multiLevelType w:val="hybridMultilevel"/>
    <w:tmpl w:val="7223058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4">
    <w:nsid w:val="7223058D"/>
    <w:multiLevelType w:val="hybridMultilevel"/>
    <w:tmpl w:val="7223058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5">
    <w:nsid w:val="7223058E"/>
    <w:multiLevelType w:val="hybridMultilevel"/>
    <w:tmpl w:val="7223058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6">
    <w:nsid w:val="7223058F"/>
    <w:multiLevelType w:val="hybridMultilevel"/>
    <w:tmpl w:val="7223058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7">
    <w:nsid w:val="72230590"/>
    <w:multiLevelType w:val="hybridMultilevel"/>
    <w:tmpl w:val="7223059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8">
    <w:nsid w:val="72230591"/>
    <w:multiLevelType w:val="multilevel"/>
    <w:tmpl w:val="7223059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9">
    <w:nsid w:val="72230592"/>
    <w:multiLevelType w:val="hybridMultilevel"/>
    <w:tmpl w:val="7223059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0">
    <w:nsid w:val="72230593"/>
    <w:multiLevelType w:val="hybridMultilevel"/>
    <w:tmpl w:val="7223059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1">
    <w:nsid w:val="72230594"/>
    <w:multiLevelType w:val="hybridMultilevel"/>
    <w:tmpl w:val="7223059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2">
    <w:nsid w:val="72230595"/>
    <w:multiLevelType w:val="hybridMultilevel"/>
    <w:tmpl w:val="7223059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3">
    <w:nsid w:val="72230596"/>
    <w:multiLevelType w:val="hybridMultilevel"/>
    <w:tmpl w:val="7223059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4">
    <w:nsid w:val="72230597"/>
    <w:multiLevelType w:val="hybridMultilevel"/>
    <w:tmpl w:val="7223059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5">
    <w:nsid w:val="72230598"/>
    <w:multiLevelType w:val="hybridMultilevel"/>
    <w:tmpl w:val="7223059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6">
    <w:nsid w:val="72230599"/>
    <w:multiLevelType w:val="hybridMultilevel"/>
    <w:tmpl w:val="7223059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7">
    <w:nsid w:val="7223059A"/>
    <w:multiLevelType w:val="hybridMultilevel"/>
    <w:tmpl w:val="7223059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8">
    <w:nsid w:val="7223059B"/>
    <w:multiLevelType w:val="hybridMultilevel"/>
    <w:tmpl w:val="7223059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9">
    <w:nsid w:val="7223059C"/>
    <w:multiLevelType w:val="multilevel"/>
    <w:tmpl w:val="7223059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20">
    <w:nsid w:val="7223059D"/>
    <w:multiLevelType w:val="hybridMultilevel"/>
    <w:tmpl w:val="7223059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1">
    <w:nsid w:val="7223059E"/>
    <w:multiLevelType w:val="hybridMultilevel"/>
    <w:tmpl w:val="7223059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2">
    <w:nsid w:val="7223059F"/>
    <w:multiLevelType w:val="hybridMultilevel"/>
    <w:tmpl w:val="7223059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3">
    <w:nsid w:val="722305A0"/>
    <w:multiLevelType w:val="hybridMultilevel"/>
    <w:tmpl w:val="722305A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4">
    <w:nsid w:val="722305A1"/>
    <w:multiLevelType w:val="hybridMultilevel"/>
    <w:tmpl w:val="722305A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5">
    <w:nsid w:val="722305A2"/>
    <w:multiLevelType w:val="hybridMultilevel"/>
    <w:tmpl w:val="722305A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6">
    <w:nsid w:val="722305A3"/>
    <w:multiLevelType w:val="hybridMultilevel"/>
    <w:tmpl w:val="722305A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7">
    <w:nsid w:val="722305A4"/>
    <w:multiLevelType w:val="hybridMultilevel"/>
    <w:tmpl w:val="722305A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8">
    <w:nsid w:val="722305A5"/>
    <w:multiLevelType w:val="hybridMultilevel"/>
    <w:tmpl w:val="722305A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9">
    <w:nsid w:val="722305A6"/>
    <w:multiLevelType w:val="hybridMultilevel"/>
    <w:tmpl w:val="722305A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0">
    <w:nsid w:val="722305A7"/>
    <w:multiLevelType w:val="hybridMultilevel"/>
    <w:tmpl w:val="722305A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1">
    <w:nsid w:val="722305A8"/>
    <w:multiLevelType w:val="hybridMultilevel"/>
    <w:tmpl w:val="722305A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2">
    <w:nsid w:val="722305A9"/>
    <w:multiLevelType w:val="hybridMultilevel"/>
    <w:tmpl w:val="722305A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3">
    <w:nsid w:val="722305AA"/>
    <w:multiLevelType w:val="hybridMultilevel"/>
    <w:tmpl w:val="722305A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4">
    <w:nsid w:val="722305AB"/>
    <w:multiLevelType w:val="hybridMultilevel"/>
    <w:tmpl w:val="722305A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5">
    <w:nsid w:val="722305AC"/>
    <w:multiLevelType w:val="hybridMultilevel"/>
    <w:tmpl w:val="722305A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6">
    <w:nsid w:val="722305AD"/>
    <w:multiLevelType w:val="multilevel"/>
    <w:tmpl w:val="722305A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37">
    <w:nsid w:val="722305AE"/>
    <w:multiLevelType w:val="hybridMultilevel"/>
    <w:tmpl w:val="722305A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8">
    <w:nsid w:val="722305AF"/>
    <w:multiLevelType w:val="hybridMultilevel"/>
    <w:tmpl w:val="722305A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9">
    <w:nsid w:val="722305B0"/>
    <w:multiLevelType w:val="hybridMultilevel"/>
    <w:tmpl w:val="722305B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0">
    <w:nsid w:val="722305B1"/>
    <w:multiLevelType w:val="hybridMultilevel"/>
    <w:tmpl w:val="722305B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1">
    <w:nsid w:val="722305B2"/>
    <w:multiLevelType w:val="hybridMultilevel"/>
    <w:tmpl w:val="722305B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2">
    <w:nsid w:val="722305B3"/>
    <w:multiLevelType w:val="hybridMultilevel"/>
    <w:tmpl w:val="722305B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3">
    <w:nsid w:val="722305B4"/>
    <w:multiLevelType w:val="hybridMultilevel"/>
    <w:tmpl w:val="722305B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4">
    <w:nsid w:val="722305B5"/>
    <w:multiLevelType w:val="hybridMultilevel"/>
    <w:tmpl w:val="722305B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5">
    <w:nsid w:val="722305B6"/>
    <w:multiLevelType w:val="hybridMultilevel"/>
    <w:tmpl w:val="722305B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6">
    <w:nsid w:val="722305B7"/>
    <w:multiLevelType w:val="hybridMultilevel"/>
    <w:tmpl w:val="722305B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7">
    <w:nsid w:val="722305B8"/>
    <w:multiLevelType w:val="hybridMultilevel"/>
    <w:tmpl w:val="722305B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8">
    <w:nsid w:val="722305B9"/>
    <w:multiLevelType w:val="hybridMultilevel"/>
    <w:tmpl w:val="722305B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9">
    <w:nsid w:val="722305BA"/>
    <w:multiLevelType w:val="hybridMultilevel"/>
    <w:tmpl w:val="722305B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0">
    <w:nsid w:val="722305BB"/>
    <w:multiLevelType w:val="hybridMultilevel"/>
    <w:tmpl w:val="722305B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1">
    <w:nsid w:val="722305BC"/>
    <w:multiLevelType w:val="hybridMultilevel"/>
    <w:tmpl w:val="722305B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2">
    <w:nsid w:val="722305BD"/>
    <w:multiLevelType w:val="hybridMultilevel"/>
    <w:tmpl w:val="722305B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3">
    <w:nsid w:val="722305BE"/>
    <w:multiLevelType w:val="hybridMultilevel"/>
    <w:tmpl w:val="722305B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4">
    <w:nsid w:val="722305BF"/>
    <w:multiLevelType w:val="hybridMultilevel"/>
    <w:tmpl w:val="722305B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5">
    <w:nsid w:val="722305C0"/>
    <w:multiLevelType w:val="hybridMultilevel"/>
    <w:tmpl w:val="722305C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6">
    <w:nsid w:val="722305C1"/>
    <w:multiLevelType w:val="hybridMultilevel"/>
    <w:tmpl w:val="722305C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7">
    <w:nsid w:val="722305C2"/>
    <w:multiLevelType w:val="hybridMultilevel"/>
    <w:tmpl w:val="722305C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8">
    <w:nsid w:val="722305C3"/>
    <w:multiLevelType w:val="hybridMultilevel"/>
    <w:tmpl w:val="722305C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9">
    <w:nsid w:val="722305C4"/>
    <w:multiLevelType w:val="hybridMultilevel"/>
    <w:tmpl w:val="722305C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0">
    <w:nsid w:val="722305C5"/>
    <w:multiLevelType w:val="hybridMultilevel"/>
    <w:tmpl w:val="722305C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1">
    <w:nsid w:val="722305C6"/>
    <w:multiLevelType w:val="hybridMultilevel"/>
    <w:tmpl w:val="722305C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2">
    <w:nsid w:val="722305C7"/>
    <w:multiLevelType w:val="hybridMultilevel"/>
    <w:tmpl w:val="722305C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3">
    <w:nsid w:val="722305C8"/>
    <w:multiLevelType w:val="hybridMultilevel"/>
    <w:tmpl w:val="722305C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4">
    <w:nsid w:val="722305C9"/>
    <w:multiLevelType w:val="hybridMultilevel"/>
    <w:tmpl w:val="722305C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5">
    <w:nsid w:val="722305CA"/>
    <w:multiLevelType w:val="hybridMultilevel"/>
    <w:tmpl w:val="722305C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6">
    <w:nsid w:val="722305CB"/>
    <w:multiLevelType w:val="hybridMultilevel"/>
    <w:tmpl w:val="722305C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7">
    <w:nsid w:val="722305CC"/>
    <w:multiLevelType w:val="hybridMultilevel"/>
    <w:tmpl w:val="722305C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8">
    <w:nsid w:val="722305CD"/>
    <w:multiLevelType w:val="hybridMultilevel"/>
    <w:tmpl w:val="722305C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9">
    <w:nsid w:val="722305CE"/>
    <w:multiLevelType w:val="multilevel"/>
    <w:tmpl w:val="722305C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0">
    <w:nsid w:val="722305CF"/>
    <w:multiLevelType w:val="hybridMultilevel"/>
    <w:tmpl w:val="722305C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1">
    <w:nsid w:val="722305D0"/>
    <w:multiLevelType w:val="hybridMultilevel"/>
    <w:tmpl w:val="722305D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2">
    <w:nsid w:val="722305D1"/>
    <w:multiLevelType w:val="hybridMultilevel"/>
    <w:tmpl w:val="722305D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3">
    <w:nsid w:val="722305D2"/>
    <w:multiLevelType w:val="hybridMultilevel"/>
    <w:tmpl w:val="722305D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4">
    <w:nsid w:val="722305D3"/>
    <w:multiLevelType w:val="hybridMultilevel"/>
    <w:tmpl w:val="722305D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5">
    <w:nsid w:val="722305D4"/>
    <w:multiLevelType w:val="multilevel"/>
    <w:tmpl w:val="722305D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6">
    <w:nsid w:val="722305D5"/>
    <w:multiLevelType w:val="hybridMultilevel"/>
    <w:tmpl w:val="722305D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7">
    <w:nsid w:val="722305D6"/>
    <w:multiLevelType w:val="hybridMultilevel"/>
    <w:tmpl w:val="722305D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8">
    <w:nsid w:val="722305D7"/>
    <w:multiLevelType w:val="hybridMultilevel"/>
    <w:tmpl w:val="722305D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9">
    <w:nsid w:val="722305D8"/>
    <w:multiLevelType w:val="multilevel"/>
    <w:tmpl w:val="722305D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0">
    <w:nsid w:val="722305D9"/>
    <w:multiLevelType w:val="hybridMultilevel"/>
    <w:tmpl w:val="722305D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1">
    <w:nsid w:val="722305DA"/>
    <w:multiLevelType w:val="multilevel"/>
    <w:tmpl w:val="722305D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2">
    <w:nsid w:val="722305DB"/>
    <w:multiLevelType w:val="hybridMultilevel"/>
    <w:tmpl w:val="722305D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3">
    <w:nsid w:val="722305DC"/>
    <w:multiLevelType w:val="hybridMultilevel"/>
    <w:tmpl w:val="722305D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4">
    <w:nsid w:val="722305DD"/>
    <w:multiLevelType w:val="hybridMultilevel"/>
    <w:tmpl w:val="722305D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5">
    <w:nsid w:val="722305DE"/>
    <w:multiLevelType w:val="hybridMultilevel"/>
    <w:tmpl w:val="722305D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6">
    <w:nsid w:val="722305DF"/>
    <w:multiLevelType w:val="hybridMultilevel"/>
    <w:tmpl w:val="722305D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7">
    <w:nsid w:val="722305E0"/>
    <w:multiLevelType w:val="hybridMultilevel"/>
    <w:tmpl w:val="722305E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8">
    <w:nsid w:val="722305E1"/>
    <w:multiLevelType w:val="hybridMultilevel"/>
    <w:tmpl w:val="722305E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9">
    <w:nsid w:val="722305E2"/>
    <w:multiLevelType w:val="hybridMultilevel"/>
    <w:tmpl w:val="722305E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0">
    <w:nsid w:val="722305E3"/>
    <w:multiLevelType w:val="multilevel"/>
    <w:tmpl w:val="722305E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1">
    <w:nsid w:val="722305E4"/>
    <w:multiLevelType w:val="hybridMultilevel"/>
    <w:tmpl w:val="722305E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2">
    <w:nsid w:val="722305E5"/>
    <w:multiLevelType w:val="multilevel"/>
    <w:tmpl w:val="722305E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3">
    <w:nsid w:val="722305E6"/>
    <w:multiLevelType w:val="hybridMultilevel"/>
    <w:tmpl w:val="722305E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4">
    <w:nsid w:val="722305E7"/>
    <w:multiLevelType w:val="hybridMultilevel"/>
    <w:tmpl w:val="722305E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5">
    <w:nsid w:val="722305E8"/>
    <w:multiLevelType w:val="hybridMultilevel"/>
    <w:tmpl w:val="722305E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6">
    <w:nsid w:val="722305E9"/>
    <w:multiLevelType w:val="hybridMultilevel"/>
    <w:tmpl w:val="722305E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7">
    <w:nsid w:val="722305EA"/>
    <w:multiLevelType w:val="hybridMultilevel"/>
    <w:tmpl w:val="722305E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8">
    <w:nsid w:val="722305EB"/>
    <w:multiLevelType w:val="hybridMultilevel"/>
    <w:tmpl w:val="722305E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9">
    <w:nsid w:val="722305EC"/>
    <w:multiLevelType w:val="hybridMultilevel"/>
    <w:tmpl w:val="722305E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0">
    <w:nsid w:val="722305ED"/>
    <w:multiLevelType w:val="hybridMultilevel"/>
    <w:tmpl w:val="722305E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1">
    <w:nsid w:val="722305EE"/>
    <w:multiLevelType w:val="hybridMultilevel"/>
    <w:tmpl w:val="722305E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2">
    <w:nsid w:val="722305EF"/>
    <w:multiLevelType w:val="multilevel"/>
    <w:tmpl w:val="722305E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3">
    <w:nsid w:val="722305F0"/>
    <w:multiLevelType w:val="hybridMultilevel"/>
    <w:tmpl w:val="722305F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4">
    <w:nsid w:val="722305F1"/>
    <w:multiLevelType w:val="hybridMultilevel"/>
    <w:tmpl w:val="722305F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5">
    <w:nsid w:val="722305F2"/>
    <w:multiLevelType w:val="hybridMultilevel"/>
    <w:tmpl w:val="722305F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6">
    <w:nsid w:val="722305F3"/>
    <w:multiLevelType w:val="hybridMultilevel"/>
    <w:tmpl w:val="722305F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7">
    <w:nsid w:val="722305F4"/>
    <w:multiLevelType w:val="multilevel"/>
    <w:tmpl w:val="722305F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8">
    <w:nsid w:val="722305F5"/>
    <w:multiLevelType w:val="hybridMultilevel"/>
    <w:tmpl w:val="722305F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9">
    <w:nsid w:val="722305F6"/>
    <w:multiLevelType w:val="hybridMultilevel"/>
    <w:tmpl w:val="722305F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0">
    <w:nsid w:val="722305F7"/>
    <w:multiLevelType w:val="hybridMultilevel"/>
    <w:tmpl w:val="722305F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1">
    <w:nsid w:val="722305F8"/>
    <w:multiLevelType w:val="hybridMultilevel"/>
    <w:tmpl w:val="722305F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2">
    <w:nsid w:val="722305F9"/>
    <w:multiLevelType w:val="multilevel"/>
    <w:tmpl w:val="722305F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3">
    <w:nsid w:val="722305FA"/>
    <w:multiLevelType w:val="multilevel"/>
    <w:tmpl w:val="722305F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4">
    <w:nsid w:val="722305FB"/>
    <w:multiLevelType w:val="hybridMultilevel"/>
    <w:tmpl w:val="722305F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5">
    <w:nsid w:val="722305FC"/>
    <w:multiLevelType w:val="multilevel"/>
    <w:tmpl w:val="722305F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6">
    <w:nsid w:val="722305FD"/>
    <w:multiLevelType w:val="multilevel"/>
    <w:tmpl w:val="722305F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7">
    <w:nsid w:val="722305FE"/>
    <w:multiLevelType w:val="hybridMultilevel"/>
    <w:tmpl w:val="722305F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8">
    <w:nsid w:val="722305FF"/>
    <w:multiLevelType w:val="hybridMultilevel"/>
    <w:tmpl w:val="722305F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9">
    <w:nsid w:val="72230600"/>
    <w:multiLevelType w:val="hybridMultilevel"/>
    <w:tmpl w:val="7223060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0">
    <w:nsid w:val="72230601"/>
    <w:multiLevelType w:val="hybridMultilevel"/>
    <w:tmpl w:val="7223060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1">
    <w:nsid w:val="72230602"/>
    <w:multiLevelType w:val="hybridMultilevel"/>
    <w:tmpl w:val="7223060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2">
    <w:nsid w:val="72230603"/>
    <w:multiLevelType w:val="hybridMultilevel"/>
    <w:tmpl w:val="7223060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3">
    <w:nsid w:val="72230604"/>
    <w:multiLevelType w:val="hybridMultilevel"/>
    <w:tmpl w:val="7223060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4">
    <w:nsid w:val="72230605"/>
    <w:multiLevelType w:val="hybridMultilevel"/>
    <w:tmpl w:val="7223060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5">
    <w:nsid w:val="72230606"/>
    <w:multiLevelType w:val="hybridMultilevel"/>
    <w:tmpl w:val="7223060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6">
    <w:nsid w:val="72230607"/>
    <w:multiLevelType w:val="hybridMultilevel"/>
    <w:tmpl w:val="7223060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7">
    <w:nsid w:val="72230608"/>
    <w:multiLevelType w:val="hybridMultilevel"/>
    <w:tmpl w:val="7223060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8">
    <w:nsid w:val="72230609"/>
    <w:multiLevelType w:val="hybridMultilevel"/>
    <w:tmpl w:val="7223060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9">
    <w:nsid w:val="7223060A"/>
    <w:multiLevelType w:val="hybridMultilevel"/>
    <w:tmpl w:val="7223060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0">
    <w:nsid w:val="7223060B"/>
    <w:multiLevelType w:val="hybridMultilevel"/>
    <w:tmpl w:val="7223060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1">
    <w:nsid w:val="7223060C"/>
    <w:multiLevelType w:val="hybridMultilevel"/>
    <w:tmpl w:val="7223060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2">
    <w:nsid w:val="7223060D"/>
    <w:multiLevelType w:val="hybridMultilevel"/>
    <w:tmpl w:val="7223060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3">
    <w:nsid w:val="7223060E"/>
    <w:multiLevelType w:val="hybridMultilevel"/>
    <w:tmpl w:val="7223060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4">
    <w:nsid w:val="7223060F"/>
    <w:multiLevelType w:val="hybridMultilevel"/>
    <w:tmpl w:val="7223060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5">
    <w:nsid w:val="72230610"/>
    <w:multiLevelType w:val="hybridMultilevel"/>
    <w:tmpl w:val="7223061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6">
    <w:nsid w:val="72230611"/>
    <w:multiLevelType w:val="hybridMultilevel"/>
    <w:tmpl w:val="7223061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7">
    <w:nsid w:val="72230612"/>
    <w:multiLevelType w:val="hybridMultilevel"/>
    <w:tmpl w:val="7223061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8">
    <w:nsid w:val="72230613"/>
    <w:multiLevelType w:val="hybridMultilevel"/>
    <w:tmpl w:val="7223061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9">
    <w:nsid w:val="72230614"/>
    <w:multiLevelType w:val="hybridMultilevel"/>
    <w:tmpl w:val="7223061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0">
    <w:nsid w:val="72230615"/>
    <w:multiLevelType w:val="hybridMultilevel"/>
    <w:tmpl w:val="72230615"/>
    <w:lvl w:ilvl="0">
      <w:start w:val="1"/>
      <w:numFmt w:val="bullet"/>
      <w:lvlText w:val="o"/>
      <w:lvlJc w:val="left"/>
      <w:pPr>
        <w:ind w:left="720" w:hanging="360"/>
      </w:pPr>
      <w:rPr>
        <w:rFonts w:ascii="Courier New" w:hAnsi="Courier New"/>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1">
    <w:nsid w:val="72230616"/>
    <w:multiLevelType w:val="hybridMultilevel"/>
    <w:tmpl w:val="72230616"/>
    <w:lvl w:ilvl="0">
      <w:start w:val="1"/>
      <w:numFmt w:val="bullet"/>
      <w:lvlText w:val="o"/>
      <w:lvlJc w:val="left"/>
      <w:pPr>
        <w:ind w:left="720" w:hanging="360"/>
      </w:pPr>
      <w:rPr>
        <w:rFonts w:ascii="Courier New" w:hAnsi="Courier New"/>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2">
    <w:nsid w:val="72230617"/>
    <w:multiLevelType w:val="hybridMultilevel"/>
    <w:tmpl w:val="7223061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3">
    <w:nsid w:val="72230618"/>
    <w:multiLevelType w:val="hybridMultilevel"/>
    <w:tmpl w:val="7223061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4">
    <w:nsid w:val="72230619"/>
    <w:multiLevelType w:val="hybridMultilevel"/>
    <w:tmpl w:val="7223061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5">
    <w:nsid w:val="7223061A"/>
    <w:multiLevelType w:val="hybridMultilevel"/>
    <w:tmpl w:val="7223061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6">
    <w:nsid w:val="7223061B"/>
    <w:multiLevelType w:val="hybridMultilevel"/>
    <w:tmpl w:val="7223061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7">
    <w:nsid w:val="7223061C"/>
    <w:multiLevelType w:val="hybridMultilevel"/>
    <w:tmpl w:val="7223061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8">
    <w:nsid w:val="7223061D"/>
    <w:multiLevelType w:val="hybridMultilevel"/>
    <w:tmpl w:val="7223061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9">
    <w:nsid w:val="7223061E"/>
    <w:multiLevelType w:val="hybridMultilevel"/>
    <w:tmpl w:val="7223061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0">
    <w:nsid w:val="7223061F"/>
    <w:multiLevelType w:val="hybridMultilevel"/>
    <w:tmpl w:val="7223061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1">
    <w:nsid w:val="72230620"/>
    <w:multiLevelType w:val="hybridMultilevel"/>
    <w:tmpl w:val="7223062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2">
    <w:nsid w:val="72230621"/>
    <w:multiLevelType w:val="hybridMultilevel"/>
    <w:tmpl w:val="7223062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3">
    <w:nsid w:val="72230622"/>
    <w:multiLevelType w:val="hybridMultilevel"/>
    <w:tmpl w:val="7223062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4">
    <w:nsid w:val="72230623"/>
    <w:multiLevelType w:val="hybridMultilevel"/>
    <w:tmpl w:val="7223062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5">
    <w:nsid w:val="72230624"/>
    <w:multiLevelType w:val="hybridMultilevel"/>
    <w:tmpl w:val="7223062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6">
    <w:nsid w:val="72230625"/>
    <w:multiLevelType w:val="hybridMultilevel"/>
    <w:tmpl w:val="7223062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7">
    <w:nsid w:val="72230626"/>
    <w:multiLevelType w:val="hybridMultilevel"/>
    <w:tmpl w:val="7223062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8">
    <w:nsid w:val="72230627"/>
    <w:multiLevelType w:val="hybridMultilevel"/>
    <w:tmpl w:val="7223062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9">
    <w:nsid w:val="72230628"/>
    <w:multiLevelType w:val="hybridMultilevel"/>
    <w:tmpl w:val="7223062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0">
    <w:nsid w:val="72230629"/>
    <w:multiLevelType w:val="hybridMultilevel"/>
    <w:tmpl w:val="7223062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1">
    <w:nsid w:val="7223062A"/>
    <w:multiLevelType w:val="hybridMultilevel"/>
    <w:tmpl w:val="7223062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2">
    <w:nsid w:val="7223062B"/>
    <w:multiLevelType w:val="hybridMultilevel"/>
    <w:tmpl w:val="7223062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3">
    <w:nsid w:val="7223062C"/>
    <w:multiLevelType w:val="hybridMultilevel"/>
    <w:tmpl w:val="7223062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4">
    <w:nsid w:val="7223062D"/>
    <w:multiLevelType w:val="hybridMultilevel"/>
    <w:tmpl w:val="7223062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5">
    <w:nsid w:val="7223062E"/>
    <w:multiLevelType w:val="hybridMultilevel"/>
    <w:tmpl w:val="7223062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6">
    <w:nsid w:val="7223062F"/>
    <w:multiLevelType w:val="hybridMultilevel"/>
    <w:tmpl w:val="7223062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7">
    <w:nsid w:val="72230630"/>
    <w:multiLevelType w:val="hybridMultilevel"/>
    <w:tmpl w:val="7223063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8">
    <w:nsid w:val="72230631"/>
    <w:multiLevelType w:val="hybridMultilevel"/>
    <w:tmpl w:val="7223063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9">
    <w:nsid w:val="72230632"/>
    <w:multiLevelType w:val="hybridMultilevel"/>
    <w:tmpl w:val="7223063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0">
    <w:nsid w:val="72230633"/>
    <w:multiLevelType w:val="hybridMultilevel"/>
    <w:tmpl w:val="7223063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1">
    <w:nsid w:val="72230634"/>
    <w:multiLevelType w:val="hybridMultilevel"/>
    <w:tmpl w:val="7223063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2">
    <w:nsid w:val="72230635"/>
    <w:multiLevelType w:val="hybridMultilevel"/>
    <w:tmpl w:val="7223063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3">
    <w:nsid w:val="72230636"/>
    <w:multiLevelType w:val="hybridMultilevel"/>
    <w:tmpl w:val="7223063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4">
    <w:nsid w:val="72230637"/>
    <w:multiLevelType w:val="hybridMultilevel"/>
    <w:tmpl w:val="7223063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5">
    <w:nsid w:val="72230638"/>
    <w:multiLevelType w:val="hybridMultilevel"/>
    <w:tmpl w:val="7223063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6">
    <w:nsid w:val="72230639"/>
    <w:multiLevelType w:val="hybridMultilevel"/>
    <w:tmpl w:val="7223063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7">
    <w:nsid w:val="7223063A"/>
    <w:multiLevelType w:val="hybridMultilevel"/>
    <w:tmpl w:val="7223063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8">
    <w:nsid w:val="7223063B"/>
    <w:multiLevelType w:val="hybridMultilevel"/>
    <w:tmpl w:val="7223063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9">
    <w:nsid w:val="7223063C"/>
    <w:multiLevelType w:val="hybridMultilevel"/>
    <w:tmpl w:val="7223063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0">
    <w:nsid w:val="7223063D"/>
    <w:multiLevelType w:val="hybridMultilevel"/>
    <w:tmpl w:val="7223063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1">
    <w:nsid w:val="7223063E"/>
    <w:multiLevelType w:val="hybridMultilevel"/>
    <w:tmpl w:val="7223063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2">
    <w:nsid w:val="7223063F"/>
    <w:multiLevelType w:val="hybridMultilevel"/>
    <w:tmpl w:val="7223063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3">
    <w:nsid w:val="72230640"/>
    <w:multiLevelType w:val="hybridMultilevel"/>
    <w:tmpl w:val="7223064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4">
    <w:nsid w:val="72230641"/>
    <w:multiLevelType w:val="hybridMultilevel"/>
    <w:tmpl w:val="7223064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5">
    <w:nsid w:val="72230642"/>
    <w:multiLevelType w:val="hybridMultilevel"/>
    <w:tmpl w:val="7223064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6">
    <w:nsid w:val="72230643"/>
    <w:multiLevelType w:val="hybridMultilevel"/>
    <w:tmpl w:val="7223064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7">
    <w:nsid w:val="72230644"/>
    <w:multiLevelType w:val="hybridMultilevel"/>
    <w:tmpl w:val="7223064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8">
    <w:nsid w:val="72230645"/>
    <w:multiLevelType w:val="hybridMultilevel"/>
    <w:tmpl w:val="7223064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9">
    <w:nsid w:val="72230646"/>
    <w:multiLevelType w:val="hybridMultilevel"/>
    <w:tmpl w:val="7223064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0">
    <w:nsid w:val="72230647"/>
    <w:multiLevelType w:val="hybridMultilevel"/>
    <w:tmpl w:val="7223064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1">
    <w:nsid w:val="72230648"/>
    <w:multiLevelType w:val="hybridMultilevel"/>
    <w:tmpl w:val="7223064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2">
    <w:nsid w:val="72230649"/>
    <w:multiLevelType w:val="hybridMultilevel"/>
    <w:tmpl w:val="7223064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3">
    <w:nsid w:val="7223064A"/>
    <w:multiLevelType w:val="hybridMultilevel"/>
    <w:tmpl w:val="7223064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4">
    <w:nsid w:val="7223064B"/>
    <w:multiLevelType w:val="hybridMultilevel"/>
    <w:tmpl w:val="7223064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5">
    <w:nsid w:val="7223064C"/>
    <w:multiLevelType w:val="hybridMultilevel"/>
    <w:tmpl w:val="7223064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6">
    <w:nsid w:val="7223064D"/>
    <w:multiLevelType w:val="hybridMultilevel"/>
    <w:tmpl w:val="7223064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7">
    <w:nsid w:val="7223064E"/>
    <w:multiLevelType w:val="hybridMultilevel"/>
    <w:tmpl w:val="7223064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8">
    <w:nsid w:val="7223064F"/>
    <w:multiLevelType w:val="hybridMultilevel"/>
    <w:tmpl w:val="7223064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9">
    <w:nsid w:val="72230650"/>
    <w:multiLevelType w:val="multilevel"/>
    <w:tmpl w:val="7223065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00">
    <w:nsid w:val="72230651"/>
    <w:multiLevelType w:val="hybridMultilevel"/>
    <w:tmpl w:val="7223065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1">
    <w:nsid w:val="72230652"/>
    <w:multiLevelType w:val="hybridMultilevel"/>
    <w:tmpl w:val="7223065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2">
    <w:nsid w:val="72230653"/>
    <w:multiLevelType w:val="hybridMultilevel"/>
    <w:tmpl w:val="7223065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3">
    <w:nsid w:val="72230654"/>
    <w:multiLevelType w:val="hybridMultilevel"/>
    <w:tmpl w:val="7223065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4">
    <w:nsid w:val="72230655"/>
    <w:multiLevelType w:val="multilevel"/>
    <w:tmpl w:val="7223065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05">
    <w:nsid w:val="72230656"/>
    <w:multiLevelType w:val="multilevel"/>
    <w:tmpl w:val="7223065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06">
    <w:nsid w:val="72230657"/>
    <w:multiLevelType w:val="hybridMultilevel"/>
    <w:tmpl w:val="7223065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7">
    <w:nsid w:val="72230658"/>
    <w:multiLevelType w:val="hybridMultilevel"/>
    <w:tmpl w:val="7223065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8">
    <w:nsid w:val="72230659"/>
    <w:multiLevelType w:val="hybridMultilevel"/>
    <w:tmpl w:val="7223065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9">
    <w:nsid w:val="7223065A"/>
    <w:multiLevelType w:val="hybridMultilevel"/>
    <w:tmpl w:val="7223065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0">
    <w:nsid w:val="7223065B"/>
    <w:multiLevelType w:val="hybridMultilevel"/>
    <w:tmpl w:val="7223065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1">
    <w:nsid w:val="7223065C"/>
    <w:multiLevelType w:val="hybridMultilevel"/>
    <w:tmpl w:val="7223065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2">
    <w:nsid w:val="7223065D"/>
    <w:multiLevelType w:val="hybridMultilevel"/>
    <w:tmpl w:val="7223065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3">
    <w:nsid w:val="7223065E"/>
    <w:multiLevelType w:val="hybridMultilevel"/>
    <w:tmpl w:val="7223065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4">
    <w:nsid w:val="7223065F"/>
    <w:multiLevelType w:val="hybridMultilevel"/>
    <w:tmpl w:val="7223065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5">
    <w:nsid w:val="72230660"/>
    <w:multiLevelType w:val="hybridMultilevel"/>
    <w:tmpl w:val="7223066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6">
    <w:nsid w:val="72230661"/>
    <w:multiLevelType w:val="multilevel"/>
    <w:tmpl w:val="7223066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17">
    <w:nsid w:val="72230662"/>
    <w:multiLevelType w:val="hybridMultilevel"/>
    <w:tmpl w:val="7223066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8">
    <w:nsid w:val="72230663"/>
    <w:multiLevelType w:val="hybridMultilevel"/>
    <w:tmpl w:val="7223066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9">
    <w:nsid w:val="72230664"/>
    <w:multiLevelType w:val="hybridMultilevel"/>
    <w:tmpl w:val="7223066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0">
    <w:nsid w:val="72230665"/>
    <w:multiLevelType w:val="hybridMultilevel"/>
    <w:tmpl w:val="7223066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1">
    <w:nsid w:val="72230666"/>
    <w:multiLevelType w:val="hybridMultilevel"/>
    <w:tmpl w:val="7223066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2">
    <w:nsid w:val="72230667"/>
    <w:multiLevelType w:val="multilevel"/>
    <w:tmpl w:val="7223066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23">
    <w:nsid w:val="72230668"/>
    <w:multiLevelType w:val="hybridMultilevel"/>
    <w:tmpl w:val="7223066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4">
    <w:nsid w:val="72230669"/>
    <w:multiLevelType w:val="hybridMultilevel"/>
    <w:tmpl w:val="7223066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5">
    <w:nsid w:val="7223066A"/>
    <w:multiLevelType w:val="hybridMultilevel"/>
    <w:tmpl w:val="7223066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6">
    <w:nsid w:val="7223066B"/>
    <w:multiLevelType w:val="hybridMultilevel"/>
    <w:tmpl w:val="7223066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7">
    <w:nsid w:val="7223066C"/>
    <w:multiLevelType w:val="multilevel"/>
    <w:tmpl w:val="7223066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28">
    <w:nsid w:val="7223066D"/>
    <w:multiLevelType w:val="hybridMultilevel"/>
    <w:tmpl w:val="7223066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9">
    <w:nsid w:val="7223066E"/>
    <w:multiLevelType w:val="multilevel"/>
    <w:tmpl w:val="7223066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30">
    <w:nsid w:val="7223066F"/>
    <w:multiLevelType w:val="hybridMultilevel"/>
    <w:tmpl w:val="7223066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1">
    <w:nsid w:val="72230670"/>
    <w:multiLevelType w:val="hybridMultilevel"/>
    <w:tmpl w:val="7223067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2">
    <w:nsid w:val="72230671"/>
    <w:multiLevelType w:val="hybridMultilevel"/>
    <w:tmpl w:val="7223067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3">
    <w:nsid w:val="72230672"/>
    <w:multiLevelType w:val="hybridMultilevel"/>
    <w:tmpl w:val="7223067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4">
    <w:nsid w:val="72230673"/>
    <w:multiLevelType w:val="hybridMultilevel"/>
    <w:tmpl w:val="7223067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5">
    <w:nsid w:val="72230674"/>
    <w:multiLevelType w:val="hybridMultilevel"/>
    <w:tmpl w:val="7223067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6">
    <w:nsid w:val="72230675"/>
    <w:multiLevelType w:val="hybridMultilevel"/>
    <w:tmpl w:val="7223067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7">
    <w:nsid w:val="72230676"/>
    <w:multiLevelType w:val="hybridMultilevel"/>
    <w:tmpl w:val="7223067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8">
    <w:nsid w:val="72230677"/>
    <w:multiLevelType w:val="hybridMultilevel"/>
    <w:tmpl w:val="7223067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9">
    <w:nsid w:val="72230678"/>
    <w:multiLevelType w:val="hybridMultilevel"/>
    <w:tmpl w:val="7223067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0">
    <w:nsid w:val="72230679"/>
    <w:multiLevelType w:val="hybridMultilevel"/>
    <w:tmpl w:val="7223067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1">
    <w:nsid w:val="7223067A"/>
    <w:multiLevelType w:val="hybridMultilevel"/>
    <w:tmpl w:val="7223067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2">
    <w:nsid w:val="7223067B"/>
    <w:multiLevelType w:val="hybridMultilevel"/>
    <w:tmpl w:val="7223067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3">
    <w:nsid w:val="7223067C"/>
    <w:multiLevelType w:val="hybridMultilevel"/>
    <w:tmpl w:val="7223067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4">
    <w:nsid w:val="7223067D"/>
    <w:multiLevelType w:val="hybridMultilevel"/>
    <w:tmpl w:val="7223067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5">
    <w:nsid w:val="7223067E"/>
    <w:multiLevelType w:val="hybridMultilevel"/>
    <w:tmpl w:val="7223067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6">
    <w:nsid w:val="7223067F"/>
    <w:multiLevelType w:val="multilevel"/>
    <w:tmpl w:val="7223067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47">
    <w:nsid w:val="72230680"/>
    <w:multiLevelType w:val="hybridMultilevel"/>
    <w:tmpl w:val="7223068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8">
    <w:nsid w:val="72230681"/>
    <w:multiLevelType w:val="hybridMultilevel"/>
    <w:tmpl w:val="7223068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9">
    <w:nsid w:val="72230682"/>
    <w:multiLevelType w:val="hybridMultilevel"/>
    <w:tmpl w:val="7223068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0">
    <w:nsid w:val="72230683"/>
    <w:multiLevelType w:val="hybridMultilevel"/>
    <w:tmpl w:val="7223068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1">
    <w:nsid w:val="72230684"/>
    <w:multiLevelType w:val="multilevel"/>
    <w:tmpl w:val="7223068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52">
    <w:nsid w:val="72230685"/>
    <w:multiLevelType w:val="hybridMultilevel"/>
    <w:tmpl w:val="7223068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3">
    <w:nsid w:val="72230686"/>
    <w:multiLevelType w:val="hybridMultilevel"/>
    <w:tmpl w:val="7223068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4">
    <w:nsid w:val="72230687"/>
    <w:multiLevelType w:val="hybridMultilevel"/>
    <w:tmpl w:val="7223068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5">
    <w:nsid w:val="72230688"/>
    <w:multiLevelType w:val="hybridMultilevel"/>
    <w:tmpl w:val="7223068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6">
    <w:nsid w:val="72230689"/>
    <w:multiLevelType w:val="hybridMultilevel"/>
    <w:tmpl w:val="7223068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7">
    <w:nsid w:val="7223068A"/>
    <w:multiLevelType w:val="hybridMultilevel"/>
    <w:tmpl w:val="7223068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8">
    <w:nsid w:val="7223068B"/>
    <w:multiLevelType w:val="hybridMultilevel"/>
    <w:tmpl w:val="7223068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9">
    <w:nsid w:val="7223068C"/>
    <w:multiLevelType w:val="hybridMultilevel"/>
    <w:tmpl w:val="7223068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0">
    <w:nsid w:val="7223068D"/>
    <w:multiLevelType w:val="hybridMultilevel"/>
    <w:tmpl w:val="7223068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1">
    <w:nsid w:val="7223068E"/>
    <w:multiLevelType w:val="hybridMultilevel"/>
    <w:tmpl w:val="7223068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2">
    <w:nsid w:val="7223068F"/>
    <w:multiLevelType w:val="hybridMultilevel"/>
    <w:tmpl w:val="7223068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3">
    <w:nsid w:val="72230690"/>
    <w:multiLevelType w:val="hybridMultilevel"/>
    <w:tmpl w:val="7223069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4">
    <w:nsid w:val="72230691"/>
    <w:multiLevelType w:val="multilevel"/>
    <w:tmpl w:val="7223069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5">
    <w:nsid w:val="72230692"/>
    <w:multiLevelType w:val="multilevel"/>
    <w:tmpl w:val="7223069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6">
    <w:nsid w:val="72230693"/>
    <w:multiLevelType w:val="hybridMultilevel"/>
    <w:tmpl w:val="7223069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7">
    <w:nsid w:val="72230694"/>
    <w:multiLevelType w:val="hybridMultilevel"/>
    <w:tmpl w:val="7223069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8">
    <w:nsid w:val="72230695"/>
    <w:multiLevelType w:val="multilevel"/>
    <w:tmpl w:val="7223069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9">
    <w:nsid w:val="72230696"/>
    <w:multiLevelType w:val="multilevel"/>
    <w:tmpl w:val="7223069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70">
    <w:nsid w:val="72230697"/>
    <w:multiLevelType w:val="hybridMultilevel"/>
    <w:tmpl w:val="7223069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1">
    <w:nsid w:val="72230698"/>
    <w:multiLevelType w:val="multilevel"/>
    <w:tmpl w:val="7223069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72">
    <w:nsid w:val="72230699"/>
    <w:multiLevelType w:val="multilevel"/>
    <w:tmpl w:val="7223069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73">
    <w:nsid w:val="7223069A"/>
    <w:multiLevelType w:val="hybridMultilevel"/>
    <w:tmpl w:val="7223069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4">
    <w:nsid w:val="7223069B"/>
    <w:multiLevelType w:val="hybridMultilevel"/>
    <w:tmpl w:val="7223069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5">
    <w:nsid w:val="7223069C"/>
    <w:multiLevelType w:val="hybridMultilevel"/>
    <w:tmpl w:val="7223069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6">
    <w:nsid w:val="7223069D"/>
    <w:multiLevelType w:val="hybridMultilevel"/>
    <w:tmpl w:val="7223069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7">
    <w:nsid w:val="7223069E"/>
    <w:multiLevelType w:val="multilevel"/>
    <w:tmpl w:val="7223069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78">
    <w:nsid w:val="7223069F"/>
    <w:multiLevelType w:val="hybridMultilevel"/>
    <w:tmpl w:val="7223069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9">
    <w:nsid w:val="722306A0"/>
    <w:multiLevelType w:val="hybridMultilevel"/>
    <w:tmpl w:val="722306A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0">
    <w:nsid w:val="722306A1"/>
    <w:multiLevelType w:val="hybridMultilevel"/>
    <w:tmpl w:val="722306A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1">
    <w:nsid w:val="722306A2"/>
    <w:multiLevelType w:val="hybridMultilevel"/>
    <w:tmpl w:val="722306A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2">
    <w:nsid w:val="722306A3"/>
    <w:multiLevelType w:val="hybridMultilevel"/>
    <w:tmpl w:val="722306A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3">
    <w:nsid w:val="722306A4"/>
    <w:multiLevelType w:val="hybridMultilevel"/>
    <w:tmpl w:val="722306A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4">
    <w:nsid w:val="722306A5"/>
    <w:multiLevelType w:val="hybridMultilevel"/>
    <w:tmpl w:val="722306A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5">
    <w:nsid w:val="722306A6"/>
    <w:multiLevelType w:val="hybridMultilevel"/>
    <w:tmpl w:val="722306A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6">
    <w:nsid w:val="722306A7"/>
    <w:multiLevelType w:val="multilevel"/>
    <w:tmpl w:val="722306A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87">
    <w:nsid w:val="722306A8"/>
    <w:multiLevelType w:val="hybridMultilevel"/>
    <w:tmpl w:val="722306A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8">
    <w:nsid w:val="722306A9"/>
    <w:multiLevelType w:val="hybridMultilevel"/>
    <w:tmpl w:val="722306A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9">
    <w:nsid w:val="722306AA"/>
    <w:multiLevelType w:val="hybridMultilevel"/>
    <w:tmpl w:val="722306A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0">
    <w:nsid w:val="722306AB"/>
    <w:multiLevelType w:val="hybridMultilevel"/>
    <w:tmpl w:val="722306A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1">
    <w:nsid w:val="722306AC"/>
    <w:multiLevelType w:val="hybridMultilevel"/>
    <w:tmpl w:val="722306A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2">
    <w:nsid w:val="722306AD"/>
    <w:multiLevelType w:val="hybridMultilevel"/>
    <w:tmpl w:val="722306A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3">
    <w:nsid w:val="722306AE"/>
    <w:multiLevelType w:val="hybridMultilevel"/>
    <w:tmpl w:val="722306A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4">
    <w:nsid w:val="722306AF"/>
    <w:multiLevelType w:val="hybridMultilevel"/>
    <w:tmpl w:val="722306A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5">
    <w:nsid w:val="722306B0"/>
    <w:multiLevelType w:val="hybridMultilevel"/>
    <w:tmpl w:val="722306B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6">
    <w:nsid w:val="722306B1"/>
    <w:multiLevelType w:val="hybridMultilevel"/>
    <w:tmpl w:val="722306B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7">
    <w:nsid w:val="722306B2"/>
    <w:multiLevelType w:val="hybridMultilevel"/>
    <w:tmpl w:val="722306B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8">
    <w:nsid w:val="722306B3"/>
    <w:multiLevelType w:val="hybridMultilevel"/>
    <w:tmpl w:val="722306B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9">
    <w:nsid w:val="722306B4"/>
    <w:multiLevelType w:val="hybridMultilevel"/>
    <w:tmpl w:val="722306B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0">
    <w:nsid w:val="722306B5"/>
    <w:multiLevelType w:val="hybridMultilevel"/>
    <w:tmpl w:val="722306B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1">
    <w:nsid w:val="722306B6"/>
    <w:multiLevelType w:val="hybridMultilevel"/>
    <w:tmpl w:val="722306B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2">
    <w:nsid w:val="722306B7"/>
    <w:multiLevelType w:val="hybridMultilevel"/>
    <w:tmpl w:val="722306B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3">
    <w:nsid w:val="722306B8"/>
    <w:multiLevelType w:val="hybridMultilevel"/>
    <w:tmpl w:val="722306B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4">
    <w:nsid w:val="722306B9"/>
    <w:multiLevelType w:val="hybridMultilevel"/>
    <w:tmpl w:val="722306B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5">
    <w:nsid w:val="722306BA"/>
    <w:multiLevelType w:val="hybridMultilevel"/>
    <w:tmpl w:val="722306B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6">
    <w:nsid w:val="722306BB"/>
    <w:multiLevelType w:val="hybridMultilevel"/>
    <w:tmpl w:val="722306B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7">
    <w:nsid w:val="722306BC"/>
    <w:multiLevelType w:val="hybridMultilevel"/>
    <w:tmpl w:val="722306B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8">
    <w:nsid w:val="722306BD"/>
    <w:multiLevelType w:val="hybridMultilevel"/>
    <w:tmpl w:val="722306B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9">
    <w:nsid w:val="722306BE"/>
    <w:multiLevelType w:val="hybridMultilevel"/>
    <w:tmpl w:val="722306B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0">
    <w:nsid w:val="722306BF"/>
    <w:multiLevelType w:val="hybridMultilevel"/>
    <w:tmpl w:val="722306B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1">
    <w:nsid w:val="722306C0"/>
    <w:multiLevelType w:val="hybridMultilevel"/>
    <w:tmpl w:val="722306C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2">
    <w:nsid w:val="722306C1"/>
    <w:multiLevelType w:val="hybridMultilevel"/>
    <w:tmpl w:val="722306C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3">
    <w:nsid w:val="722306C2"/>
    <w:multiLevelType w:val="hybridMultilevel"/>
    <w:tmpl w:val="722306C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4">
    <w:nsid w:val="722306C3"/>
    <w:multiLevelType w:val="hybridMultilevel"/>
    <w:tmpl w:val="722306C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5">
    <w:nsid w:val="722306C4"/>
    <w:multiLevelType w:val="hybridMultilevel"/>
    <w:tmpl w:val="722306C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6">
    <w:nsid w:val="722306C5"/>
    <w:multiLevelType w:val="hybridMultilevel"/>
    <w:tmpl w:val="722306C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7">
    <w:nsid w:val="722306C6"/>
    <w:multiLevelType w:val="hybridMultilevel"/>
    <w:tmpl w:val="722306C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8">
    <w:nsid w:val="722306C7"/>
    <w:multiLevelType w:val="hybridMultilevel"/>
    <w:tmpl w:val="722306C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9">
    <w:nsid w:val="722306C8"/>
    <w:multiLevelType w:val="hybridMultilevel"/>
    <w:tmpl w:val="722306C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0">
    <w:nsid w:val="722306C9"/>
    <w:multiLevelType w:val="hybridMultilevel"/>
    <w:tmpl w:val="722306C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1">
    <w:nsid w:val="722306CA"/>
    <w:multiLevelType w:val="hybridMultilevel"/>
    <w:tmpl w:val="722306C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2">
    <w:nsid w:val="722306CB"/>
    <w:multiLevelType w:val="hybridMultilevel"/>
    <w:tmpl w:val="722306C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3">
    <w:nsid w:val="722306CC"/>
    <w:multiLevelType w:val="hybridMultilevel"/>
    <w:tmpl w:val="722306C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4">
    <w:nsid w:val="722306CD"/>
    <w:multiLevelType w:val="hybridMultilevel"/>
    <w:tmpl w:val="722306C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5">
    <w:nsid w:val="722306CE"/>
    <w:multiLevelType w:val="multilevel"/>
    <w:tmpl w:val="722306C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6">
    <w:nsid w:val="722306CF"/>
    <w:multiLevelType w:val="multilevel"/>
    <w:tmpl w:val="722306CF"/>
    <w:lvl w:ilvl="0">
      <w:start w:val="5"/>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7">
    <w:nsid w:val="722306D0"/>
    <w:multiLevelType w:val="multilevel"/>
    <w:tmpl w:val="722306D0"/>
    <w:lvl w:ilvl="0">
      <w:start w:val="6"/>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8">
    <w:nsid w:val="722306D1"/>
    <w:multiLevelType w:val="multilevel"/>
    <w:tmpl w:val="722306D1"/>
    <w:lvl w:ilvl="0">
      <w:start w:val="7"/>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9">
    <w:nsid w:val="722306D2"/>
    <w:multiLevelType w:val="hybridMultilevel"/>
    <w:tmpl w:val="722306D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0">
    <w:nsid w:val="722306D3"/>
    <w:multiLevelType w:val="hybridMultilevel"/>
    <w:tmpl w:val="722306D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1">
    <w:nsid w:val="722306D4"/>
    <w:multiLevelType w:val="hybridMultilevel"/>
    <w:tmpl w:val="722306D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2">
    <w:nsid w:val="722306D5"/>
    <w:multiLevelType w:val="hybridMultilevel"/>
    <w:tmpl w:val="722306D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3">
    <w:nsid w:val="722306D6"/>
    <w:multiLevelType w:val="hybridMultilevel"/>
    <w:tmpl w:val="722306D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4">
    <w:nsid w:val="722306D7"/>
    <w:multiLevelType w:val="hybridMultilevel"/>
    <w:tmpl w:val="722306D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5">
    <w:nsid w:val="722306D8"/>
    <w:multiLevelType w:val="hybridMultilevel"/>
    <w:tmpl w:val="722306D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6">
    <w:nsid w:val="722306D9"/>
    <w:multiLevelType w:val="hybridMultilevel"/>
    <w:tmpl w:val="722306D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7">
    <w:nsid w:val="722306DA"/>
    <w:multiLevelType w:val="hybridMultilevel"/>
    <w:tmpl w:val="722306D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8">
    <w:nsid w:val="722306DB"/>
    <w:multiLevelType w:val="hybridMultilevel"/>
    <w:tmpl w:val="722306D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9">
    <w:nsid w:val="722306DC"/>
    <w:multiLevelType w:val="multilevel"/>
    <w:tmpl w:val="722306D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40">
    <w:nsid w:val="722306DD"/>
    <w:multiLevelType w:val="hybridMultilevel"/>
    <w:tmpl w:val="722306D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1">
    <w:nsid w:val="722306DE"/>
    <w:multiLevelType w:val="hybridMultilevel"/>
    <w:tmpl w:val="722306D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2">
    <w:nsid w:val="722306DF"/>
    <w:multiLevelType w:val="hybridMultilevel"/>
    <w:tmpl w:val="722306D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3">
    <w:nsid w:val="722306E0"/>
    <w:multiLevelType w:val="hybridMultilevel"/>
    <w:tmpl w:val="722306E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4">
    <w:nsid w:val="722306E1"/>
    <w:multiLevelType w:val="hybridMultilevel"/>
    <w:tmpl w:val="722306E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5">
    <w:nsid w:val="722306E2"/>
    <w:multiLevelType w:val="hybridMultilevel"/>
    <w:tmpl w:val="722306E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6">
    <w:nsid w:val="722306E3"/>
    <w:multiLevelType w:val="hybridMultilevel"/>
    <w:tmpl w:val="722306E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7">
    <w:nsid w:val="722306E4"/>
    <w:multiLevelType w:val="hybridMultilevel"/>
    <w:tmpl w:val="722306E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8">
    <w:nsid w:val="722306E5"/>
    <w:multiLevelType w:val="hybridMultilevel"/>
    <w:tmpl w:val="722306E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9">
    <w:nsid w:val="722306E6"/>
    <w:multiLevelType w:val="hybridMultilevel"/>
    <w:tmpl w:val="722306E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0">
    <w:nsid w:val="722306E7"/>
    <w:multiLevelType w:val="hybridMultilevel"/>
    <w:tmpl w:val="722306E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1">
    <w:nsid w:val="722306E8"/>
    <w:multiLevelType w:val="hybridMultilevel"/>
    <w:tmpl w:val="722306E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2">
    <w:nsid w:val="722306E9"/>
    <w:multiLevelType w:val="hybridMultilevel"/>
    <w:tmpl w:val="722306E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3">
    <w:nsid w:val="722306EA"/>
    <w:multiLevelType w:val="hybridMultilevel"/>
    <w:tmpl w:val="722306E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4">
    <w:nsid w:val="722306EB"/>
    <w:multiLevelType w:val="hybridMultilevel"/>
    <w:tmpl w:val="722306E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5">
    <w:nsid w:val="722306EC"/>
    <w:multiLevelType w:val="multilevel"/>
    <w:tmpl w:val="722306E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56">
    <w:nsid w:val="722306ED"/>
    <w:multiLevelType w:val="multilevel"/>
    <w:tmpl w:val="722306ED"/>
    <w:lvl w:ilvl="0">
      <w:start w:val="5"/>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57">
    <w:nsid w:val="722306EE"/>
    <w:multiLevelType w:val="multilevel"/>
    <w:tmpl w:val="722306EE"/>
    <w:lvl w:ilvl="0">
      <w:start w:val="15"/>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58">
    <w:nsid w:val="722306EF"/>
    <w:multiLevelType w:val="multilevel"/>
    <w:tmpl w:val="722306EF"/>
    <w:lvl w:ilvl="0">
      <w:start w:val="16"/>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59">
    <w:nsid w:val="722306F0"/>
    <w:multiLevelType w:val="hybridMultilevel"/>
    <w:tmpl w:val="722306F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0">
    <w:nsid w:val="722306F1"/>
    <w:multiLevelType w:val="hybridMultilevel"/>
    <w:tmpl w:val="722306F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1">
    <w:nsid w:val="722306F2"/>
    <w:multiLevelType w:val="hybridMultilevel"/>
    <w:tmpl w:val="722306F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2">
    <w:nsid w:val="722306F3"/>
    <w:multiLevelType w:val="hybridMultilevel"/>
    <w:tmpl w:val="722306F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3">
    <w:nsid w:val="722306F4"/>
    <w:multiLevelType w:val="hybridMultilevel"/>
    <w:tmpl w:val="722306F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4">
    <w:nsid w:val="722306F5"/>
    <w:multiLevelType w:val="hybridMultilevel"/>
    <w:tmpl w:val="722306F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5">
    <w:nsid w:val="722306F6"/>
    <w:multiLevelType w:val="hybridMultilevel"/>
    <w:tmpl w:val="722306F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6">
    <w:nsid w:val="722306F7"/>
    <w:multiLevelType w:val="hybridMultilevel"/>
    <w:tmpl w:val="722306F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7">
    <w:nsid w:val="722306F8"/>
    <w:multiLevelType w:val="hybridMultilevel"/>
    <w:tmpl w:val="722306F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8">
    <w:nsid w:val="722306F9"/>
    <w:multiLevelType w:val="hybridMultilevel"/>
    <w:tmpl w:val="722306F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9">
    <w:nsid w:val="722306FA"/>
    <w:multiLevelType w:val="hybridMultilevel"/>
    <w:tmpl w:val="722306F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0">
    <w:nsid w:val="722306FB"/>
    <w:multiLevelType w:val="hybridMultilevel"/>
    <w:tmpl w:val="722306F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1">
    <w:nsid w:val="722306FC"/>
    <w:multiLevelType w:val="hybridMultilevel"/>
    <w:tmpl w:val="722306F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2">
    <w:nsid w:val="722306FD"/>
    <w:multiLevelType w:val="hybridMultilevel"/>
    <w:tmpl w:val="722306F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3">
    <w:nsid w:val="722306FE"/>
    <w:multiLevelType w:val="hybridMultilevel"/>
    <w:tmpl w:val="722306F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4">
    <w:nsid w:val="722306FF"/>
    <w:multiLevelType w:val="multilevel"/>
    <w:tmpl w:val="722306F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75">
    <w:nsid w:val="72230700"/>
    <w:multiLevelType w:val="hybridMultilevel"/>
    <w:tmpl w:val="7223070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6">
    <w:nsid w:val="72230701"/>
    <w:multiLevelType w:val="multilevel"/>
    <w:tmpl w:val="7223070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77">
    <w:nsid w:val="72230702"/>
    <w:multiLevelType w:val="hybridMultilevel"/>
    <w:tmpl w:val="7223070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8">
    <w:nsid w:val="72230703"/>
    <w:multiLevelType w:val="hybridMultilevel"/>
    <w:tmpl w:val="7223070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9">
    <w:nsid w:val="72230704"/>
    <w:multiLevelType w:val="hybridMultilevel"/>
    <w:tmpl w:val="7223070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80">
    <w:nsid w:val="72230705"/>
    <w:multiLevelType w:val="hybridMultilevel"/>
    <w:tmpl w:val="7223070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81">
    <w:nsid w:val="72230706"/>
    <w:multiLevelType w:val="hybridMultilevel"/>
    <w:tmpl w:val="7223070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82">
    <w:nsid w:val="72230707"/>
    <w:multiLevelType w:val="hybridMultilevel"/>
    <w:tmpl w:val="7223070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83">
    <w:nsid w:val="72230708"/>
    <w:multiLevelType w:val="hybridMultilevel"/>
    <w:tmpl w:val="7223070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84">
    <w:nsid w:val="72230709"/>
    <w:multiLevelType w:val="hybridMultilevel"/>
    <w:tmpl w:val="7223070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num w:numId="1">
    <w:abstractNumId w:val="1"/>
  </w:num>
  <w:num w:numId="2">
    <w:abstractNumId w:val="0"/>
  </w:num>
  <w:num w:numId="3">
    <w:abstractNumId w:val="12"/>
  </w:num>
  <w:num w:numId="4">
    <w:abstractNumId w:val="5"/>
  </w:num>
  <w:num w:numId="5">
    <w:abstractNumId w:val="11"/>
  </w:num>
  <w:num w:numId="6">
    <w:abstractNumId w:val="20"/>
  </w:num>
  <w:num w:numId="7">
    <w:abstractNumId w:val="21"/>
  </w:num>
  <w:num w:numId="8">
    <w:abstractNumId w:val="7"/>
  </w:num>
  <w:num w:numId="9">
    <w:abstractNumId w:val="19"/>
  </w:num>
  <w:num w:numId="10">
    <w:abstractNumId w:val="18"/>
  </w:num>
  <w:num w:numId="11">
    <w:abstractNumId w:val="13"/>
  </w:num>
  <w:num w:numId="12">
    <w:abstractNumId w:val="15"/>
  </w:num>
  <w:num w:numId="13">
    <w:abstractNumId w:val="4"/>
  </w:num>
  <w:num w:numId="14">
    <w:abstractNumId w:val="8"/>
  </w:num>
  <w:num w:numId="15">
    <w:abstractNumId w:val="2"/>
  </w:num>
  <w:num w:numId="16">
    <w:abstractNumId w:val="6"/>
  </w:num>
  <w:num w:numId="17">
    <w:abstractNumId w:val="22"/>
  </w:num>
  <w:num w:numId="18">
    <w:abstractNumId w:val="16"/>
  </w:num>
  <w:num w:numId="19">
    <w:abstractNumId w:val="17"/>
  </w:num>
  <w:num w:numId="20">
    <w:abstractNumId w:val="14"/>
  </w:num>
  <w:num w:numId="21">
    <w:abstractNumId w:val="23"/>
  </w:num>
  <w:num w:numId="22">
    <w:abstractNumId w:val="24"/>
  </w:num>
  <w:num w:numId="23">
    <w:abstractNumId w:val="25"/>
  </w:num>
  <w:num w:numId="24">
    <w:abstractNumId w:val="26"/>
  </w:num>
  <w:num w:numId="25">
    <w:abstractNumId w:val="27"/>
  </w:num>
  <w:num w:numId="26">
    <w:abstractNumId w:val="28"/>
  </w:num>
  <w:num w:numId="27">
    <w:abstractNumId w:val="29"/>
  </w:num>
  <w:num w:numId="28">
    <w:abstractNumId w:val="30"/>
  </w:num>
  <w:num w:numId="29">
    <w:abstractNumId w:val="31"/>
  </w:num>
  <w:num w:numId="30">
    <w:abstractNumId w:val="32"/>
  </w:num>
  <w:num w:numId="31">
    <w:abstractNumId w:val="33"/>
  </w:num>
  <w:num w:numId="32">
    <w:abstractNumId w:val="34"/>
  </w:num>
  <w:num w:numId="33">
    <w:abstractNumId w:val="35"/>
  </w:num>
  <w:num w:numId="34">
    <w:abstractNumId w:val="36"/>
  </w:num>
  <w:num w:numId="35">
    <w:abstractNumId w:val="37"/>
  </w:num>
  <w:num w:numId="36">
    <w:abstractNumId w:val="38"/>
  </w:num>
  <w:num w:numId="37">
    <w:abstractNumId w:val="39"/>
  </w:num>
  <w:num w:numId="38">
    <w:abstractNumId w:val="40"/>
  </w:num>
  <w:num w:numId="39">
    <w:abstractNumId w:val="41"/>
  </w:num>
  <w:num w:numId="40">
    <w:abstractNumId w:val="42"/>
  </w:num>
  <w:num w:numId="41">
    <w:abstractNumId w:val="43"/>
  </w:num>
  <w:num w:numId="42">
    <w:abstractNumId w:val="44"/>
  </w:num>
  <w:num w:numId="43">
    <w:abstractNumId w:val="45"/>
  </w:num>
  <w:num w:numId="44">
    <w:abstractNumId w:val="46"/>
  </w:num>
  <w:num w:numId="45">
    <w:abstractNumId w:val="47"/>
  </w:num>
  <w:num w:numId="46">
    <w:abstractNumId w:val="48"/>
  </w:num>
  <w:num w:numId="47">
    <w:abstractNumId w:val="49"/>
  </w:num>
  <w:num w:numId="48">
    <w:abstractNumId w:val="50"/>
  </w:num>
  <w:num w:numId="49">
    <w:abstractNumId w:val="51"/>
  </w:num>
  <w:num w:numId="50">
    <w:abstractNumId w:val="52"/>
  </w:num>
  <w:num w:numId="51">
    <w:abstractNumId w:val="53"/>
  </w:num>
  <w:num w:numId="52">
    <w:abstractNumId w:val="54"/>
  </w:num>
  <w:num w:numId="53">
    <w:abstractNumId w:val="55"/>
  </w:num>
  <w:num w:numId="54">
    <w:abstractNumId w:val="56"/>
  </w:num>
  <w:num w:numId="55">
    <w:abstractNumId w:val="57"/>
  </w:num>
  <w:num w:numId="56">
    <w:abstractNumId w:val="58"/>
  </w:num>
  <w:num w:numId="57">
    <w:abstractNumId w:val="59"/>
  </w:num>
  <w:num w:numId="58">
    <w:abstractNumId w:val="60"/>
  </w:num>
  <w:num w:numId="59">
    <w:abstractNumId w:val="61"/>
  </w:num>
  <w:num w:numId="60">
    <w:abstractNumId w:val="62"/>
  </w:num>
  <w:num w:numId="61">
    <w:abstractNumId w:val="63"/>
  </w:num>
  <w:num w:numId="62">
    <w:abstractNumId w:val="64"/>
  </w:num>
  <w:num w:numId="63">
    <w:abstractNumId w:val="65"/>
  </w:num>
  <w:num w:numId="64">
    <w:abstractNumId w:val="66"/>
  </w:num>
  <w:num w:numId="65">
    <w:abstractNumId w:val="67"/>
  </w:num>
  <w:num w:numId="66">
    <w:abstractNumId w:val="68"/>
  </w:num>
  <w:num w:numId="67">
    <w:abstractNumId w:val="69"/>
  </w:num>
  <w:num w:numId="68">
    <w:abstractNumId w:val="70"/>
  </w:num>
  <w:num w:numId="69">
    <w:abstractNumId w:val="71"/>
  </w:num>
  <w:num w:numId="70">
    <w:abstractNumId w:val="72"/>
  </w:num>
  <w:num w:numId="71">
    <w:abstractNumId w:val="73"/>
  </w:num>
  <w:num w:numId="72">
    <w:abstractNumId w:val="74"/>
  </w:num>
  <w:num w:numId="73">
    <w:abstractNumId w:val="75"/>
  </w:num>
  <w:num w:numId="74">
    <w:abstractNumId w:val="76"/>
  </w:num>
  <w:num w:numId="75">
    <w:abstractNumId w:val="77"/>
  </w:num>
  <w:num w:numId="76">
    <w:abstractNumId w:val="78"/>
  </w:num>
  <w:num w:numId="77">
    <w:abstractNumId w:val="79"/>
  </w:num>
  <w:num w:numId="78">
    <w:abstractNumId w:val="80"/>
  </w:num>
  <w:num w:numId="79">
    <w:abstractNumId w:val="81"/>
  </w:num>
  <w:num w:numId="80">
    <w:abstractNumId w:val="82"/>
  </w:num>
  <w:num w:numId="81">
    <w:abstractNumId w:val="83"/>
  </w:num>
  <w:num w:numId="82">
    <w:abstractNumId w:val="84"/>
  </w:num>
  <w:num w:numId="83">
    <w:abstractNumId w:val="85"/>
  </w:num>
  <w:num w:numId="84">
    <w:abstractNumId w:val="86"/>
  </w:num>
  <w:num w:numId="85">
    <w:abstractNumId w:val="87"/>
  </w:num>
  <w:num w:numId="86">
    <w:abstractNumId w:val="88"/>
  </w:num>
  <w:num w:numId="87">
    <w:abstractNumId w:val="89"/>
  </w:num>
  <w:num w:numId="88">
    <w:abstractNumId w:val="90"/>
  </w:num>
  <w:num w:numId="89">
    <w:abstractNumId w:val="91"/>
  </w:num>
  <w:num w:numId="90">
    <w:abstractNumId w:val="92"/>
  </w:num>
  <w:num w:numId="91">
    <w:abstractNumId w:val="93"/>
  </w:num>
  <w:num w:numId="92">
    <w:abstractNumId w:val="94"/>
  </w:num>
  <w:num w:numId="93">
    <w:abstractNumId w:val="95"/>
  </w:num>
  <w:num w:numId="94">
    <w:abstractNumId w:val="96"/>
  </w:num>
  <w:num w:numId="95">
    <w:abstractNumId w:val="97"/>
  </w:num>
  <w:num w:numId="96">
    <w:abstractNumId w:val="98"/>
  </w:num>
  <w:num w:numId="97">
    <w:abstractNumId w:val="99"/>
  </w:num>
  <w:num w:numId="98">
    <w:abstractNumId w:val="100"/>
  </w:num>
  <w:num w:numId="99">
    <w:abstractNumId w:val="101"/>
  </w:num>
  <w:num w:numId="100">
    <w:abstractNumId w:val="102"/>
  </w:num>
  <w:num w:numId="101">
    <w:abstractNumId w:val="103"/>
  </w:num>
  <w:num w:numId="102">
    <w:abstractNumId w:val="104"/>
  </w:num>
  <w:num w:numId="103">
    <w:abstractNumId w:val="105"/>
  </w:num>
  <w:num w:numId="104">
    <w:abstractNumId w:val="106"/>
  </w:num>
  <w:num w:numId="105">
    <w:abstractNumId w:val="107"/>
  </w:num>
  <w:num w:numId="106">
    <w:abstractNumId w:val="108"/>
  </w:num>
  <w:num w:numId="107">
    <w:abstractNumId w:val="109"/>
  </w:num>
  <w:num w:numId="108">
    <w:abstractNumId w:val="110"/>
  </w:num>
  <w:num w:numId="109">
    <w:abstractNumId w:val="111"/>
  </w:num>
  <w:num w:numId="110">
    <w:abstractNumId w:val="112"/>
  </w:num>
  <w:num w:numId="111">
    <w:abstractNumId w:val="113"/>
  </w:num>
  <w:num w:numId="112">
    <w:abstractNumId w:val="114"/>
  </w:num>
  <w:num w:numId="113">
    <w:abstractNumId w:val="115"/>
  </w:num>
  <w:num w:numId="114">
    <w:abstractNumId w:val="116"/>
  </w:num>
  <w:num w:numId="115">
    <w:abstractNumId w:val="117"/>
  </w:num>
  <w:num w:numId="116">
    <w:abstractNumId w:val="118"/>
  </w:num>
  <w:num w:numId="117">
    <w:abstractNumId w:val="119"/>
  </w:num>
  <w:num w:numId="118">
    <w:abstractNumId w:val="120"/>
  </w:num>
  <w:num w:numId="119">
    <w:abstractNumId w:val="121"/>
  </w:num>
  <w:num w:numId="120">
    <w:abstractNumId w:val="122"/>
  </w:num>
  <w:num w:numId="121">
    <w:abstractNumId w:val="123"/>
  </w:num>
  <w:num w:numId="122">
    <w:abstractNumId w:val="124"/>
  </w:num>
  <w:num w:numId="123">
    <w:abstractNumId w:val="125"/>
  </w:num>
  <w:num w:numId="124">
    <w:abstractNumId w:val="126"/>
  </w:num>
  <w:num w:numId="125">
    <w:abstractNumId w:val="127"/>
  </w:num>
  <w:num w:numId="126">
    <w:abstractNumId w:val="128"/>
  </w:num>
  <w:num w:numId="127">
    <w:abstractNumId w:val="129"/>
  </w:num>
  <w:num w:numId="128">
    <w:abstractNumId w:val="130"/>
  </w:num>
  <w:num w:numId="129">
    <w:abstractNumId w:val="131"/>
  </w:num>
  <w:num w:numId="130">
    <w:abstractNumId w:val="132"/>
  </w:num>
  <w:num w:numId="131">
    <w:abstractNumId w:val="133"/>
  </w:num>
  <w:num w:numId="132">
    <w:abstractNumId w:val="134"/>
  </w:num>
  <w:num w:numId="133">
    <w:abstractNumId w:val="135"/>
  </w:num>
  <w:num w:numId="134">
    <w:abstractNumId w:val="136"/>
  </w:num>
  <w:num w:numId="135">
    <w:abstractNumId w:val="137"/>
  </w:num>
  <w:num w:numId="136">
    <w:abstractNumId w:val="138"/>
  </w:num>
  <w:num w:numId="137">
    <w:abstractNumId w:val="139"/>
  </w:num>
  <w:num w:numId="138">
    <w:abstractNumId w:val="140"/>
  </w:num>
  <w:num w:numId="139">
    <w:abstractNumId w:val="141"/>
  </w:num>
  <w:num w:numId="140">
    <w:abstractNumId w:val="142"/>
  </w:num>
  <w:num w:numId="141">
    <w:abstractNumId w:val="143"/>
  </w:num>
  <w:num w:numId="142">
    <w:abstractNumId w:val="144"/>
  </w:num>
  <w:num w:numId="143">
    <w:abstractNumId w:val="145"/>
  </w:num>
  <w:num w:numId="144">
    <w:abstractNumId w:val="146"/>
  </w:num>
  <w:num w:numId="145">
    <w:abstractNumId w:val="147"/>
  </w:num>
  <w:num w:numId="146">
    <w:abstractNumId w:val="148"/>
  </w:num>
  <w:num w:numId="147">
    <w:abstractNumId w:val="149"/>
  </w:num>
  <w:num w:numId="148">
    <w:abstractNumId w:val="150"/>
  </w:num>
  <w:num w:numId="149">
    <w:abstractNumId w:val="151"/>
  </w:num>
  <w:num w:numId="150">
    <w:abstractNumId w:val="152"/>
  </w:num>
  <w:num w:numId="151">
    <w:abstractNumId w:val="153"/>
  </w:num>
  <w:num w:numId="152">
    <w:abstractNumId w:val="154"/>
  </w:num>
  <w:num w:numId="153">
    <w:abstractNumId w:val="155"/>
  </w:num>
  <w:num w:numId="154">
    <w:abstractNumId w:val="156"/>
  </w:num>
  <w:num w:numId="155">
    <w:abstractNumId w:val="157"/>
  </w:num>
  <w:num w:numId="156">
    <w:abstractNumId w:val="158"/>
  </w:num>
  <w:num w:numId="157">
    <w:abstractNumId w:val="159"/>
  </w:num>
  <w:num w:numId="158">
    <w:abstractNumId w:val="160"/>
  </w:num>
  <w:num w:numId="159">
    <w:abstractNumId w:val="161"/>
  </w:num>
  <w:num w:numId="160">
    <w:abstractNumId w:val="162"/>
  </w:num>
  <w:num w:numId="161">
    <w:abstractNumId w:val="163"/>
  </w:num>
  <w:num w:numId="162">
    <w:abstractNumId w:val="164"/>
  </w:num>
  <w:num w:numId="163">
    <w:abstractNumId w:val="165"/>
  </w:num>
  <w:num w:numId="164">
    <w:abstractNumId w:val="166"/>
  </w:num>
  <w:num w:numId="165">
    <w:abstractNumId w:val="167"/>
  </w:num>
  <w:num w:numId="166">
    <w:abstractNumId w:val="168"/>
  </w:num>
  <w:num w:numId="167">
    <w:abstractNumId w:val="169"/>
  </w:num>
  <w:num w:numId="168">
    <w:abstractNumId w:val="170"/>
  </w:num>
  <w:num w:numId="169">
    <w:abstractNumId w:val="171"/>
  </w:num>
  <w:num w:numId="170">
    <w:abstractNumId w:val="172"/>
  </w:num>
  <w:num w:numId="171">
    <w:abstractNumId w:val="173"/>
  </w:num>
  <w:num w:numId="172">
    <w:abstractNumId w:val="174"/>
  </w:num>
  <w:num w:numId="173">
    <w:abstractNumId w:val="175"/>
  </w:num>
  <w:num w:numId="174">
    <w:abstractNumId w:val="176"/>
  </w:num>
  <w:num w:numId="175">
    <w:abstractNumId w:val="177"/>
  </w:num>
  <w:num w:numId="176">
    <w:abstractNumId w:val="178"/>
  </w:num>
  <w:num w:numId="177">
    <w:abstractNumId w:val="179"/>
  </w:num>
  <w:num w:numId="178">
    <w:abstractNumId w:val="180"/>
  </w:num>
  <w:num w:numId="179">
    <w:abstractNumId w:val="181"/>
  </w:num>
  <w:num w:numId="180">
    <w:abstractNumId w:val="182"/>
  </w:num>
  <w:num w:numId="181">
    <w:abstractNumId w:val="183"/>
  </w:num>
  <w:num w:numId="182">
    <w:abstractNumId w:val="184"/>
  </w:num>
  <w:num w:numId="183">
    <w:abstractNumId w:val="185"/>
  </w:num>
  <w:num w:numId="184">
    <w:abstractNumId w:val="186"/>
  </w:num>
  <w:num w:numId="185">
    <w:abstractNumId w:val="187"/>
  </w:num>
  <w:num w:numId="186">
    <w:abstractNumId w:val="188"/>
  </w:num>
  <w:num w:numId="187">
    <w:abstractNumId w:val="189"/>
  </w:num>
  <w:num w:numId="188">
    <w:abstractNumId w:val="190"/>
  </w:num>
  <w:num w:numId="189">
    <w:abstractNumId w:val="191"/>
  </w:num>
  <w:num w:numId="190">
    <w:abstractNumId w:val="192"/>
  </w:num>
  <w:num w:numId="191">
    <w:abstractNumId w:val="193"/>
  </w:num>
  <w:num w:numId="192">
    <w:abstractNumId w:val="194"/>
  </w:num>
  <w:num w:numId="193">
    <w:abstractNumId w:val="195"/>
  </w:num>
  <w:num w:numId="194">
    <w:abstractNumId w:val="196"/>
  </w:num>
  <w:num w:numId="195">
    <w:abstractNumId w:val="197"/>
  </w:num>
  <w:num w:numId="196">
    <w:abstractNumId w:val="198"/>
  </w:num>
  <w:num w:numId="197">
    <w:abstractNumId w:val="199"/>
  </w:num>
  <w:num w:numId="198">
    <w:abstractNumId w:val="200"/>
  </w:num>
  <w:num w:numId="199">
    <w:abstractNumId w:val="201"/>
  </w:num>
  <w:num w:numId="200">
    <w:abstractNumId w:val="202"/>
  </w:num>
  <w:num w:numId="201">
    <w:abstractNumId w:val="203"/>
  </w:num>
  <w:num w:numId="202">
    <w:abstractNumId w:val="204"/>
  </w:num>
  <w:num w:numId="203">
    <w:abstractNumId w:val="205"/>
  </w:num>
  <w:num w:numId="204">
    <w:abstractNumId w:val="206"/>
  </w:num>
  <w:num w:numId="205">
    <w:abstractNumId w:val="207"/>
  </w:num>
  <w:num w:numId="206">
    <w:abstractNumId w:val="208"/>
  </w:num>
  <w:num w:numId="207">
    <w:abstractNumId w:val="209"/>
  </w:num>
  <w:num w:numId="208">
    <w:abstractNumId w:val="210"/>
  </w:num>
  <w:num w:numId="209">
    <w:abstractNumId w:val="211"/>
  </w:num>
  <w:num w:numId="210">
    <w:abstractNumId w:val="212"/>
  </w:num>
  <w:num w:numId="211">
    <w:abstractNumId w:val="213"/>
  </w:num>
  <w:num w:numId="212">
    <w:abstractNumId w:val="214"/>
  </w:num>
  <w:num w:numId="213">
    <w:abstractNumId w:val="215"/>
  </w:num>
  <w:num w:numId="214">
    <w:abstractNumId w:val="216"/>
  </w:num>
  <w:num w:numId="215">
    <w:abstractNumId w:val="217"/>
  </w:num>
  <w:num w:numId="216">
    <w:abstractNumId w:val="218"/>
  </w:num>
  <w:num w:numId="217">
    <w:abstractNumId w:val="219"/>
  </w:num>
  <w:num w:numId="218">
    <w:abstractNumId w:val="220"/>
  </w:num>
  <w:num w:numId="219">
    <w:abstractNumId w:val="221"/>
  </w:num>
  <w:num w:numId="220">
    <w:abstractNumId w:val="222"/>
  </w:num>
  <w:num w:numId="221">
    <w:abstractNumId w:val="223"/>
  </w:num>
  <w:num w:numId="222">
    <w:abstractNumId w:val="224"/>
  </w:num>
  <w:num w:numId="223">
    <w:abstractNumId w:val="225"/>
  </w:num>
  <w:num w:numId="224">
    <w:abstractNumId w:val="226"/>
  </w:num>
  <w:num w:numId="225">
    <w:abstractNumId w:val="227"/>
  </w:num>
  <w:num w:numId="226">
    <w:abstractNumId w:val="228"/>
  </w:num>
  <w:num w:numId="227">
    <w:abstractNumId w:val="229"/>
  </w:num>
  <w:num w:numId="228">
    <w:abstractNumId w:val="230"/>
  </w:num>
  <w:num w:numId="229">
    <w:abstractNumId w:val="231"/>
  </w:num>
  <w:num w:numId="230">
    <w:abstractNumId w:val="232"/>
  </w:num>
  <w:num w:numId="231">
    <w:abstractNumId w:val="233"/>
  </w:num>
  <w:num w:numId="232">
    <w:abstractNumId w:val="234"/>
  </w:num>
  <w:num w:numId="233">
    <w:abstractNumId w:val="235"/>
  </w:num>
  <w:num w:numId="234">
    <w:abstractNumId w:val="236"/>
  </w:num>
  <w:num w:numId="235">
    <w:abstractNumId w:val="237"/>
  </w:num>
  <w:num w:numId="236">
    <w:abstractNumId w:val="238"/>
  </w:num>
  <w:num w:numId="237">
    <w:abstractNumId w:val="239"/>
  </w:num>
  <w:num w:numId="238">
    <w:abstractNumId w:val="240"/>
  </w:num>
  <w:num w:numId="239">
    <w:abstractNumId w:val="241"/>
  </w:num>
  <w:num w:numId="240">
    <w:abstractNumId w:val="242"/>
  </w:num>
  <w:num w:numId="241">
    <w:abstractNumId w:val="243"/>
  </w:num>
  <w:num w:numId="242">
    <w:abstractNumId w:val="244"/>
  </w:num>
  <w:num w:numId="243">
    <w:abstractNumId w:val="245"/>
  </w:num>
  <w:num w:numId="244">
    <w:abstractNumId w:val="246"/>
  </w:num>
  <w:num w:numId="245">
    <w:abstractNumId w:val="247"/>
  </w:num>
  <w:num w:numId="246">
    <w:abstractNumId w:val="248"/>
  </w:num>
  <w:num w:numId="247">
    <w:abstractNumId w:val="249"/>
  </w:num>
  <w:num w:numId="248">
    <w:abstractNumId w:val="250"/>
  </w:num>
  <w:num w:numId="249">
    <w:abstractNumId w:val="251"/>
  </w:num>
  <w:num w:numId="250">
    <w:abstractNumId w:val="252"/>
  </w:num>
  <w:num w:numId="251">
    <w:abstractNumId w:val="253"/>
  </w:num>
  <w:num w:numId="252">
    <w:abstractNumId w:val="254"/>
  </w:num>
  <w:num w:numId="253">
    <w:abstractNumId w:val="255"/>
  </w:num>
  <w:num w:numId="254">
    <w:abstractNumId w:val="256"/>
  </w:num>
  <w:num w:numId="255">
    <w:abstractNumId w:val="257"/>
  </w:num>
  <w:num w:numId="256">
    <w:abstractNumId w:val="258"/>
  </w:num>
  <w:num w:numId="257">
    <w:abstractNumId w:val="259"/>
  </w:num>
  <w:num w:numId="258">
    <w:abstractNumId w:val="260"/>
  </w:num>
  <w:num w:numId="259">
    <w:abstractNumId w:val="261"/>
  </w:num>
  <w:num w:numId="260">
    <w:abstractNumId w:val="262"/>
  </w:num>
  <w:num w:numId="261">
    <w:abstractNumId w:val="263"/>
  </w:num>
  <w:num w:numId="262">
    <w:abstractNumId w:val="264"/>
  </w:num>
  <w:num w:numId="263">
    <w:abstractNumId w:val="265"/>
  </w:num>
  <w:num w:numId="264">
    <w:abstractNumId w:val="266"/>
  </w:num>
  <w:num w:numId="265">
    <w:abstractNumId w:val="267"/>
  </w:num>
  <w:num w:numId="266">
    <w:abstractNumId w:val="268"/>
  </w:num>
  <w:num w:numId="267">
    <w:abstractNumId w:val="269"/>
  </w:num>
  <w:num w:numId="268">
    <w:abstractNumId w:val="270"/>
  </w:num>
  <w:num w:numId="269">
    <w:abstractNumId w:val="271"/>
  </w:num>
  <w:num w:numId="270">
    <w:abstractNumId w:val="272"/>
  </w:num>
  <w:num w:numId="271">
    <w:abstractNumId w:val="273"/>
  </w:num>
  <w:num w:numId="272">
    <w:abstractNumId w:val="274"/>
  </w:num>
  <w:num w:numId="273">
    <w:abstractNumId w:val="275"/>
  </w:num>
  <w:num w:numId="274">
    <w:abstractNumId w:val="276"/>
  </w:num>
  <w:num w:numId="275">
    <w:abstractNumId w:val="277"/>
  </w:num>
  <w:num w:numId="276">
    <w:abstractNumId w:val="278"/>
  </w:num>
  <w:num w:numId="277">
    <w:abstractNumId w:val="279"/>
  </w:num>
  <w:num w:numId="278">
    <w:abstractNumId w:val="280"/>
  </w:num>
  <w:num w:numId="279">
    <w:abstractNumId w:val="281"/>
  </w:num>
  <w:num w:numId="280">
    <w:abstractNumId w:val="282"/>
  </w:num>
  <w:num w:numId="281">
    <w:abstractNumId w:val="283"/>
  </w:num>
  <w:num w:numId="282">
    <w:abstractNumId w:val="284"/>
  </w:num>
  <w:num w:numId="283">
    <w:abstractNumId w:val="285"/>
  </w:num>
  <w:num w:numId="284">
    <w:abstractNumId w:val="286"/>
  </w:num>
  <w:num w:numId="285">
    <w:abstractNumId w:val="287"/>
  </w:num>
  <w:num w:numId="286">
    <w:abstractNumId w:val="288"/>
  </w:num>
  <w:num w:numId="287">
    <w:abstractNumId w:val="289"/>
  </w:num>
  <w:num w:numId="288">
    <w:abstractNumId w:val="290"/>
  </w:num>
  <w:num w:numId="289">
    <w:abstractNumId w:val="291"/>
  </w:num>
  <w:num w:numId="290">
    <w:abstractNumId w:val="292"/>
  </w:num>
  <w:num w:numId="291">
    <w:abstractNumId w:val="293"/>
  </w:num>
  <w:num w:numId="292">
    <w:abstractNumId w:val="294"/>
  </w:num>
  <w:num w:numId="293">
    <w:abstractNumId w:val="295"/>
  </w:num>
  <w:num w:numId="294">
    <w:abstractNumId w:val="296"/>
  </w:num>
  <w:num w:numId="295">
    <w:abstractNumId w:val="297"/>
  </w:num>
  <w:num w:numId="296">
    <w:abstractNumId w:val="298"/>
  </w:num>
  <w:num w:numId="297">
    <w:abstractNumId w:val="299"/>
  </w:num>
  <w:num w:numId="298">
    <w:abstractNumId w:val="300"/>
  </w:num>
  <w:num w:numId="299">
    <w:abstractNumId w:val="301"/>
  </w:num>
  <w:num w:numId="300">
    <w:abstractNumId w:val="302"/>
  </w:num>
  <w:num w:numId="301">
    <w:abstractNumId w:val="303"/>
  </w:num>
  <w:num w:numId="302">
    <w:abstractNumId w:val="304"/>
  </w:num>
  <w:num w:numId="303">
    <w:abstractNumId w:val="305"/>
  </w:num>
  <w:num w:numId="304">
    <w:abstractNumId w:val="306"/>
  </w:num>
  <w:num w:numId="305">
    <w:abstractNumId w:val="307"/>
  </w:num>
  <w:num w:numId="306">
    <w:abstractNumId w:val="308"/>
  </w:num>
  <w:num w:numId="307">
    <w:abstractNumId w:val="309"/>
  </w:num>
  <w:num w:numId="308">
    <w:abstractNumId w:val="310"/>
  </w:num>
  <w:num w:numId="309">
    <w:abstractNumId w:val="311"/>
  </w:num>
  <w:num w:numId="310">
    <w:abstractNumId w:val="312"/>
  </w:num>
  <w:num w:numId="311">
    <w:abstractNumId w:val="313"/>
  </w:num>
  <w:num w:numId="312">
    <w:abstractNumId w:val="314"/>
  </w:num>
  <w:num w:numId="313">
    <w:abstractNumId w:val="315"/>
  </w:num>
  <w:num w:numId="314">
    <w:abstractNumId w:val="316"/>
  </w:num>
  <w:num w:numId="315">
    <w:abstractNumId w:val="317"/>
  </w:num>
  <w:num w:numId="316">
    <w:abstractNumId w:val="318"/>
  </w:num>
  <w:num w:numId="317">
    <w:abstractNumId w:val="319"/>
  </w:num>
  <w:num w:numId="318">
    <w:abstractNumId w:val="320"/>
  </w:num>
  <w:num w:numId="319">
    <w:abstractNumId w:val="321"/>
  </w:num>
  <w:num w:numId="320">
    <w:abstractNumId w:val="322"/>
  </w:num>
  <w:num w:numId="321">
    <w:abstractNumId w:val="323"/>
  </w:num>
  <w:num w:numId="322">
    <w:abstractNumId w:val="324"/>
  </w:num>
  <w:num w:numId="323">
    <w:abstractNumId w:val="325"/>
  </w:num>
  <w:num w:numId="324">
    <w:abstractNumId w:val="326"/>
  </w:num>
  <w:num w:numId="325">
    <w:abstractNumId w:val="327"/>
  </w:num>
  <w:num w:numId="326">
    <w:abstractNumId w:val="328"/>
  </w:num>
  <w:num w:numId="327">
    <w:abstractNumId w:val="329"/>
  </w:num>
  <w:num w:numId="328">
    <w:abstractNumId w:val="330"/>
  </w:num>
  <w:num w:numId="329">
    <w:abstractNumId w:val="331"/>
  </w:num>
  <w:num w:numId="330">
    <w:abstractNumId w:val="332"/>
  </w:num>
  <w:num w:numId="331">
    <w:abstractNumId w:val="333"/>
  </w:num>
  <w:num w:numId="332">
    <w:abstractNumId w:val="334"/>
  </w:num>
  <w:num w:numId="333">
    <w:abstractNumId w:val="335"/>
  </w:num>
  <w:num w:numId="334">
    <w:abstractNumId w:val="336"/>
  </w:num>
  <w:num w:numId="335">
    <w:abstractNumId w:val="337"/>
  </w:num>
  <w:num w:numId="336">
    <w:abstractNumId w:val="338"/>
  </w:num>
  <w:num w:numId="337">
    <w:abstractNumId w:val="339"/>
  </w:num>
  <w:num w:numId="338">
    <w:abstractNumId w:val="340"/>
  </w:num>
  <w:num w:numId="339">
    <w:abstractNumId w:val="341"/>
  </w:num>
  <w:num w:numId="340">
    <w:abstractNumId w:val="342"/>
  </w:num>
  <w:num w:numId="341">
    <w:abstractNumId w:val="343"/>
  </w:num>
  <w:num w:numId="342">
    <w:abstractNumId w:val="344"/>
  </w:num>
  <w:num w:numId="343">
    <w:abstractNumId w:val="345"/>
  </w:num>
  <w:num w:numId="344">
    <w:abstractNumId w:val="346"/>
  </w:num>
  <w:num w:numId="345">
    <w:abstractNumId w:val="347"/>
  </w:num>
  <w:num w:numId="346">
    <w:abstractNumId w:val="348"/>
  </w:num>
  <w:num w:numId="347">
    <w:abstractNumId w:val="349"/>
  </w:num>
  <w:num w:numId="348">
    <w:abstractNumId w:val="350"/>
  </w:num>
  <w:num w:numId="349">
    <w:abstractNumId w:val="351"/>
  </w:num>
  <w:num w:numId="350">
    <w:abstractNumId w:val="352"/>
  </w:num>
  <w:num w:numId="351">
    <w:abstractNumId w:val="353"/>
  </w:num>
  <w:num w:numId="352">
    <w:abstractNumId w:val="354"/>
  </w:num>
  <w:num w:numId="353">
    <w:abstractNumId w:val="355"/>
  </w:num>
  <w:num w:numId="354">
    <w:abstractNumId w:val="356"/>
  </w:num>
  <w:num w:numId="355">
    <w:abstractNumId w:val="357"/>
  </w:num>
  <w:num w:numId="356">
    <w:abstractNumId w:val="358"/>
  </w:num>
  <w:num w:numId="357">
    <w:abstractNumId w:val="359"/>
  </w:num>
  <w:num w:numId="358">
    <w:abstractNumId w:val="360"/>
  </w:num>
  <w:num w:numId="359">
    <w:abstractNumId w:val="361"/>
  </w:num>
  <w:num w:numId="360">
    <w:abstractNumId w:val="362"/>
  </w:num>
  <w:num w:numId="361">
    <w:abstractNumId w:val="363"/>
  </w:num>
  <w:num w:numId="362">
    <w:abstractNumId w:val="364"/>
  </w:num>
  <w:num w:numId="363">
    <w:abstractNumId w:val="365"/>
  </w:num>
  <w:num w:numId="364">
    <w:abstractNumId w:val="366"/>
  </w:num>
  <w:num w:numId="365">
    <w:abstractNumId w:val="367"/>
  </w:num>
  <w:num w:numId="366">
    <w:abstractNumId w:val="368"/>
  </w:num>
  <w:num w:numId="367">
    <w:abstractNumId w:val="369"/>
  </w:num>
  <w:num w:numId="368">
    <w:abstractNumId w:val="370"/>
  </w:num>
  <w:num w:numId="369">
    <w:abstractNumId w:val="371"/>
  </w:num>
  <w:num w:numId="370">
    <w:abstractNumId w:val="372"/>
  </w:num>
  <w:num w:numId="371">
    <w:abstractNumId w:val="373"/>
  </w:num>
  <w:num w:numId="372">
    <w:abstractNumId w:val="374"/>
  </w:num>
  <w:num w:numId="373">
    <w:abstractNumId w:val="375"/>
  </w:num>
  <w:num w:numId="374">
    <w:abstractNumId w:val="376"/>
  </w:num>
  <w:num w:numId="375">
    <w:abstractNumId w:val="377"/>
  </w:num>
  <w:num w:numId="376">
    <w:abstractNumId w:val="378"/>
  </w:num>
  <w:num w:numId="377">
    <w:abstractNumId w:val="379"/>
  </w:num>
  <w:num w:numId="378">
    <w:abstractNumId w:val="380"/>
  </w:num>
  <w:num w:numId="379">
    <w:abstractNumId w:val="381"/>
  </w:num>
  <w:num w:numId="380">
    <w:abstractNumId w:val="382"/>
  </w:num>
  <w:num w:numId="381">
    <w:abstractNumId w:val="383"/>
  </w:num>
  <w:num w:numId="382">
    <w:abstractNumId w:val="384"/>
  </w:num>
  <w:num w:numId="383">
    <w:abstractNumId w:val="385"/>
  </w:num>
  <w:num w:numId="384">
    <w:abstractNumId w:val="386"/>
  </w:num>
  <w:num w:numId="385">
    <w:abstractNumId w:val="387"/>
  </w:num>
  <w:num w:numId="386">
    <w:abstractNumId w:val="388"/>
  </w:num>
  <w:num w:numId="387">
    <w:abstractNumId w:val="389"/>
  </w:num>
  <w:num w:numId="388">
    <w:abstractNumId w:val="390"/>
  </w:num>
  <w:num w:numId="389">
    <w:abstractNumId w:val="391"/>
  </w:num>
  <w:num w:numId="390">
    <w:abstractNumId w:val="392"/>
  </w:num>
  <w:num w:numId="391">
    <w:abstractNumId w:val="393"/>
  </w:num>
  <w:num w:numId="392">
    <w:abstractNumId w:val="394"/>
  </w:num>
  <w:num w:numId="393">
    <w:abstractNumId w:val="395"/>
  </w:num>
  <w:num w:numId="394">
    <w:abstractNumId w:val="396"/>
  </w:num>
  <w:num w:numId="395">
    <w:abstractNumId w:val="397"/>
  </w:num>
  <w:num w:numId="396">
    <w:abstractNumId w:val="398"/>
  </w:num>
  <w:num w:numId="397">
    <w:abstractNumId w:val="399"/>
  </w:num>
  <w:num w:numId="398">
    <w:abstractNumId w:val="400"/>
  </w:num>
  <w:num w:numId="399">
    <w:abstractNumId w:val="401"/>
  </w:num>
  <w:num w:numId="400">
    <w:abstractNumId w:val="402"/>
  </w:num>
  <w:num w:numId="401">
    <w:abstractNumId w:val="403"/>
  </w:num>
  <w:num w:numId="402">
    <w:abstractNumId w:val="404"/>
  </w:num>
  <w:num w:numId="403">
    <w:abstractNumId w:val="405"/>
  </w:num>
  <w:num w:numId="404">
    <w:abstractNumId w:val="406"/>
  </w:num>
  <w:num w:numId="405">
    <w:abstractNumId w:val="407"/>
  </w:num>
  <w:num w:numId="406">
    <w:abstractNumId w:val="408"/>
  </w:num>
  <w:num w:numId="407">
    <w:abstractNumId w:val="409"/>
  </w:num>
  <w:num w:numId="408">
    <w:abstractNumId w:val="410"/>
  </w:num>
  <w:num w:numId="409">
    <w:abstractNumId w:val="411"/>
  </w:num>
  <w:num w:numId="410">
    <w:abstractNumId w:val="412"/>
  </w:num>
  <w:num w:numId="411">
    <w:abstractNumId w:val="413"/>
  </w:num>
  <w:num w:numId="412">
    <w:abstractNumId w:val="414"/>
  </w:num>
  <w:num w:numId="413">
    <w:abstractNumId w:val="415"/>
  </w:num>
  <w:num w:numId="414">
    <w:abstractNumId w:val="416"/>
  </w:num>
  <w:num w:numId="415">
    <w:abstractNumId w:val="417"/>
  </w:num>
  <w:num w:numId="416">
    <w:abstractNumId w:val="418"/>
  </w:num>
  <w:num w:numId="417">
    <w:abstractNumId w:val="419"/>
  </w:num>
  <w:num w:numId="418">
    <w:abstractNumId w:val="420"/>
  </w:num>
  <w:num w:numId="419">
    <w:abstractNumId w:val="421"/>
  </w:num>
  <w:num w:numId="420">
    <w:abstractNumId w:val="422"/>
  </w:num>
  <w:num w:numId="421">
    <w:abstractNumId w:val="423"/>
  </w:num>
  <w:num w:numId="422">
    <w:abstractNumId w:val="424"/>
  </w:num>
  <w:num w:numId="423">
    <w:abstractNumId w:val="425"/>
  </w:num>
  <w:num w:numId="424">
    <w:abstractNumId w:val="426"/>
  </w:num>
  <w:num w:numId="425">
    <w:abstractNumId w:val="427"/>
  </w:num>
  <w:num w:numId="426">
    <w:abstractNumId w:val="428"/>
  </w:num>
  <w:num w:numId="427">
    <w:abstractNumId w:val="429"/>
  </w:num>
  <w:num w:numId="428">
    <w:abstractNumId w:val="430"/>
  </w:num>
  <w:num w:numId="429">
    <w:abstractNumId w:val="431"/>
  </w:num>
  <w:num w:numId="430">
    <w:abstractNumId w:val="432"/>
  </w:num>
  <w:num w:numId="431">
    <w:abstractNumId w:val="433"/>
  </w:num>
  <w:num w:numId="432">
    <w:abstractNumId w:val="434"/>
  </w:num>
  <w:num w:numId="433">
    <w:abstractNumId w:val="435"/>
  </w:num>
  <w:num w:numId="434">
    <w:abstractNumId w:val="436"/>
  </w:num>
  <w:num w:numId="435">
    <w:abstractNumId w:val="437"/>
  </w:num>
  <w:num w:numId="436">
    <w:abstractNumId w:val="438"/>
  </w:num>
  <w:num w:numId="437">
    <w:abstractNumId w:val="439"/>
  </w:num>
  <w:num w:numId="438">
    <w:abstractNumId w:val="440"/>
  </w:num>
  <w:num w:numId="439">
    <w:abstractNumId w:val="441"/>
  </w:num>
  <w:num w:numId="440">
    <w:abstractNumId w:val="442"/>
  </w:num>
  <w:num w:numId="441">
    <w:abstractNumId w:val="443"/>
  </w:num>
  <w:num w:numId="442">
    <w:abstractNumId w:val="444"/>
  </w:num>
  <w:num w:numId="443">
    <w:abstractNumId w:val="445"/>
  </w:num>
  <w:num w:numId="444">
    <w:abstractNumId w:val="446"/>
  </w:num>
  <w:num w:numId="445">
    <w:abstractNumId w:val="447"/>
  </w:num>
  <w:num w:numId="446">
    <w:abstractNumId w:val="448"/>
  </w:num>
  <w:num w:numId="447">
    <w:abstractNumId w:val="449"/>
  </w:num>
  <w:num w:numId="448">
    <w:abstractNumId w:val="450"/>
  </w:num>
  <w:num w:numId="449">
    <w:abstractNumId w:val="451"/>
  </w:num>
  <w:num w:numId="450">
    <w:abstractNumId w:val="452"/>
  </w:num>
  <w:num w:numId="451">
    <w:abstractNumId w:val="453"/>
  </w:num>
  <w:num w:numId="452">
    <w:abstractNumId w:val="454"/>
  </w:num>
  <w:num w:numId="453">
    <w:abstractNumId w:val="455"/>
  </w:num>
  <w:num w:numId="454">
    <w:abstractNumId w:val="456"/>
  </w:num>
  <w:num w:numId="455">
    <w:abstractNumId w:val="457"/>
  </w:num>
  <w:num w:numId="456">
    <w:abstractNumId w:val="458"/>
  </w:num>
  <w:num w:numId="457">
    <w:abstractNumId w:val="459"/>
  </w:num>
  <w:num w:numId="458">
    <w:abstractNumId w:val="460"/>
  </w:num>
  <w:num w:numId="459">
    <w:abstractNumId w:val="461"/>
  </w:num>
  <w:num w:numId="460">
    <w:abstractNumId w:val="462"/>
  </w:num>
  <w:num w:numId="461">
    <w:abstractNumId w:val="463"/>
  </w:num>
  <w:num w:numId="462">
    <w:abstractNumId w:val="464"/>
  </w:num>
  <w:num w:numId="463">
    <w:abstractNumId w:val="465"/>
  </w:num>
  <w:num w:numId="464">
    <w:abstractNumId w:val="466"/>
  </w:num>
  <w:num w:numId="465">
    <w:abstractNumId w:val="467"/>
  </w:num>
  <w:num w:numId="466">
    <w:abstractNumId w:val="468"/>
  </w:num>
  <w:num w:numId="467">
    <w:abstractNumId w:val="469"/>
  </w:num>
  <w:num w:numId="468">
    <w:abstractNumId w:val="470"/>
  </w:num>
  <w:num w:numId="469">
    <w:abstractNumId w:val="471"/>
  </w:num>
  <w:num w:numId="470">
    <w:abstractNumId w:val="472"/>
  </w:num>
  <w:num w:numId="471">
    <w:abstractNumId w:val="473"/>
  </w:num>
  <w:num w:numId="472">
    <w:abstractNumId w:val="474"/>
  </w:num>
  <w:num w:numId="473">
    <w:abstractNumId w:val="475"/>
  </w:num>
  <w:num w:numId="474">
    <w:abstractNumId w:val="476"/>
  </w:num>
  <w:num w:numId="475">
    <w:abstractNumId w:val="477"/>
  </w:num>
  <w:num w:numId="476">
    <w:abstractNumId w:val="478"/>
  </w:num>
  <w:num w:numId="477">
    <w:abstractNumId w:val="479"/>
  </w:num>
  <w:num w:numId="478">
    <w:abstractNumId w:val="480"/>
  </w:num>
  <w:num w:numId="479">
    <w:abstractNumId w:val="481"/>
  </w:num>
  <w:num w:numId="480">
    <w:abstractNumId w:val="482"/>
  </w:num>
  <w:num w:numId="481">
    <w:abstractNumId w:val="483"/>
  </w:num>
  <w:num w:numId="482">
    <w:abstractNumId w:val="484"/>
  </w:num>
  <w:num w:numId="483">
    <w:abstractNumId w:val="485"/>
  </w:num>
  <w:num w:numId="484">
    <w:abstractNumId w:val="486"/>
  </w:num>
  <w:num w:numId="485">
    <w:abstractNumId w:val="487"/>
  </w:num>
  <w:num w:numId="486">
    <w:abstractNumId w:val="488"/>
  </w:num>
  <w:num w:numId="487">
    <w:abstractNumId w:val="489"/>
  </w:num>
  <w:num w:numId="488">
    <w:abstractNumId w:val="490"/>
  </w:num>
  <w:num w:numId="489">
    <w:abstractNumId w:val="491"/>
  </w:num>
  <w:num w:numId="490">
    <w:abstractNumId w:val="492"/>
  </w:num>
  <w:num w:numId="491">
    <w:abstractNumId w:val="493"/>
  </w:num>
  <w:num w:numId="492">
    <w:abstractNumId w:val="494"/>
  </w:num>
  <w:num w:numId="493">
    <w:abstractNumId w:val="495"/>
  </w:num>
  <w:num w:numId="494">
    <w:abstractNumId w:val="496"/>
  </w:num>
  <w:num w:numId="495">
    <w:abstractNumId w:val="497"/>
  </w:num>
  <w:num w:numId="496">
    <w:abstractNumId w:val="498"/>
  </w:num>
  <w:num w:numId="497">
    <w:abstractNumId w:val="499"/>
  </w:num>
  <w:num w:numId="498">
    <w:abstractNumId w:val="500"/>
  </w:num>
  <w:num w:numId="499">
    <w:abstractNumId w:val="501"/>
  </w:num>
  <w:num w:numId="500">
    <w:abstractNumId w:val="502"/>
  </w:num>
  <w:num w:numId="501">
    <w:abstractNumId w:val="503"/>
  </w:num>
  <w:num w:numId="502">
    <w:abstractNumId w:val="504"/>
  </w:num>
  <w:num w:numId="503">
    <w:abstractNumId w:val="505"/>
  </w:num>
  <w:num w:numId="504">
    <w:abstractNumId w:val="506"/>
  </w:num>
  <w:num w:numId="505">
    <w:abstractNumId w:val="507"/>
  </w:num>
  <w:num w:numId="506">
    <w:abstractNumId w:val="508"/>
  </w:num>
  <w:num w:numId="507">
    <w:abstractNumId w:val="509"/>
  </w:num>
  <w:num w:numId="508">
    <w:abstractNumId w:val="510"/>
  </w:num>
  <w:num w:numId="509">
    <w:abstractNumId w:val="511"/>
  </w:num>
  <w:num w:numId="510">
    <w:abstractNumId w:val="512"/>
  </w:num>
  <w:num w:numId="511">
    <w:abstractNumId w:val="513"/>
  </w:num>
  <w:num w:numId="512">
    <w:abstractNumId w:val="514"/>
  </w:num>
  <w:num w:numId="513">
    <w:abstractNumId w:val="515"/>
  </w:num>
  <w:num w:numId="514">
    <w:abstractNumId w:val="516"/>
  </w:num>
  <w:num w:numId="515">
    <w:abstractNumId w:val="517"/>
  </w:num>
  <w:num w:numId="516">
    <w:abstractNumId w:val="518"/>
  </w:num>
  <w:num w:numId="517">
    <w:abstractNumId w:val="519"/>
  </w:num>
  <w:num w:numId="518">
    <w:abstractNumId w:val="520"/>
  </w:num>
  <w:num w:numId="519">
    <w:abstractNumId w:val="521"/>
  </w:num>
  <w:num w:numId="520">
    <w:abstractNumId w:val="522"/>
  </w:num>
  <w:num w:numId="521">
    <w:abstractNumId w:val="523"/>
  </w:num>
  <w:num w:numId="522">
    <w:abstractNumId w:val="524"/>
  </w:num>
  <w:num w:numId="523">
    <w:abstractNumId w:val="525"/>
  </w:num>
  <w:num w:numId="524">
    <w:abstractNumId w:val="526"/>
  </w:num>
  <w:num w:numId="525">
    <w:abstractNumId w:val="527"/>
  </w:num>
  <w:num w:numId="526">
    <w:abstractNumId w:val="528"/>
  </w:num>
  <w:num w:numId="527">
    <w:abstractNumId w:val="529"/>
  </w:num>
  <w:num w:numId="528">
    <w:abstractNumId w:val="530"/>
  </w:num>
  <w:num w:numId="529">
    <w:abstractNumId w:val="531"/>
  </w:num>
  <w:num w:numId="530">
    <w:abstractNumId w:val="532"/>
  </w:num>
  <w:num w:numId="531">
    <w:abstractNumId w:val="533"/>
  </w:num>
  <w:num w:numId="532">
    <w:abstractNumId w:val="534"/>
  </w:num>
  <w:num w:numId="533">
    <w:abstractNumId w:val="535"/>
  </w:num>
  <w:num w:numId="534">
    <w:abstractNumId w:val="536"/>
  </w:num>
  <w:num w:numId="535">
    <w:abstractNumId w:val="537"/>
  </w:num>
  <w:num w:numId="536">
    <w:abstractNumId w:val="538"/>
  </w:num>
  <w:num w:numId="537">
    <w:abstractNumId w:val="539"/>
  </w:num>
  <w:num w:numId="538">
    <w:abstractNumId w:val="540"/>
  </w:num>
  <w:num w:numId="539">
    <w:abstractNumId w:val="541"/>
  </w:num>
  <w:num w:numId="540">
    <w:abstractNumId w:val="542"/>
  </w:num>
  <w:num w:numId="541">
    <w:abstractNumId w:val="543"/>
  </w:num>
  <w:num w:numId="542">
    <w:abstractNumId w:val="544"/>
  </w:num>
  <w:num w:numId="543">
    <w:abstractNumId w:val="545"/>
  </w:num>
  <w:num w:numId="544">
    <w:abstractNumId w:val="546"/>
  </w:num>
  <w:num w:numId="545">
    <w:abstractNumId w:val="547"/>
  </w:num>
  <w:num w:numId="546">
    <w:abstractNumId w:val="548"/>
  </w:num>
  <w:num w:numId="547">
    <w:abstractNumId w:val="549"/>
  </w:num>
  <w:num w:numId="548">
    <w:abstractNumId w:val="550"/>
  </w:num>
  <w:num w:numId="549">
    <w:abstractNumId w:val="551"/>
  </w:num>
  <w:num w:numId="550">
    <w:abstractNumId w:val="552"/>
  </w:num>
  <w:num w:numId="551">
    <w:abstractNumId w:val="553"/>
  </w:num>
  <w:num w:numId="552">
    <w:abstractNumId w:val="554"/>
  </w:num>
  <w:num w:numId="553">
    <w:abstractNumId w:val="555"/>
  </w:num>
  <w:num w:numId="554">
    <w:abstractNumId w:val="556"/>
  </w:num>
  <w:num w:numId="555">
    <w:abstractNumId w:val="557"/>
  </w:num>
  <w:num w:numId="556">
    <w:abstractNumId w:val="558"/>
  </w:num>
  <w:num w:numId="557">
    <w:abstractNumId w:val="559"/>
  </w:num>
  <w:num w:numId="558">
    <w:abstractNumId w:val="560"/>
  </w:num>
  <w:num w:numId="559">
    <w:abstractNumId w:val="561"/>
  </w:num>
  <w:num w:numId="560">
    <w:abstractNumId w:val="562"/>
  </w:num>
  <w:num w:numId="561">
    <w:abstractNumId w:val="563"/>
  </w:num>
  <w:num w:numId="562">
    <w:abstractNumId w:val="564"/>
  </w:num>
  <w:num w:numId="563">
    <w:abstractNumId w:val="565"/>
  </w:num>
  <w:num w:numId="564">
    <w:abstractNumId w:val="566"/>
  </w:num>
  <w:num w:numId="565">
    <w:abstractNumId w:val="567"/>
  </w:num>
  <w:num w:numId="566">
    <w:abstractNumId w:val="568"/>
  </w:num>
  <w:num w:numId="567">
    <w:abstractNumId w:val="569"/>
  </w:num>
  <w:num w:numId="568">
    <w:abstractNumId w:val="570"/>
  </w:num>
  <w:num w:numId="569">
    <w:abstractNumId w:val="571"/>
  </w:num>
  <w:num w:numId="570">
    <w:abstractNumId w:val="572"/>
  </w:num>
  <w:num w:numId="571">
    <w:abstractNumId w:val="573"/>
  </w:num>
  <w:num w:numId="572">
    <w:abstractNumId w:val="574"/>
  </w:num>
  <w:num w:numId="573">
    <w:abstractNumId w:val="575"/>
  </w:num>
  <w:num w:numId="574">
    <w:abstractNumId w:val="576"/>
  </w:num>
  <w:num w:numId="575">
    <w:abstractNumId w:val="577"/>
  </w:num>
  <w:num w:numId="576">
    <w:abstractNumId w:val="578"/>
  </w:num>
  <w:num w:numId="577">
    <w:abstractNumId w:val="579"/>
  </w:num>
  <w:num w:numId="578">
    <w:abstractNumId w:val="580"/>
  </w:num>
  <w:num w:numId="579">
    <w:abstractNumId w:val="581"/>
  </w:num>
  <w:num w:numId="580">
    <w:abstractNumId w:val="582"/>
  </w:num>
  <w:num w:numId="581">
    <w:abstractNumId w:val="583"/>
  </w:num>
  <w:num w:numId="582">
    <w:abstractNumId w:val="58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hideSpellingErrors/>
  <w:zoom w:percent="100"/>
  <w:removePersonalInformation/>
  <w:removeDateAndTime/>
  <w:embedTrueTypeFonts/>
  <w:embedSystemFonts/>
  <w:stylePaneFormatFilter w:val="3F01"/>
  <w:doNotTrackMoves/>
  <w:defaultTabStop w:val="720"/>
  <w:displayHorizontalDrawingGridEvery w:val="0"/>
  <w:displayVerticalDrawingGridEvery w:val="0"/>
  <w:doNotUseMarginsForDrawingGridOrigin/>
  <w:drawingGridHorizontalOrigin w:val="1701"/>
  <w:drawingGridVerticalOrigin w:val="1984"/>
  <w:noPunctuationKerning/>
  <w:characterSpacingControl w:val="doNotCompress"/>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B538D8"/>
    <w:rsid w:val="00001E6E"/>
    <w:rsid w:val="000025C7"/>
    <w:rsid w:val="00002B97"/>
    <w:rsid w:val="00011C15"/>
    <w:rsid w:val="00013F30"/>
    <w:rsid w:val="000161D2"/>
    <w:rsid w:val="00027B3A"/>
    <w:rsid w:val="000465D1"/>
    <w:rsid w:val="000509CF"/>
    <w:rsid w:val="00052488"/>
    <w:rsid w:val="0005270A"/>
    <w:rsid w:val="000567D8"/>
    <w:rsid w:val="000610F9"/>
    <w:rsid w:val="00062C4F"/>
    <w:rsid w:val="00063729"/>
    <w:rsid w:val="0006666A"/>
    <w:rsid w:val="00066936"/>
    <w:rsid w:val="000700A3"/>
    <w:rsid w:val="00070BF2"/>
    <w:rsid w:val="00073100"/>
    <w:rsid w:val="00077D84"/>
    <w:rsid w:val="00084750"/>
    <w:rsid w:val="00094BC2"/>
    <w:rsid w:val="00097749"/>
    <w:rsid w:val="00097AD4"/>
    <w:rsid w:val="000A1ABB"/>
    <w:rsid w:val="000A2719"/>
    <w:rsid w:val="000A3480"/>
    <w:rsid w:val="000A3CD6"/>
    <w:rsid w:val="000A5F1F"/>
    <w:rsid w:val="000A612B"/>
    <w:rsid w:val="000B40D7"/>
    <w:rsid w:val="000B66B5"/>
    <w:rsid w:val="000B76DA"/>
    <w:rsid w:val="000C1FE8"/>
    <w:rsid w:val="000C269C"/>
    <w:rsid w:val="000C2E95"/>
    <w:rsid w:val="000C3217"/>
    <w:rsid w:val="000C494F"/>
    <w:rsid w:val="000C570C"/>
    <w:rsid w:val="000C778E"/>
    <w:rsid w:val="000D1F6A"/>
    <w:rsid w:val="000D49BF"/>
    <w:rsid w:val="000D6FA3"/>
    <w:rsid w:val="000E0B8E"/>
    <w:rsid w:val="000E0F54"/>
    <w:rsid w:val="000E1B5D"/>
    <w:rsid w:val="000E23C9"/>
    <w:rsid w:val="000E4C90"/>
    <w:rsid w:val="000F088C"/>
    <w:rsid w:val="000F1FF8"/>
    <w:rsid w:val="000F288D"/>
    <w:rsid w:val="000F2B29"/>
    <w:rsid w:val="000F4D07"/>
    <w:rsid w:val="000F77B2"/>
    <w:rsid w:val="00102D6F"/>
    <w:rsid w:val="00103CEE"/>
    <w:rsid w:val="00115C88"/>
    <w:rsid w:val="00116DD6"/>
    <w:rsid w:val="00117C66"/>
    <w:rsid w:val="00120799"/>
    <w:rsid w:val="001225A7"/>
    <w:rsid w:val="001233A5"/>
    <w:rsid w:val="00123B0C"/>
    <w:rsid w:val="00124612"/>
    <w:rsid w:val="00126C6E"/>
    <w:rsid w:val="00127FED"/>
    <w:rsid w:val="0013208A"/>
    <w:rsid w:val="00132A62"/>
    <w:rsid w:val="00135D7E"/>
    <w:rsid w:val="00136257"/>
    <w:rsid w:val="001404DA"/>
    <w:rsid w:val="001430E4"/>
    <w:rsid w:val="00147229"/>
    <w:rsid w:val="00153C72"/>
    <w:rsid w:val="00157E5A"/>
    <w:rsid w:val="00162E7B"/>
    <w:rsid w:val="00164810"/>
    <w:rsid w:val="00164D2A"/>
    <w:rsid w:val="001659FC"/>
    <w:rsid w:val="001677EA"/>
    <w:rsid w:val="00167F92"/>
    <w:rsid w:val="00170CD8"/>
    <w:rsid w:val="00171825"/>
    <w:rsid w:val="00171EBD"/>
    <w:rsid w:val="001755F5"/>
    <w:rsid w:val="00180BE9"/>
    <w:rsid w:val="001810DA"/>
    <w:rsid w:val="00192821"/>
    <w:rsid w:val="001934ED"/>
    <w:rsid w:val="00196DE7"/>
    <w:rsid w:val="001A0B3E"/>
    <w:rsid w:val="001A0F53"/>
    <w:rsid w:val="001A115C"/>
    <w:rsid w:val="001A6E77"/>
    <w:rsid w:val="001B284B"/>
    <w:rsid w:val="001B3243"/>
    <w:rsid w:val="001B4816"/>
    <w:rsid w:val="001B6D5B"/>
    <w:rsid w:val="001C0105"/>
    <w:rsid w:val="001C2C04"/>
    <w:rsid w:val="001C727B"/>
    <w:rsid w:val="001D0303"/>
    <w:rsid w:val="001D094F"/>
    <w:rsid w:val="001D32CC"/>
    <w:rsid w:val="001D35C9"/>
    <w:rsid w:val="001D534D"/>
    <w:rsid w:val="001D7835"/>
    <w:rsid w:val="001E1B85"/>
    <w:rsid w:val="001E1D5A"/>
    <w:rsid w:val="001F10DC"/>
    <w:rsid w:val="001F159E"/>
    <w:rsid w:val="001F4D52"/>
    <w:rsid w:val="001F7091"/>
    <w:rsid w:val="002031B8"/>
    <w:rsid w:val="00211D52"/>
    <w:rsid w:val="00213D61"/>
    <w:rsid w:val="00213F7E"/>
    <w:rsid w:val="00214CBA"/>
    <w:rsid w:val="0022049F"/>
    <w:rsid w:val="002217EF"/>
    <w:rsid w:val="002249E9"/>
    <w:rsid w:val="00230797"/>
    <w:rsid w:val="002318C0"/>
    <w:rsid w:val="002349C3"/>
    <w:rsid w:val="00236422"/>
    <w:rsid w:val="00252B51"/>
    <w:rsid w:val="0025435C"/>
    <w:rsid w:val="002559D7"/>
    <w:rsid w:val="00256893"/>
    <w:rsid w:val="0025740D"/>
    <w:rsid w:val="002643D8"/>
    <w:rsid w:val="002652D4"/>
    <w:rsid w:val="00270E99"/>
    <w:rsid w:val="0027265C"/>
    <w:rsid w:val="00273AB1"/>
    <w:rsid w:val="00275463"/>
    <w:rsid w:val="0027612B"/>
    <w:rsid w:val="00276253"/>
    <w:rsid w:val="00280E12"/>
    <w:rsid w:val="0029100A"/>
    <w:rsid w:val="00292B54"/>
    <w:rsid w:val="00296983"/>
    <w:rsid w:val="002A764E"/>
    <w:rsid w:val="002B150D"/>
    <w:rsid w:val="002B334D"/>
    <w:rsid w:val="002B57B0"/>
    <w:rsid w:val="002D1F0B"/>
    <w:rsid w:val="002E2EA7"/>
    <w:rsid w:val="002E2F12"/>
    <w:rsid w:val="002E457C"/>
    <w:rsid w:val="002F1A1E"/>
    <w:rsid w:val="002F21D8"/>
    <w:rsid w:val="002F399F"/>
    <w:rsid w:val="003000A8"/>
    <w:rsid w:val="00300F23"/>
    <w:rsid w:val="003039ED"/>
    <w:rsid w:val="00305BA4"/>
    <w:rsid w:val="00310935"/>
    <w:rsid w:val="0031284E"/>
    <w:rsid w:val="00313DB4"/>
    <w:rsid w:val="00314BC7"/>
    <w:rsid w:val="00317EAC"/>
    <w:rsid w:val="00320947"/>
    <w:rsid w:val="003269DC"/>
    <w:rsid w:val="003315A0"/>
    <w:rsid w:val="00335A6C"/>
    <w:rsid w:val="00341479"/>
    <w:rsid w:val="00346BC2"/>
    <w:rsid w:val="00350D1F"/>
    <w:rsid w:val="003528C3"/>
    <w:rsid w:val="0035305C"/>
    <w:rsid w:val="003600B2"/>
    <w:rsid w:val="003616F6"/>
    <w:rsid w:val="0036424C"/>
    <w:rsid w:val="003677C2"/>
    <w:rsid w:val="00370BD4"/>
    <w:rsid w:val="003734F9"/>
    <w:rsid w:val="00373D3F"/>
    <w:rsid w:val="00373FCE"/>
    <w:rsid w:val="003800EA"/>
    <w:rsid w:val="003835F2"/>
    <w:rsid w:val="00387F2E"/>
    <w:rsid w:val="00390980"/>
    <w:rsid w:val="003930B0"/>
    <w:rsid w:val="0039384A"/>
    <w:rsid w:val="00395EBD"/>
    <w:rsid w:val="003A1DB6"/>
    <w:rsid w:val="003A4EA8"/>
    <w:rsid w:val="003B05E1"/>
    <w:rsid w:val="003B1046"/>
    <w:rsid w:val="003B4025"/>
    <w:rsid w:val="003B4FD5"/>
    <w:rsid w:val="003B5A4C"/>
    <w:rsid w:val="003B6D4A"/>
    <w:rsid w:val="003C5EE6"/>
    <w:rsid w:val="003C6C81"/>
    <w:rsid w:val="003C6E91"/>
    <w:rsid w:val="003D0D1A"/>
    <w:rsid w:val="003D2871"/>
    <w:rsid w:val="003D54AB"/>
    <w:rsid w:val="003D6038"/>
    <w:rsid w:val="003D6B97"/>
    <w:rsid w:val="003D7415"/>
    <w:rsid w:val="003E20E8"/>
    <w:rsid w:val="003F26A0"/>
    <w:rsid w:val="003F6BAD"/>
    <w:rsid w:val="00402C44"/>
    <w:rsid w:val="00403AEE"/>
    <w:rsid w:val="0042065A"/>
    <w:rsid w:val="004247C1"/>
    <w:rsid w:val="004256BD"/>
    <w:rsid w:val="00426DE9"/>
    <w:rsid w:val="004333F7"/>
    <w:rsid w:val="00435642"/>
    <w:rsid w:val="00436740"/>
    <w:rsid w:val="00440C49"/>
    <w:rsid w:val="004410C4"/>
    <w:rsid w:val="004415DD"/>
    <w:rsid w:val="0044304C"/>
    <w:rsid w:val="00446CDB"/>
    <w:rsid w:val="0045367A"/>
    <w:rsid w:val="0045450B"/>
    <w:rsid w:val="004551CD"/>
    <w:rsid w:val="0045561B"/>
    <w:rsid w:val="0046183D"/>
    <w:rsid w:val="00463BDE"/>
    <w:rsid w:val="004653AB"/>
    <w:rsid w:val="004675DD"/>
    <w:rsid w:val="00471404"/>
    <w:rsid w:val="00472B70"/>
    <w:rsid w:val="00473930"/>
    <w:rsid w:val="00480D7E"/>
    <w:rsid w:val="00481510"/>
    <w:rsid w:val="004820D8"/>
    <w:rsid w:val="004837C9"/>
    <w:rsid w:val="00483C37"/>
    <w:rsid w:val="00487D45"/>
    <w:rsid w:val="00492969"/>
    <w:rsid w:val="00492BAA"/>
    <w:rsid w:val="004936B2"/>
    <w:rsid w:val="00493CD1"/>
    <w:rsid w:val="00495491"/>
    <w:rsid w:val="004A1010"/>
    <w:rsid w:val="004A30DD"/>
    <w:rsid w:val="004A339B"/>
    <w:rsid w:val="004A33F6"/>
    <w:rsid w:val="004A6135"/>
    <w:rsid w:val="004B6788"/>
    <w:rsid w:val="004D111A"/>
    <w:rsid w:val="004D174D"/>
    <w:rsid w:val="004D4465"/>
    <w:rsid w:val="004E0320"/>
    <w:rsid w:val="004E1EFA"/>
    <w:rsid w:val="004E4892"/>
    <w:rsid w:val="004E4F78"/>
    <w:rsid w:val="004F1344"/>
    <w:rsid w:val="004F3466"/>
    <w:rsid w:val="004F4163"/>
    <w:rsid w:val="004F5302"/>
    <w:rsid w:val="004F7AEA"/>
    <w:rsid w:val="004F7FCB"/>
    <w:rsid w:val="00500B0F"/>
    <w:rsid w:val="00500F47"/>
    <w:rsid w:val="0050247A"/>
    <w:rsid w:val="005031FD"/>
    <w:rsid w:val="00503BD6"/>
    <w:rsid w:val="005103F1"/>
    <w:rsid w:val="00513D98"/>
    <w:rsid w:val="00513DDF"/>
    <w:rsid w:val="0051429C"/>
    <w:rsid w:val="0051495D"/>
    <w:rsid w:val="00520A73"/>
    <w:rsid w:val="00522CDD"/>
    <w:rsid w:val="00523057"/>
    <w:rsid w:val="00533CE2"/>
    <w:rsid w:val="00533D94"/>
    <w:rsid w:val="005347FE"/>
    <w:rsid w:val="005351C4"/>
    <w:rsid w:val="00540728"/>
    <w:rsid w:val="0054420F"/>
    <w:rsid w:val="005507F0"/>
    <w:rsid w:val="0055080F"/>
    <w:rsid w:val="005526A1"/>
    <w:rsid w:val="00554619"/>
    <w:rsid w:val="0056286B"/>
    <w:rsid w:val="0056464E"/>
    <w:rsid w:val="0056504B"/>
    <w:rsid w:val="005708CD"/>
    <w:rsid w:val="00573B11"/>
    <w:rsid w:val="005762A6"/>
    <w:rsid w:val="00577C7C"/>
    <w:rsid w:val="00581D46"/>
    <w:rsid w:val="00582465"/>
    <w:rsid w:val="005835DB"/>
    <w:rsid w:val="0058522A"/>
    <w:rsid w:val="00586587"/>
    <w:rsid w:val="00591357"/>
    <w:rsid w:val="005929CE"/>
    <w:rsid w:val="00592E64"/>
    <w:rsid w:val="005956D6"/>
    <w:rsid w:val="00596225"/>
    <w:rsid w:val="005A3E85"/>
    <w:rsid w:val="005A4E6C"/>
    <w:rsid w:val="005A7E2E"/>
    <w:rsid w:val="005B02DF"/>
    <w:rsid w:val="005B246C"/>
    <w:rsid w:val="005B64EE"/>
    <w:rsid w:val="005B6CAE"/>
    <w:rsid w:val="005B78CA"/>
    <w:rsid w:val="005C4370"/>
    <w:rsid w:val="005C5A7B"/>
    <w:rsid w:val="005C738E"/>
    <w:rsid w:val="005D2051"/>
    <w:rsid w:val="005D7F00"/>
    <w:rsid w:val="005E13F3"/>
    <w:rsid w:val="005E2F69"/>
    <w:rsid w:val="005E3AE2"/>
    <w:rsid w:val="005E62F8"/>
    <w:rsid w:val="005E7742"/>
    <w:rsid w:val="005F4C83"/>
    <w:rsid w:val="0060035A"/>
    <w:rsid w:val="00601990"/>
    <w:rsid w:val="00601CBC"/>
    <w:rsid w:val="006057F9"/>
    <w:rsid w:val="0060603B"/>
    <w:rsid w:val="00606455"/>
    <w:rsid w:val="006116E6"/>
    <w:rsid w:val="006124CE"/>
    <w:rsid w:val="00613117"/>
    <w:rsid w:val="00613798"/>
    <w:rsid w:val="006151DE"/>
    <w:rsid w:val="006157B8"/>
    <w:rsid w:val="006160A3"/>
    <w:rsid w:val="006208A1"/>
    <w:rsid w:val="00622438"/>
    <w:rsid w:val="00623950"/>
    <w:rsid w:val="006241B1"/>
    <w:rsid w:val="006260BC"/>
    <w:rsid w:val="006351D9"/>
    <w:rsid w:val="0063550E"/>
    <w:rsid w:val="0064258E"/>
    <w:rsid w:val="006430A2"/>
    <w:rsid w:val="00645E72"/>
    <w:rsid w:val="00645FC2"/>
    <w:rsid w:val="00647B27"/>
    <w:rsid w:val="00652AB7"/>
    <w:rsid w:val="00653F17"/>
    <w:rsid w:val="00655A9D"/>
    <w:rsid w:val="00662B1F"/>
    <w:rsid w:val="00664580"/>
    <w:rsid w:val="00665CB5"/>
    <w:rsid w:val="0067352E"/>
    <w:rsid w:val="006752F0"/>
    <w:rsid w:val="006761F1"/>
    <w:rsid w:val="0067763F"/>
    <w:rsid w:val="00677D23"/>
    <w:rsid w:val="00681D22"/>
    <w:rsid w:val="006823E0"/>
    <w:rsid w:val="00682E0A"/>
    <w:rsid w:val="00684864"/>
    <w:rsid w:val="0068582F"/>
    <w:rsid w:val="00687A5D"/>
    <w:rsid w:val="0069064B"/>
    <w:rsid w:val="00697AF8"/>
    <w:rsid w:val="00697B88"/>
    <w:rsid w:val="006A1E7E"/>
    <w:rsid w:val="006A642E"/>
    <w:rsid w:val="006A6603"/>
    <w:rsid w:val="006A6ADF"/>
    <w:rsid w:val="006A79C6"/>
    <w:rsid w:val="006A7B34"/>
    <w:rsid w:val="006B2045"/>
    <w:rsid w:val="006B3D4E"/>
    <w:rsid w:val="006B5E16"/>
    <w:rsid w:val="006C2059"/>
    <w:rsid w:val="006C3E71"/>
    <w:rsid w:val="006C4BB2"/>
    <w:rsid w:val="006C66F2"/>
    <w:rsid w:val="006D1B2F"/>
    <w:rsid w:val="006D4255"/>
    <w:rsid w:val="006D51D2"/>
    <w:rsid w:val="006D7733"/>
    <w:rsid w:val="006E141E"/>
    <w:rsid w:val="006E38BC"/>
    <w:rsid w:val="006F043F"/>
    <w:rsid w:val="006F2890"/>
    <w:rsid w:val="006F3C3C"/>
    <w:rsid w:val="006F40C8"/>
    <w:rsid w:val="007008B0"/>
    <w:rsid w:val="00701CDF"/>
    <w:rsid w:val="00702D11"/>
    <w:rsid w:val="007114E3"/>
    <w:rsid w:val="00712477"/>
    <w:rsid w:val="00716B84"/>
    <w:rsid w:val="0071733B"/>
    <w:rsid w:val="00722F31"/>
    <w:rsid w:val="00730878"/>
    <w:rsid w:val="0073128E"/>
    <w:rsid w:val="0073361C"/>
    <w:rsid w:val="00733ECB"/>
    <w:rsid w:val="00735504"/>
    <w:rsid w:val="007400B0"/>
    <w:rsid w:val="00745828"/>
    <w:rsid w:val="00745E3B"/>
    <w:rsid w:val="007522B8"/>
    <w:rsid w:val="00753BD9"/>
    <w:rsid w:val="00754A4E"/>
    <w:rsid w:val="00762B8C"/>
    <w:rsid w:val="0076455A"/>
    <w:rsid w:val="007656FD"/>
    <w:rsid w:val="007660E6"/>
    <w:rsid w:val="007668A0"/>
    <w:rsid w:val="00767DB2"/>
    <w:rsid w:val="00770266"/>
    <w:rsid w:val="00774D6C"/>
    <w:rsid w:val="0078153C"/>
    <w:rsid w:val="007826C1"/>
    <w:rsid w:val="0078362A"/>
    <w:rsid w:val="007855B4"/>
    <w:rsid w:val="00792538"/>
    <w:rsid w:val="00796234"/>
    <w:rsid w:val="007A1805"/>
    <w:rsid w:val="007A3328"/>
    <w:rsid w:val="007A635F"/>
    <w:rsid w:val="007B1B62"/>
    <w:rsid w:val="007B1E8F"/>
    <w:rsid w:val="007B1FC4"/>
    <w:rsid w:val="007B576B"/>
    <w:rsid w:val="007B61BD"/>
    <w:rsid w:val="007C5188"/>
    <w:rsid w:val="007D587A"/>
    <w:rsid w:val="007D5D56"/>
    <w:rsid w:val="007D6D19"/>
    <w:rsid w:val="007D6E83"/>
    <w:rsid w:val="007E02B0"/>
    <w:rsid w:val="007E2E52"/>
    <w:rsid w:val="007E5AA1"/>
    <w:rsid w:val="007F4D3A"/>
    <w:rsid w:val="007F5425"/>
    <w:rsid w:val="007F550F"/>
    <w:rsid w:val="00804844"/>
    <w:rsid w:val="00806281"/>
    <w:rsid w:val="0080631C"/>
    <w:rsid w:val="00822331"/>
    <w:rsid w:val="00823970"/>
    <w:rsid w:val="00824932"/>
    <w:rsid w:val="00831875"/>
    <w:rsid w:val="00833149"/>
    <w:rsid w:val="0083323C"/>
    <w:rsid w:val="00835A48"/>
    <w:rsid w:val="008361C0"/>
    <w:rsid w:val="008377CE"/>
    <w:rsid w:val="00841108"/>
    <w:rsid w:val="00844188"/>
    <w:rsid w:val="008460C0"/>
    <w:rsid w:val="00852277"/>
    <w:rsid w:val="0085264B"/>
    <w:rsid w:val="00862C72"/>
    <w:rsid w:val="00865F4C"/>
    <w:rsid w:val="008675BB"/>
    <w:rsid w:val="0086766F"/>
    <w:rsid w:val="00872453"/>
    <w:rsid w:val="00877A08"/>
    <w:rsid w:val="00881CAB"/>
    <w:rsid w:val="00885932"/>
    <w:rsid w:val="00890D8C"/>
    <w:rsid w:val="008949E7"/>
    <w:rsid w:val="00896B8B"/>
    <w:rsid w:val="008A3813"/>
    <w:rsid w:val="008B0569"/>
    <w:rsid w:val="008B3D56"/>
    <w:rsid w:val="008B6933"/>
    <w:rsid w:val="008B7655"/>
    <w:rsid w:val="008C265C"/>
    <w:rsid w:val="008C5263"/>
    <w:rsid w:val="008C69A8"/>
    <w:rsid w:val="008D1DF1"/>
    <w:rsid w:val="008D20B7"/>
    <w:rsid w:val="008D22EB"/>
    <w:rsid w:val="008F6004"/>
    <w:rsid w:val="008F6F4D"/>
    <w:rsid w:val="009023C1"/>
    <w:rsid w:val="00904F66"/>
    <w:rsid w:val="00906244"/>
    <w:rsid w:val="0091298E"/>
    <w:rsid w:val="00917C39"/>
    <w:rsid w:val="00922575"/>
    <w:rsid w:val="009250B5"/>
    <w:rsid w:val="0093008E"/>
    <w:rsid w:val="00932D2B"/>
    <w:rsid w:val="00933977"/>
    <w:rsid w:val="00933AB3"/>
    <w:rsid w:val="0093544E"/>
    <w:rsid w:val="0093591A"/>
    <w:rsid w:val="00935975"/>
    <w:rsid w:val="00941838"/>
    <w:rsid w:val="009440D0"/>
    <w:rsid w:val="009479DA"/>
    <w:rsid w:val="00950DA3"/>
    <w:rsid w:val="00955D0B"/>
    <w:rsid w:val="009564CC"/>
    <w:rsid w:val="009567F1"/>
    <w:rsid w:val="0096173E"/>
    <w:rsid w:val="00961E83"/>
    <w:rsid w:val="0096308C"/>
    <w:rsid w:val="00963927"/>
    <w:rsid w:val="009649FC"/>
    <w:rsid w:val="00965273"/>
    <w:rsid w:val="009678C3"/>
    <w:rsid w:val="00967E22"/>
    <w:rsid w:val="0097024E"/>
    <w:rsid w:val="009719F1"/>
    <w:rsid w:val="00973C9F"/>
    <w:rsid w:val="009742F3"/>
    <w:rsid w:val="009757E4"/>
    <w:rsid w:val="0097740C"/>
    <w:rsid w:val="00981D73"/>
    <w:rsid w:val="00985132"/>
    <w:rsid w:val="00985272"/>
    <w:rsid w:val="00990D9F"/>
    <w:rsid w:val="00991CD2"/>
    <w:rsid w:val="00991EDD"/>
    <w:rsid w:val="00997D6B"/>
    <w:rsid w:val="009A45B6"/>
    <w:rsid w:val="009B31D3"/>
    <w:rsid w:val="009B3977"/>
    <w:rsid w:val="009C0DDE"/>
    <w:rsid w:val="009C1E4E"/>
    <w:rsid w:val="009C66D9"/>
    <w:rsid w:val="009C7B69"/>
    <w:rsid w:val="009D5849"/>
    <w:rsid w:val="009D6F5E"/>
    <w:rsid w:val="009E3C76"/>
    <w:rsid w:val="009E5C79"/>
    <w:rsid w:val="009E7D93"/>
    <w:rsid w:val="009F40F0"/>
    <w:rsid w:val="009F584F"/>
    <w:rsid w:val="009F60DB"/>
    <w:rsid w:val="009F7173"/>
    <w:rsid w:val="00A010F9"/>
    <w:rsid w:val="00A01402"/>
    <w:rsid w:val="00A03817"/>
    <w:rsid w:val="00A05415"/>
    <w:rsid w:val="00A056FC"/>
    <w:rsid w:val="00A07CBE"/>
    <w:rsid w:val="00A112AE"/>
    <w:rsid w:val="00A11929"/>
    <w:rsid w:val="00A1370F"/>
    <w:rsid w:val="00A20E9A"/>
    <w:rsid w:val="00A22775"/>
    <w:rsid w:val="00A24F4C"/>
    <w:rsid w:val="00A25A3B"/>
    <w:rsid w:val="00A32868"/>
    <w:rsid w:val="00A333C2"/>
    <w:rsid w:val="00A34070"/>
    <w:rsid w:val="00A35763"/>
    <w:rsid w:val="00A373F9"/>
    <w:rsid w:val="00A40DBE"/>
    <w:rsid w:val="00A41BAE"/>
    <w:rsid w:val="00A50A65"/>
    <w:rsid w:val="00A52742"/>
    <w:rsid w:val="00A60C30"/>
    <w:rsid w:val="00A65079"/>
    <w:rsid w:val="00A73622"/>
    <w:rsid w:val="00A7548C"/>
    <w:rsid w:val="00A80F3C"/>
    <w:rsid w:val="00A81C7B"/>
    <w:rsid w:val="00A845EB"/>
    <w:rsid w:val="00A85DE5"/>
    <w:rsid w:val="00A91087"/>
    <w:rsid w:val="00A930A3"/>
    <w:rsid w:val="00A9326B"/>
    <w:rsid w:val="00A94034"/>
    <w:rsid w:val="00AA05A9"/>
    <w:rsid w:val="00AA188B"/>
    <w:rsid w:val="00AA2E49"/>
    <w:rsid w:val="00AB0744"/>
    <w:rsid w:val="00AB0AF3"/>
    <w:rsid w:val="00AB36D7"/>
    <w:rsid w:val="00AC12E9"/>
    <w:rsid w:val="00AC73F5"/>
    <w:rsid w:val="00AD3BB9"/>
    <w:rsid w:val="00AD6E66"/>
    <w:rsid w:val="00AD7793"/>
    <w:rsid w:val="00AE0E87"/>
    <w:rsid w:val="00AE257B"/>
    <w:rsid w:val="00AE600B"/>
    <w:rsid w:val="00AE6F88"/>
    <w:rsid w:val="00AE709B"/>
    <w:rsid w:val="00AF0575"/>
    <w:rsid w:val="00AF1974"/>
    <w:rsid w:val="00AF2DC6"/>
    <w:rsid w:val="00AF341F"/>
    <w:rsid w:val="00AF41AE"/>
    <w:rsid w:val="00B00661"/>
    <w:rsid w:val="00B03C51"/>
    <w:rsid w:val="00B20D1D"/>
    <w:rsid w:val="00B21222"/>
    <w:rsid w:val="00B21E0A"/>
    <w:rsid w:val="00B2659E"/>
    <w:rsid w:val="00B27306"/>
    <w:rsid w:val="00B30A29"/>
    <w:rsid w:val="00B318F2"/>
    <w:rsid w:val="00B31D32"/>
    <w:rsid w:val="00B3222D"/>
    <w:rsid w:val="00B40BFF"/>
    <w:rsid w:val="00B443AB"/>
    <w:rsid w:val="00B45822"/>
    <w:rsid w:val="00B460D4"/>
    <w:rsid w:val="00B46162"/>
    <w:rsid w:val="00B476FF"/>
    <w:rsid w:val="00B538D8"/>
    <w:rsid w:val="00B55624"/>
    <w:rsid w:val="00B617BF"/>
    <w:rsid w:val="00B62C7C"/>
    <w:rsid w:val="00B634CE"/>
    <w:rsid w:val="00B6369C"/>
    <w:rsid w:val="00B715D7"/>
    <w:rsid w:val="00B72E62"/>
    <w:rsid w:val="00B73220"/>
    <w:rsid w:val="00B767CE"/>
    <w:rsid w:val="00B7764A"/>
    <w:rsid w:val="00B8133E"/>
    <w:rsid w:val="00B8350C"/>
    <w:rsid w:val="00B84E2F"/>
    <w:rsid w:val="00B85A61"/>
    <w:rsid w:val="00B86465"/>
    <w:rsid w:val="00B8703B"/>
    <w:rsid w:val="00B9026D"/>
    <w:rsid w:val="00B90745"/>
    <w:rsid w:val="00B92511"/>
    <w:rsid w:val="00B93020"/>
    <w:rsid w:val="00B93EA9"/>
    <w:rsid w:val="00B94542"/>
    <w:rsid w:val="00BA0280"/>
    <w:rsid w:val="00BA5FE9"/>
    <w:rsid w:val="00BB04AF"/>
    <w:rsid w:val="00BB0FFD"/>
    <w:rsid w:val="00BB2B5D"/>
    <w:rsid w:val="00BB66ED"/>
    <w:rsid w:val="00BB7D5C"/>
    <w:rsid w:val="00BC1F05"/>
    <w:rsid w:val="00BC3CD5"/>
    <w:rsid w:val="00BD1873"/>
    <w:rsid w:val="00BD365B"/>
    <w:rsid w:val="00BD37DC"/>
    <w:rsid w:val="00BD6214"/>
    <w:rsid w:val="00BD6D7E"/>
    <w:rsid w:val="00BE42BC"/>
    <w:rsid w:val="00BE7EFD"/>
    <w:rsid w:val="00BF23A6"/>
    <w:rsid w:val="00BF3502"/>
    <w:rsid w:val="00BF61CA"/>
    <w:rsid w:val="00BF6851"/>
    <w:rsid w:val="00BF70E8"/>
    <w:rsid w:val="00C02FD6"/>
    <w:rsid w:val="00C065A3"/>
    <w:rsid w:val="00C06E87"/>
    <w:rsid w:val="00C07A9C"/>
    <w:rsid w:val="00C11B5B"/>
    <w:rsid w:val="00C11BE8"/>
    <w:rsid w:val="00C239FD"/>
    <w:rsid w:val="00C24504"/>
    <w:rsid w:val="00C267DB"/>
    <w:rsid w:val="00C30808"/>
    <w:rsid w:val="00C31C13"/>
    <w:rsid w:val="00C32EA9"/>
    <w:rsid w:val="00C37449"/>
    <w:rsid w:val="00C4065C"/>
    <w:rsid w:val="00C431C7"/>
    <w:rsid w:val="00C44D42"/>
    <w:rsid w:val="00C513D9"/>
    <w:rsid w:val="00C51B09"/>
    <w:rsid w:val="00C53BBA"/>
    <w:rsid w:val="00C66855"/>
    <w:rsid w:val="00C679F5"/>
    <w:rsid w:val="00C7396B"/>
    <w:rsid w:val="00C77483"/>
    <w:rsid w:val="00C80F15"/>
    <w:rsid w:val="00C81F1C"/>
    <w:rsid w:val="00C839F9"/>
    <w:rsid w:val="00C8410C"/>
    <w:rsid w:val="00C850EC"/>
    <w:rsid w:val="00C93C45"/>
    <w:rsid w:val="00C94214"/>
    <w:rsid w:val="00C97CD8"/>
    <w:rsid w:val="00C97FEA"/>
    <w:rsid w:val="00CA254E"/>
    <w:rsid w:val="00CA3805"/>
    <w:rsid w:val="00CA4B21"/>
    <w:rsid w:val="00CB4E82"/>
    <w:rsid w:val="00CB70B2"/>
    <w:rsid w:val="00CC4CA1"/>
    <w:rsid w:val="00CD41E8"/>
    <w:rsid w:val="00CE1876"/>
    <w:rsid w:val="00CE1AA3"/>
    <w:rsid w:val="00CE44E0"/>
    <w:rsid w:val="00CE634B"/>
    <w:rsid w:val="00CE6C7E"/>
    <w:rsid w:val="00CE765E"/>
    <w:rsid w:val="00CF2B79"/>
    <w:rsid w:val="00D016B2"/>
    <w:rsid w:val="00D01FDC"/>
    <w:rsid w:val="00D04457"/>
    <w:rsid w:val="00D06E66"/>
    <w:rsid w:val="00D07EF5"/>
    <w:rsid w:val="00D11F45"/>
    <w:rsid w:val="00D16293"/>
    <w:rsid w:val="00D1798C"/>
    <w:rsid w:val="00D2323A"/>
    <w:rsid w:val="00D270C6"/>
    <w:rsid w:val="00D3271A"/>
    <w:rsid w:val="00D3774A"/>
    <w:rsid w:val="00D41F31"/>
    <w:rsid w:val="00D43C96"/>
    <w:rsid w:val="00D45D54"/>
    <w:rsid w:val="00D463BB"/>
    <w:rsid w:val="00D47A59"/>
    <w:rsid w:val="00D50C8E"/>
    <w:rsid w:val="00D56401"/>
    <w:rsid w:val="00D56D3F"/>
    <w:rsid w:val="00D60EA7"/>
    <w:rsid w:val="00D61034"/>
    <w:rsid w:val="00D61818"/>
    <w:rsid w:val="00D6288E"/>
    <w:rsid w:val="00D62EBC"/>
    <w:rsid w:val="00D63037"/>
    <w:rsid w:val="00D63843"/>
    <w:rsid w:val="00D64824"/>
    <w:rsid w:val="00D665B4"/>
    <w:rsid w:val="00D66F31"/>
    <w:rsid w:val="00D678A6"/>
    <w:rsid w:val="00D84936"/>
    <w:rsid w:val="00D871EF"/>
    <w:rsid w:val="00D9564A"/>
    <w:rsid w:val="00DA1018"/>
    <w:rsid w:val="00DA300A"/>
    <w:rsid w:val="00DA519F"/>
    <w:rsid w:val="00DA7483"/>
    <w:rsid w:val="00DB08E2"/>
    <w:rsid w:val="00DB61FF"/>
    <w:rsid w:val="00DB6D70"/>
    <w:rsid w:val="00DB72E9"/>
    <w:rsid w:val="00DB7B69"/>
    <w:rsid w:val="00DC048E"/>
    <w:rsid w:val="00DC1DCF"/>
    <w:rsid w:val="00DD0126"/>
    <w:rsid w:val="00DD5A16"/>
    <w:rsid w:val="00DD666B"/>
    <w:rsid w:val="00DD688A"/>
    <w:rsid w:val="00DD6B00"/>
    <w:rsid w:val="00DD6F94"/>
    <w:rsid w:val="00DD7E0F"/>
    <w:rsid w:val="00DE0620"/>
    <w:rsid w:val="00DE23CD"/>
    <w:rsid w:val="00DE5B0F"/>
    <w:rsid w:val="00DE7057"/>
    <w:rsid w:val="00DF1C5A"/>
    <w:rsid w:val="00E00250"/>
    <w:rsid w:val="00E00BFB"/>
    <w:rsid w:val="00E02876"/>
    <w:rsid w:val="00E05D0C"/>
    <w:rsid w:val="00E102D6"/>
    <w:rsid w:val="00E131E4"/>
    <w:rsid w:val="00E218BC"/>
    <w:rsid w:val="00E25FF2"/>
    <w:rsid w:val="00E27E99"/>
    <w:rsid w:val="00E350C5"/>
    <w:rsid w:val="00E36839"/>
    <w:rsid w:val="00E36CFE"/>
    <w:rsid w:val="00E376EB"/>
    <w:rsid w:val="00E416F7"/>
    <w:rsid w:val="00E43039"/>
    <w:rsid w:val="00E433A3"/>
    <w:rsid w:val="00E44E08"/>
    <w:rsid w:val="00E539EA"/>
    <w:rsid w:val="00E56C80"/>
    <w:rsid w:val="00E74C34"/>
    <w:rsid w:val="00E75314"/>
    <w:rsid w:val="00E80DA9"/>
    <w:rsid w:val="00E837D9"/>
    <w:rsid w:val="00E908F6"/>
    <w:rsid w:val="00E9195D"/>
    <w:rsid w:val="00E92EA6"/>
    <w:rsid w:val="00E96710"/>
    <w:rsid w:val="00E97EDE"/>
    <w:rsid w:val="00EA1D65"/>
    <w:rsid w:val="00EA4436"/>
    <w:rsid w:val="00EB1612"/>
    <w:rsid w:val="00EB1A85"/>
    <w:rsid w:val="00EB41E9"/>
    <w:rsid w:val="00EC30C6"/>
    <w:rsid w:val="00EC46D1"/>
    <w:rsid w:val="00ED6F6D"/>
    <w:rsid w:val="00EE0618"/>
    <w:rsid w:val="00EE2A9F"/>
    <w:rsid w:val="00EE44EE"/>
    <w:rsid w:val="00EF01EB"/>
    <w:rsid w:val="00EF053A"/>
    <w:rsid w:val="00EF0A6C"/>
    <w:rsid w:val="00EF187A"/>
    <w:rsid w:val="00EF3DBE"/>
    <w:rsid w:val="00EF61B7"/>
    <w:rsid w:val="00F01C6C"/>
    <w:rsid w:val="00F027A1"/>
    <w:rsid w:val="00F02EA4"/>
    <w:rsid w:val="00F04FBB"/>
    <w:rsid w:val="00F050FE"/>
    <w:rsid w:val="00F07103"/>
    <w:rsid w:val="00F15B9E"/>
    <w:rsid w:val="00F15C83"/>
    <w:rsid w:val="00F220A6"/>
    <w:rsid w:val="00F2218A"/>
    <w:rsid w:val="00F235A7"/>
    <w:rsid w:val="00F25280"/>
    <w:rsid w:val="00F31C52"/>
    <w:rsid w:val="00F3466D"/>
    <w:rsid w:val="00F42B41"/>
    <w:rsid w:val="00F44A31"/>
    <w:rsid w:val="00F521A2"/>
    <w:rsid w:val="00F522B6"/>
    <w:rsid w:val="00F56D48"/>
    <w:rsid w:val="00F57504"/>
    <w:rsid w:val="00F57F5E"/>
    <w:rsid w:val="00F60A85"/>
    <w:rsid w:val="00F62865"/>
    <w:rsid w:val="00F62EAE"/>
    <w:rsid w:val="00F63AA7"/>
    <w:rsid w:val="00F65987"/>
    <w:rsid w:val="00F72192"/>
    <w:rsid w:val="00F726E0"/>
    <w:rsid w:val="00F75192"/>
    <w:rsid w:val="00F76731"/>
    <w:rsid w:val="00F827A1"/>
    <w:rsid w:val="00F830ED"/>
    <w:rsid w:val="00F84139"/>
    <w:rsid w:val="00F91EF7"/>
    <w:rsid w:val="00F924AA"/>
    <w:rsid w:val="00F93F14"/>
    <w:rsid w:val="00F96518"/>
    <w:rsid w:val="00F97D98"/>
    <w:rsid w:val="00FA170B"/>
    <w:rsid w:val="00FA3205"/>
    <w:rsid w:val="00FA5EC2"/>
    <w:rsid w:val="00FB0230"/>
    <w:rsid w:val="00FB49AA"/>
    <w:rsid w:val="00FB7A20"/>
    <w:rsid w:val="00FC0939"/>
    <w:rsid w:val="00FC227B"/>
    <w:rsid w:val="00FC31BC"/>
    <w:rsid w:val="00FC46D4"/>
    <w:rsid w:val="00FC48CA"/>
    <w:rsid w:val="00FC674B"/>
    <w:rsid w:val="00FD0D13"/>
    <w:rsid w:val="00FD4934"/>
    <w:rsid w:val="00FD6CA9"/>
    <w:rsid w:val="00FD7E3F"/>
    <w:rsid w:val="00FE0D41"/>
    <w:rsid w:val="00FE23A0"/>
    <w:rsid w:val="00FE3D9F"/>
    <w:rsid w:val="00FE549C"/>
    <w:rsid w:val="00FE668E"/>
    <w:rsid w:val="00FE7349"/>
    <w:rsid w:val="00FF0F7B"/>
    <w:rsid w:val="00FF7BFC"/>
  </w:rsids>
  <w:docVars>
    <w:docVar w:name="LW_DocType" w:val="REP"/>
  </w:docVars>
  <m:mathPr>
    <m:mathFont m:val="Cambria Math"/>
    <m:wrapRight/>
  </m:mathPr>
  <w:uiCompat97To2003/>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List Bullet" w:uiPriority="0"/>
    <w:lsdException w:name="List Number 4"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BD6D7E"/>
    <w:pPr>
      <w:spacing w:before="120" w:after="120"/>
      <w:jc w:val="both"/>
    </w:pPr>
    <w:rPr>
      <w:sz w:val="24"/>
      <w:lang w:val="en-GB" w:eastAsia="en-US" w:bidi="ar-SA"/>
    </w:rPr>
  </w:style>
  <w:style w:type="paragraph" w:styleId="Heading1">
    <w:name w:val="heading 1"/>
    <w:basedOn w:val="Normal"/>
    <w:next w:val="Normal"/>
    <w:qFormat/>
    <w:rsid w:val="00162E7B"/>
    <w:pPr>
      <w:keepNext/>
      <w:numPr>
        <w:ilvl w:val="0"/>
        <w:numId w:val="20"/>
      </w:numPr>
      <w:spacing w:before="240" w:after="240"/>
      <w:outlineLvl w:val="0"/>
    </w:pPr>
    <w:rPr>
      <w:b/>
      <w:smallCaps/>
      <w:sz w:val="28"/>
      <w:lang w:val="fr-BE"/>
    </w:rPr>
  </w:style>
  <w:style w:type="paragraph" w:styleId="Heading2">
    <w:name w:val="heading 2"/>
    <w:basedOn w:val="Heading1"/>
    <w:next w:val="Normal"/>
    <w:link w:val="Heading2Char"/>
    <w:autoRedefine/>
    <w:qFormat/>
    <w:rsid w:val="00554619"/>
    <w:pPr>
      <w:numPr>
        <w:ilvl w:val="1"/>
        <w:numId w:val="20"/>
      </w:numPr>
      <w:outlineLvl w:val="1"/>
    </w:pPr>
    <w:rPr>
      <w:smallCaps w:val="0"/>
      <w:sz w:val="24"/>
    </w:rPr>
  </w:style>
  <w:style w:type="paragraph" w:styleId="Heading3">
    <w:name w:val="heading 3"/>
    <w:basedOn w:val="Heading2"/>
    <w:next w:val="Normal"/>
    <w:link w:val="Heading3Char"/>
    <w:autoRedefine/>
    <w:qFormat/>
    <w:rsid w:val="00F235A7"/>
    <w:pPr>
      <w:numPr>
        <w:ilvl w:val="2"/>
        <w:numId w:val="20"/>
      </w:numPr>
      <w:outlineLvl w:val="2"/>
    </w:pPr>
    <w:rPr>
      <w:b w:val="0"/>
      <w:color w:val="000000"/>
    </w:rPr>
  </w:style>
  <w:style w:type="paragraph" w:styleId="Heading4">
    <w:name w:val="heading 4"/>
    <w:basedOn w:val="Heading3"/>
    <w:next w:val="Normal"/>
    <w:link w:val="Heading4Char"/>
    <w:qFormat/>
    <w:rsid w:val="00554619"/>
    <w:pPr>
      <w:numPr>
        <w:ilvl w:val="3"/>
        <w:numId w:val="20"/>
      </w:numPr>
      <w:outlineLvl w:val="3"/>
    </w:pPr>
    <w:rPr>
      <w:i/>
    </w:rPr>
  </w:style>
  <w:style w:type="paragraph" w:styleId="Heading5">
    <w:name w:val="heading 5"/>
    <w:basedOn w:val="Heading4"/>
    <w:next w:val="Normal"/>
    <w:qFormat/>
    <w:rsid w:val="001D534D"/>
    <w:pPr>
      <w:numPr>
        <w:ilvl w:val="4"/>
        <w:numId w:val="20"/>
      </w:numPr>
      <w:jc w:val="left"/>
      <w:outlineLvl w:val="4"/>
    </w:pPr>
    <w:rPr>
      <w:rFonts w:ascii="Arial" w:hAnsi="Arial"/>
      <w:b/>
      <w:i w:val="0"/>
      <w:noProof/>
      <w:sz w:val="22"/>
    </w:rPr>
  </w:style>
  <w:style w:type="paragraph" w:styleId="Heading6">
    <w:name w:val="heading 6"/>
    <w:basedOn w:val="Heading5"/>
    <w:next w:val="Normal"/>
    <w:qFormat/>
    <w:rsid w:val="00F235A7"/>
    <w:pPr>
      <w:numPr>
        <w:ilvl w:val="5"/>
        <w:numId w:val="20"/>
      </w:numPr>
      <w:spacing w:after="60"/>
      <w:outlineLvl w:val="5"/>
    </w:pPr>
    <w:rPr>
      <w:b w:val="0"/>
    </w:rPr>
  </w:style>
  <w:style w:type="paragraph" w:styleId="Heading7">
    <w:name w:val="heading 7"/>
    <w:basedOn w:val="Heading6"/>
    <w:next w:val="Normal"/>
    <w:qFormat/>
    <w:rsid w:val="00F235A7"/>
    <w:pPr>
      <w:numPr>
        <w:ilvl w:val="6"/>
        <w:numId w:val="20"/>
      </w:numPr>
      <w:outlineLvl w:val="6"/>
    </w:pPr>
    <w:rPr>
      <w:i/>
    </w:rPr>
  </w:style>
  <w:style w:type="paragraph" w:styleId="Heading8">
    <w:name w:val="heading 8"/>
    <w:basedOn w:val="Heading7"/>
    <w:next w:val="Normal"/>
    <w:qFormat/>
    <w:rsid w:val="001D534D"/>
    <w:pPr>
      <w:numPr>
        <w:ilvl w:val="7"/>
        <w:numId w:val="20"/>
      </w:numPr>
      <w:outlineLvl w:val="7"/>
    </w:pPr>
    <w:rPr>
      <w:rFonts w:ascii="Calibri" w:hAnsi="Calibri"/>
      <w:b/>
      <w:i w:val="0"/>
      <w:sz w:val="24"/>
    </w:rPr>
  </w:style>
  <w:style w:type="paragraph" w:styleId="Heading9">
    <w:name w:val="heading 9"/>
    <w:basedOn w:val="Heading8"/>
    <w:next w:val="Normal"/>
    <w:qFormat/>
    <w:rsid w:val="00F235A7"/>
    <w:pPr>
      <w:numPr>
        <w:ilvl w:val="8"/>
        <w:numId w:val="20"/>
      </w:numPr>
      <w:spacing w:before="240" w:after="60"/>
      <w:outlineLvl w:val="8"/>
    </w:pPr>
    <w:rPr>
      <w:b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ext1">
    <w:name w:val="Text 1"/>
    <w:basedOn w:val="Normal"/>
    <w:pPr>
      <w:ind w:left="482"/>
    </w:pPr>
  </w:style>
  <w:style w:type="paragraph" w:customStyle="1" w:styleId="Text2">
    <w:name w:val="Text 2"/>
    <w:basedOn w:val="Normal"/>
    <w:link w:val="Text2Char"/>
    <w:pPr>
      <w:tabs>
        <w:tab w:val="left" w:pos="2302"/>
      </w:tabs>
      <w:ind w:left="1202"/>
    </w:pPr>
  </w:style>
  <w:style w:type="paragraph" w:customStyle="1" w:styleId="Text3">
    <w:name w:val="Text 3"/>
    <w:basedOn w:val="Normal"/>
    <w:pPr>
      <w:tabs>
        <w:tab w:val="left" w:pos="2302"/>
      </w:tabs>
      <w:ind w:left="1202"/>
    </w:pPr>
  </w:style>
  <w:style w:type="paragraph" w:customStyle="1" w:styleId="Text4">
    <w:name w:val="Text 4"/>
    <w:basedOn w:val="Normal"/>
    <w:pPr>
      <w:tabs>
        <w:tab w:val="left" w:pos="2302"/>
      </w:tabs>
      <w:ind w:left="1202"/>
    </w:pPr>
  </w:style>
  <w:style w:type="paragraph" w:customStyle="1" w:styleId="Address">
    <w:name w:val="Address"/>
    <w:basedOn w:val="Normal"/>
    <w:pPr>
      <w:spacing w:after="0"/>
      <w:jc w:val="left"/>
    </w:pPr>
  </w:style>
  <w:style w:type="paragraph" w:customStyle="1" w:styleId="AddressTL">
    <w:name w:val="AddressTL"/>
    <w:basedOn w:val="Normal"/>
    <w:next w:val="Normal"/>
    <w:pPr>
      <w:spacing w:after="720"/>
      <w:jc w:val="left"/>
    </w:pPr>
  </w:style>
  <w:style w:type="paragraph" w:customStyle="1" w:styleId="AddressTR">
    <w:name w:val="AddressTR"/>
    <w:basedOn w:val="Normal"/>
    <w:next w:val="Normal"/>
    <w:pPr>
      <w:spacing w:after="720"/>
      <w:ind w:left="5103"/>
      <w:jc w:val="left"/>
    </w:pPr>
  </w:style>
  <w:style w:type="paragraph" w:styleId="BlockText">
    <w:name w:val="Block Text"/>
    <w:basedOn w:val="Normal"/>
    <w:pPr>
      <w:spacing w:after="120"/>
      <w:ind w:left="1440" w:right="1440"/>
    </w:pPr>
  </w:style>
  <w:style w:type="paragraph" w:styleId="BodyText">
    <w:name w:val="Body Text"/>
    <w:basedOn w:val="Normal"/>
    <w:pPr>
      <w:spacing w:after="12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rPr>
  </w:style>
  <w:style w:type="paragraph" w:styleId="BodyTextFirstIndent">
    <w:name w:val="Body Text First Indent"/>
    <w:basedOn w:val="BodyText"/>
    <w:pPr>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rPr>
  </w:style>
  <w:style w:type="paragraph" w:styleId="Caption">
    <w:name w:val="caption"/>
    <w:basedOn w:val="Normal"/>
    <w:next w:val="Normal"/>
    <w:qFormat/>
    <w:pPr>
      <w:spacing w:before="120" w:after="120"/>
    </w:pPr>
    <w:rPr>
      <w:b/>
    </w:rPr>
  </w:style>
  <w:style w:type="paragraph" w:customStyle="1" w:styleId="ChapterTitle">
    <w:name w:val="ChapterTitle"/>
    <w:basedOn w:val="Normal"/>
    <w:next w:val="SectionTitle"/>
    <w:pPr>
      <w:keepNext/>
      <w:spacing w:after="480"/>
      <w:jc w:val="center"/>
    </w:pPr>
    <w:rPr>
      <w:b/>
      <w:sz w:val="32"/>
    </w:rPr>
  </w:style>
  <w:style w:type="paragraph" w:customStyle="1" w:styleId="SectionTitle">
    <w:name w:val="SectionTitle"/>
    <w:basedOn w:val="Normal"/>
    <w:next w:val="Heading1"/>
    <w:pPr>
      <w:keepNext/>
      <w:spacing w:after="480"/>
      <w:jc w:val="center"/>
    </w:pPr>
    <w:rPr>
      <w:b/>
      <w:smallCaps/>
      <w:sz w:val="28"/>
    </w:rPr>
  </w:style>
  <w:style w:type="paragraph" w:styleId="Closing">
    <w:name w:val="Closing"/>
    <w:basedOn w:val="Normal"/>
    <w:pPr>
      <w:ind w:left="4252"/>
    </w:pPr>
  </w:style>
  <w:style w:type="paragraph" w:styleId="CommentText">
    <w:name w:val="annotation text"/>
    <w:basedOn w:val="Normal"/>
    <w:semiHidden/>
    <w:rPr>
      <w:sz w:val="20"/>
    </w:rPr>
  </w:style>
  <w:style w:type="paragraph" w:styleId="Date">
    <w:name w:val="Date"/>
    <w:basedOn w:val="Normal"/>
    <w:next w:val="References"/>
    <w:pPr>
      <w:spacing w:after="0"/>
      <w:ind w:left="5103" w:right="-567"/>
      <w:jc w:val="left"/>
    </w:pPr>
  </w:style>
  <w:style w:type="paragraph" w:customStyle="1" w:styleId="References">
    <w:name w:val="References"/>
    <w:basedOn w:val="Normal"/>
    <w:next w:val="AddressTR"/>
    <w:uiPriority w:val="99"/>
    <w:pPr>
      <w:ind w:left="5103"/>
      <w:jc w:val="left"/>
    </w:pPr>
    <w:rPr>
      <w:sz w:val="20"/>
    </w:rPr>
  </w:style>
  <w:style w:type="paragraph" w:styleId="DocumentMap">
    <w:name w:val="Document Map"/>
    <w:basedOn w:val="Normal"/>
    <w:semiHidden/>
    <w:pPr>
      <w:shd w:val="clear" w:color="auto" w:fill="000080"/>
    </w:pPr>
    <w:rPr>
      <w:rFonts w:ascii="Tahoma" w:hAnsi="Tahoma"/>
    </w:rPr>
  </w:style>
  <w:style w:type="paragraph" w:customStyle="1" w:styleId="DoubSign">
    <w:name w:val="DoubSign"/>
    <w:basedOn w:val="Normal"/>
    <w:next w:val="Enclosures"/>
    <w:pPr>
      <w:tabs>
        <w:tab w:val="left" w:pos="5103"/>
      </w:tabs>
      <w:spacing w:before="1200" w:after="0"/>
      <w:jc w:val="left"/>
    </w:pPr>
  </w:style>
  <w:style w:type="paragraph" w:customStyle="1" w:styleId="Enclosures">
    <w:name w:val="Enclosures"/>
    <w:basedOn w:val="Normal"/>
    <w:pPr>
      <w:keepNext/>
      <w:keepLines/>
      <w:tabs>
        <w:tab w:val="left" w:pos="5642"/>
      </w:tabs>
      <w:spacing w:before="480" w:after="0"/>
      <w:ind w:left="1191" w:hanging="1191"/>
      <w:jc w:val="left"/>
    </w:pPr>
  </w:style>
  <w:style w:type="paragraph" w:styleId="EndnoteText">
    <w:name w:val="endnote text"/>
    <w:basedOn w:val="Normal"/>
    <w:semiHidden/>
    <w:rPr>
      <w:sz w:val="20"/>
    </w:rPr>
  </w:style>
  <w:style w:type="paragraph" w:styleId="EnvelopeAddress">
    <w:name w:val="envelope address"/>
    <w:basedOn w:val="Normal"/>
    <w:pPr>
      <w:framePr w:w="7920" w:h="1980" w:hRule="exact" w:hSpace="180" w:wrap="auto" w:vAnchor="margin" w:hAnchor="page" w:xAlign="center" w:yAlign="bottom"/>
      <w:spacing w:after="0"/>
    </w:pPr>
  </w:style>
  <w:style w:type="paragraph" w:styleId="EnvelopeReturn">
    <w:name w:val="envelope return"/>
    <w:basedOn w:val="Normal"/>
    <w:pPr>
      <w:spacing w:after="0"/>
    </w:pPr>
    <w:rPr>
      <w:sz w:val="20"/>
    </w:rPr>
  </w:style>
  <w:style w:type="paragraph" w:styleId="Footer">
    <w:name w:val="footer"/>
    <w:basedOn w:val="Normal"/>
    <w:link w:val="FooterChar"/>
    <w:uiPriority w:val="99"/>
    <w:pPr>
      <w:spacing w:after="0"/>
      <w:ind w:right="-567"/>
      <w:jc w:val="left"/>
    </w:pPr>
    <w:rPr>
      <w:rFonts w:ascii="Arial" w:hAnsi="Arial"/>
      <w:sz w:val="16"/>
    </w:rPr>
  </w:style>
  <w:style w:type="paragraph" w:styleId="FootnoteText">
    <w:name w:val="footnote text"/>
    <w:basedOn w:val="Normal"/>
    <w:semiHidden/>
    <w:pPr>
      <w:ind w:left="357" w:hanging="357"/>
    </w:pPr>
    <w:rPr>
      <w:sz w:val="20"/>
    </w:rPr>
  </w:style>
  <w:style w:type="paragraph" w:styleId="Header">
    <w:name w:val="header"/>
    <w:basedOn w:val="Normal"/>
    <w:link w:val="HeaderChar"/>
    <w:uiPriority w:val="99"/>
    <w:pPr>
      <w:tabs>
        <w:tab w:val="center" w:pos="4153"/>
        <w:tab w:val="right" w:pos="8306"/>
      </w:tabs>
    </w:pPr>
  </w:style>
  <w:style w:type="paragraph" w:styleId="Index1">
    <w:name w:val="index 1"/>
    <w:basedOn w:val="Normal"/>
    <w:next w:val="Normal"/>
    <w:autoRedefine/>
    <w:semiHidden/>
    <w:pPr>
      <w:ind w:left="240" w:hanging="240"/>
    </w:pPr>
  </w:style>
  <w:style w:type="paragraph" w:styleId="Index2">
    <w:name w:val="index 2"/>
    <w:basedOn w:val="Normal"/>
    <w:next w:val="Normal"/>
    <w:autoRedefine/>
    <w:semiHidden/>
    <w:pPr>
      <w:ind w:left="480" w:hanging="240"/>
    </w:pPr>
  </w:style>
  <w:style w:type="paragraph" w:styleId="Index3">
    <w:name w:val="index 3"/>
    <w:basedOn w:val="Normal"/>
    <w:next w:val="Normal"/>
    <w:autoRedefine/>
    <w:semiHidden/>
    <w:pPr>
      <w:ind w:left="720" w:hanging="240"/>
    </w:pPr>
  </w:style>
  <w:style w:type="paragraph" w:styleId="Index4">
    <w:name w:val="index 4"/>
    <w:basedOn w:val="Normal"/>
    <w:next w:val="Normal"/>
    <w:autoRedefine/>
    <w:semiHidden/>
    <w:pPr>
      <w:ind w:left="960" w:hanging="240"/>
    </w:pPr>
  </w:style>
  <w:style w:type="paragraph" w:styleId="Index5">
    <w:name w:val="index 5"/>
    <w:basedOn w:val="Normal"/>
    <w:next w:val="Normal"/>
    <w:autoRedefine/>
    <w:semiHidden/>
    <w:pPr>
      <w:ind w:left="1200" w:hanging="240"/>
    </w:pPr>
  </w:style>
  <w:style w:type="paragraph" w:styleId="Index6">
    <w:name w:val="index 6"/>
    <w:basedOn w:val="Normal"/>
    <w:next w:val="Normal"/>
    <w:autoRedefine/>
    <w:semiHidden/>
    <w:pPr>
      <w:ind w:left="1440" w:hanging="240"/>
    </w:pPr>
  </w:style>
  <w:style w:type="paragraph" w:styleId="Index7">
    <w:name w:val="index 7"/>
    <w:basedOn w:val="Normal"/>
    <w:next w:val="Normal"/>
    <w:autoRedefine/>
    <w:semiHidden/>
    <w:pPr>
      <w:ind w:left="1680" w:hanging="240"/>
    </w:pPr>
  </w:style>
  <w:style w:type="paragraph" w:styleId="Index8">
    <w:name w:val="index 8"/>
    <w:basedOn w:val="Normal"/>
    <w:next w:val="Normal"/>
    <w:autoRedefine/>
    <w:semiHidden/>
    <w:rsid w:val="004A6135"/>
  </w:style>
  <w:style w:type="paragraph" w:styleId="Index9">
    <w:name w:val="index 9"/>
    <w:basedOn w:val="Normal"/>
    <w:next w:val="Normal"/>
    <w:autoRedefine/>
    <w:semiHidden/>
    <w:pPr>
      <w:ind w:left="2160" w:hanging="240"/>
    </w:pPr>
  </w:style>
  <w:style w:type="paragraph" w:styleId="IndexHeading">
    <w:name w:val="index heading"/>
    <w:basedOn w:val="Normal"/>
    <w:next w:val="Index1"/>
    <w:semiHidden/>
    <w:rPr>
      <w:rFonts w:ascii="Arial" w:hAnsi="Arial"/>
      <w:b/>
    </w:rPr>
  </w:style>
  <w:style w:type="paragraph" w:styleId="List">
    <w:name w:val="List"/>
    <w:basedOn w:val="Normal"/>
    <w:pPr>
      <w:ind w:left="283" w:hanging="283"/>
    </w:pPr>
  </w:style>
  <w:style w:type="paragraph" w:styleId="List2">
    <w:name w:val="List 2"/>
    <w:basedOn w:val="Normal"/>
    <w:pPr>
      <w:ind w:left="566" w:hanging="283"/>
    </w:pPr>
  </w:style>
  <w:style w:type="paragraph" w:styleId="List3">
    <w:name w:val="List 3"/>
    <w:basedOn w:val="Normal"/>
    <w:pPr>
      <w:ind w:left="849" w:hanging="283"/>
    </w:pPr>
  </w:style>
  <w:style w:type="paragraph" w:styleId="List4">
    <w:name w:val="List 4"/>
    <w:basedOn w:val="Normal"/>
    <w:pPr>
      <w:ind w:left="1132" w:hanging="283"/>
    </w:pPr>
  </w:style>
  <w:style w:type="paragraph" w:styleId="List5">
    <w:name w:val="List 5"/>
    <w:basedOn w:val="Normal"/>
    <w:pPr>
      <w:ind w:left="1415" w:hanging="283"/>
    </w:pPr>
  </w:style>
  <w:style w:type="paragraph" w:styleId="ListBullet">
    <w:name w:val="List Bullet"/>
    <w:basedOn w:val="Normal"/>
    <w:pPr>
      <w:numPr>
        <w:ilvl w:val="0"/>
        <w:numId w:val="3"/>
      </w:numPr>
    </w:pPr>
  </w:style>
  <w:style w:type="paragraph" w:styleId="ListBullet2">
    <w:name w:val="List Bullet 2"/>
    <w:basedOn w:val="Text2"/>
    <w:pPr>
      <w:numPr>
        <w:ilvl w:val="0"/>
        <w:numId w:val="5"/>
      </w:numPr>
      <w:tabs>
        <w:tab w:val="clear" w:pos="2302"/>
      </w:tabs>
    </w:pPr>
  </w:style>
  <w:style w:type="paragraph" w:styleId="ListBullet3">
    <w:name w:val="List Bullet 3"/>
    <w:basedOn w:val="Text3"/>
    <w:pPr>
      <w:numPr>
        <w:ilvl w:val="0"/>
        <w:numId w:val="6"/>
      </w:numPr>
      <w:tabs>
        <w:tab w:val="clear" w:pos="2302"/>
      </w:tabs>
    </w:pPr>
  </w:style>
  <w:style w:type="paragraph" w:styleId="ListBullet4">
    <w:name w:val="List Bullet 4"/>
    <w:basedOn w:val="Text4"/>
    <w:pPr>
      <w:numPr>
        <w:ilvl w:val="0"/>
        <w:numId w:val="7"/>
      </w:numPr>
      <w:tabs>
        <w:tab w:val="clear" w:pos="2302"/>
      </w:tabs>
    </w:pPr>
  </w:style>
  <w:style w:type="paragraph" w:styleId="ListBullet5">
    <w:name w:val="List Bullet 5"/>
    <w:basedOn w:val="Normal"/>
    <w:autoRedefine/>
    <w:pPr>
      <w:numPr>
        <w:ilvl w:val="0"/>
        <w:numId w:val="1"/>
      </w:numPr>
    </w:pPr>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
    <w:name w:val="List Number"/>
    <w:basedOn w:val="Normal"/>
    <w:pPr>
      <w:numPr>
        <w:ilvl w:val="0"/>
        <w:numId w:val="13"/>
      </w:numPr>
    </w:pPr>
  </w:style>
  <w:style w:type="paragraph" w:styleId="ListNumber2">
    <w:name w:val="List Number 2"/>
    <w:basedOn w:val="Text2"/>
    <w:pPr>
      <w:numPr>
        <w:ilvl w:val="0"/>
        <w:numId w:val="15"/>
      </w:numPr>
      <w:tabs>
        <w:tab w:val="clear" w:pos="2302"/>
      </w:tabs>
    </w:pPr>
  </w:style>
  <w:style w:type="paragraph" w:styleId="ListNumber3">
    <w:name w:val="List Number 3"/>
    <w:basedOn w:val="Text3"/>
    <w:pPr>
      <w:numPr>
        <w:ilvl w:val="0"/>
        <w:numId w:val="16"/>
      </w:numPr>
      <w:tabs>
        <w:tab w:val="clear" w:pos="2302"/>
      </w:tabs>
    </w:pPr>
  </w:style>
  <w:style w:type="paragraph" w:styleId="ListNumber4">
    <w:name w:val="List Number 4"/>
    <w:basedOn w:val="Text4"/>
    <w:pPr>
      <w:numPr>
        <w:ilvl w:val="0"/>
        <w:numId w:val="17"/>
      </w:numPr>
      <w:tabs>
        <w:tab w:val="clear" w:pos="2302"/>
      </w:tabs>
    </w:pPr>
  </w:style>
  <w:style w:type="paragraph" w:styleId="ListNumber5">
    <w:name w:val="List Number 5"/>
    <w:basedOn w:val="Normal"/>
    <w:pPr>
      <w:numPr>
        <w:ilvl w:val="0"/>
        <w:numId w:val="2"/>
      </w:numPr>
    </w:pPr>
  </w:style>
  <w:style w:type="paragraph" w:styleId="Macro">
    <w:name w:val="macro"/>
    <w:semiHidden/>
    <w:pPr>
      <w:tabs>
        <w:tab w:val="left" w:pos="480"/>
        <w:tab w:val="left" w:pos="960"/>
        <w:tab w:val="left" w:pos="1440"/>
        <w:tab w:val="left" w:pos="1920"/>
        <w:tab w:val="left" w:pos="2400"/>
        <w:tab w:val="left" w:pos="2880"/>
        <w:tab w:val="left" w:pos="3360"/>
        <w:tab w:val="left" w:pos="3840"/>
        <w:tab w:val="left" w:pos="4320"/>
      </w:tabs>
      <w:spacing w:after="240"/>
      <w:jc w:val="both"/>
    </w:pPr>
    <w:rPr>
      <w:rFonts w:ascii="Courier New" w:hAnsi="Courier New"/>
      <w:lang w:val="en-GB" w:eastAsia="en-US" w:bidi="ar-SA"/>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NormalIndent">
    <w:name w:val="Normal Indent"/>
    <w:basedOn w:val="Normal"/>
    <w:pPr>
      <w:ind w:left="720"/>
    </w:pPr>
  </w:style>
  <w:style w:type="paragraph" w:styleId="NoteHeading">
    <w:name w:val="Note Heading"/>
    <w:basedOn w:val="Normal"/>
    <w:next w:val="Normal"/>
  </w:style>
  <w:style w:type="paragraph" w:customStyle="1" w:styleId="NoteHead">
    <w:name w:val="NoteHead"/>
    <w:basedOn w:val="Normal"/>
    <w:next w:val="Subject"/>
    <w:pPr>
      <w:spacing w:before="720" w:after="720"/>
      <w:jc w:val="center"/>
    </w:pPr>
    <w:rPr>
      <w:b/>
      <w:smallCaps/>
    </w:rPr>
  </w:style>
  <w:style w:type="paragraph" w:customStyle="1" w:styleId="Subject">
    <w:name w:val="Subject"/>
    <w:basedOn w:val="Normal"/>
    <w:next w:val="Normal"/>
    <w:pPr>
      <w:spacing w:after="480"/>
      <w:ind w:left="1531" w:hanging="1531"/>
      <w:jc w:val="left"/>
    </w:pPr>
    <w:rPr>
      <w:b/>
    </w:rPr>
  </w:style>
  <w:style w:type="paragraph" w:customStyle="1" w:styleId="NoteList">
    <w:name w:val="NoteList"/>
    <w:basedOn w:val="Normal"/>
    <w:next w:val="Subject"/>
    <w:pPr>
      <w:tabs>
        <w:tab w:val="left" w:pos="5823"/>
      </w:tabs>
      <w:spacing w:before="720" w:after="720"/>
      <w:ind w:left="5104" w:hanging="3119"/>
      <w:jc w:val="left"/>
    </w:pPr>
    <w:rPr>
      <w:b/>
      <w:smallCaps/>
    </w:rPr>
  </w:style>
  <w:style w:type="paragraph" w:customStyle="1" w:styleId="NumPar1">
    <w:name w:val="NumPar 1"/>
    <w:basedOn w:val="Heading1"/>
    <w:next w:val="Text1"/>
    <w:pPr>
      <w:keepNext w:val="0"/>
      <w:spacing w:before="0"/>
      <w:outlineLvl w:val="9"/>
    </w:pPr>
    <w:rPr>
      <w:b w:val="0"/>
      <w:smallCaps w:val="0"/>
    </w:rPr>
  </w:style>
  <w:style w:type="paragraph" w:customStyle="1" w:styleId="NumPar2">
    <w:name w:val="NumPar 2"/>
    <w:basedOn w:val="Heading2"/>
    <w:next w:val="Text2"/>
    <w:pPr>
      <w:keepNext w:val="0"/>
      <w:outlineLvl w:val="9"/>
    </w:pPr>
    <w:rPr>
      <w:b w:val="0"/>
    </w:rPr>
  </w:style>
  <w:style w:type="paragraph" w:customStyle="1" w:styleId="NumPar3">
    <w:name w:val="NumPar 3"/>
    <w:basedOn w:val="Heading3"/>
    <w:next w:val="Text3"/>
    <w:pPr>
      <w:keepNext w:val="0"/>
      <w:outlineLvl w:val="9"/>
    </w:pPr>
    <w:rPr>
      <w:i/>
    </w:rPr>
  </w:style>
  <w:style w:type="paragraph" w:customStyle="1" w:styleId="NumPar4">
    <w:name w:val="NumPar 4"/>
    <w:basedOn w:val="Heading4"/>
    <w:next w:val="Text4"/>
    <w:pPr>
      <w:keepNext w:val="0"/>
      <w:outlineLvl w:val="9"/>
    </w:pPr>
  </w:style>
  <w:style w:type="paragraph" w:customStyle="1" w:styleId="PartTitle">
    <w:name w:val="PartTitle"/>
    <w:basedOn w:val="Normal"/>
    <w:next w:val="ChapterTitle"/>
    <w:pPr>
      <w:keepNext/>
      <w:pageBreakBefore/>
      <w:spacing w:after="480"/>
      <w:jc w:val="center"/>
    </w:pPr>
    <w:rPr>
      <w:b/>
      <w:sz w:val="36"/>
    </w:rPr>
  </w:style>
  <w:style w:type="paragraph" w:styleId="PlainText">
    <w:name w:val="Plain Text"/>
    <w:basedOn w:val="Normal"/>
    <w:rPr>
      <w:rFonts w:ascii="Courier New" w:hAnsi="Courier New"/>
      <w:sz w:val="20"/>
    </w:rPr>
  </w:style>
  <w:style w:type="paragraph" w:styleId="Salutation">
    <w:name w:val="Salutation"/>
    <w:basedOn w:val="Normal"/>
    <w:next w:val="Normal"/>
  </w:style>
  <w:style w:type="paragraph" w:styleId="Signature">
    <w:name w:val="Signature"/>
    <w:basedOn w:val="Normal"/>
    <w:next w:val="Enclosures"/>
    <w:pPr>
      <w:tabs>
        <w:tab w:val="left" w:pos="5103"/>
      </w:tabs>
      <w:spacing w:before="1200" w:after="0"/>
      <w:ind w:left="5103"/>
      <w:jc w:val="center"/>
    </w:pPr>
  </w:style>
  <w:style w:type="paragraph" w:styleId="Subtitle">
    <w:name w:val="Subtitle"/>
    <w:basedOn w:val="Normal"/>
    <w:qFormat/>
    <w:pPr>
      <w:spacing w:after="60"/>
      <w:jc w:val="center"/>
      <w:outlineLvl w:val="1"/>
    </w:pPr>
    <w:rPr>
      <w:rFonts w:ascii="Arial" w:hAnsi="Arial"/>
    </w:rPr>
  </w:style>
  <w:style w:type="paragraph" w:customStyle="1" w:styleId="SubTitle1">
    <w:name w:val="SubTitle 1"/>
    <w:basedOn w:val="Normal"/>
    <w:next w:val="SubTitle2"/>
    <w:pPr>
      <w:jc w:val="center"/>
    </w:pPr>
    <w:rPr>
      <w:b/>
      <w:sz w:val="40"/>
    </w:rPr>
  </w:style>
  <w:style w:type="paragraph" w:customStyle="1" w:styleId="SubTitle2">
    <w:name w:val="SubTitle 2"/>
    <w:basedOn w:val="Normal"/>
    <w:pPr>
      <w:jc w:val="center"/>
    </w:pPr>
    <w:rPr>
      <w:b/>
      <w:sz w:val="32"/>
    </w:rPr>
  </w:style>
  <w:style w:type="paragraph" w:styleId="TableofAuthorities">
    <w:name w:val="table of authorities"/>
    <w:basedOn w:val="Normal"/>
    <w:next w:val="Normal"/>
    <w:semiHidden/>
    <w:pPr>
      <w:ind w:left="240" w:hanging="240"/>
    </w:pPr>
  </w:style>
  <w:style w:type="paragraph" w:styleId="TableofFigures">
    <w:name w:val="table of figures"/>
    <w:basedOn w:val="Normal"/>
    <w:next w:val="Normal"/>
    <w:uiPriority w:val="99"/>
    <w:pPr>
      <w:ind w:left="480" w:hanging="480"/>
    </w:pPr>
  </w:style>
  <w:style w:type="paragraph" w:styleId="Title">
    <w:name w:val="Title"/>
    <w:basedOn w:val="Normal"/>
    <w:next w:val="SubTitle1"/>
    <w:link w:val="TitleChar"/>
    <w:qFormat/>
    <w:pPr>
      <w:spacing w:after="480"/>
      <w:jc w:val="center"/>
    </w:pPr>
    <w:rPr>
      <w:b/>
      <w:kern w:val="28"/>
      <w:sz w:val="48"/>
    </w:rPr>
  </w:style>
  <w:style w:type="paragraph" w:styleId="TOAHeading">
    <w:name w:val="toa heading"/>
    <w:basedOn w:val="Normal"/>
    <w:next w:val="Normal"/>
    <w:semiHidden/>
    <w:pPr>
      <w:spacing w:before="120"/>
    </w:pPr>
    <w:rPr>
      <w:rFonts w:ascii="Arial" w:hAnsi="Arial"/>
      <w:b/>
    </w:rPr>
  </w:style>
  <w:style w:type="paragraph" w:styleId="TOC1">
    <w:name w:val="toc 1"/>
    <w:basedOn w:val="Normal"/>
    <w:next w:val="Normal"/>
    <w:uiPriority w:val="39"/>
    <w:qFormat/>
    <w:rsid w:val="00062C4F"/>
    <w:pPr>
      <w:tabs>
        <w:tab w:val="right" w:leader="dot" w:pos="10206"/>
      </w:tabs>
      <w:ind w:left="482" w:right="720" w:hanging="482"/>
    </w:pPr>
    <w:rPr>
      <w:caps/>
    </w:rPr>
  </w:style>
  <w:style w:type="paragraph" w:styleId="TOC2">
    <w:name w:val="toc 2"/>
    <w:basedOn w:val="Normal"/>
    <w:next w:val="Normal"/>
    <w:uiPriority w:val="39"/>
    <w:qFormat/>
    <w:rsid w:val="00681D22"/>
    <w:pPr>
      <w:tabs>
        <w:tab w:val="right" w:leader="dot" w:pos="10206"/>
      </w:tabs>
      <w:spacing w:before="60" w:after="60"/>
      <w:ind w:left="595" w:right="720" w:hanging="595"/>
    </w:pPr>
  </w:style>
  <w:style w:type="paragraph" w:styleId="TOC3">
    <w:name w:val="toc 3"/>
    <w:basedOn w:val="Normal"/>
    <w:next w:val="Normal"/>
    <w:uiPriority w:val="39"/>
    <w:qFormat/>
    <w:rsid w:val="00681D22"/>
    <w:pPr>
      <w:tabs>
        <w:tab w:val="right" w:leader="dot" w:pos="10206"/>
      </w:tabs>
      <w:spacing w:before="60" w:after="60"/>
      <w:ind w:left="839" w:right="720" w:hanging="839"/>
    </w:pPr>
  </w:style>
  <w:style w:type="paragraph" w:styleId="TOC4">
    <w:name w:val="toc 4"/>
    <w:basedOn w:val="Normal"/>
    <w:next w:val="Normal"/>
    <w:uiPriority w:val="39"/>
    <w:pPr>
      <w:tabs>
        <w:tab w:val="right" w:leader="dot" w:pos="8641"/>
      </w:tabs>
      <w:spacing w:before="60" w:after="60"/>
      <w:ind w:left="2880" w:right="720" w:hanging="964"/>
    </w:pPr>
  </w:style>
  <w:style w:type="paragraph" w:styleId="TOC5">
    <w:name w:val="toc 5"/>
    <w:basedOn w:val="Normal"/>
    <w:next w:val="Normal"/>
    <w:uiPriority w:val="39"/>
    <w:pPr>
      <w:tabs>
        <w:tab w:val="right" w:leader="dot" w:pos="8641"/>
      </w:tabs>
      <w:spacing w:before="240" w:after="120"/>
      <w:ind w:right="720"/>
    </w:pPr>
    <w:rPr>
      <w:caps/>
    </w:rPr>
  </w:style>
  <w:style w:type="paragraph" w:styleId="TOC6">
    <w:name w:val="toc 6"/>
    <w:basedOn w:val="Normal"/>
    <w:next w:val="Normal"/>
    <w:autoRedefine/>
    <w:uiPriority w:val="39"/>
    <w:pPr>
      <w:ind w:left="1200"/>
    </w:pPr>
  </w:style>
  <w:style w:type="paragraph" w:styleId="TOC7">
    <w:name w:val="toc 7"/>
    <w:basedOn w:val="Normal"/>
    <w:next w:val="Normal"/>
    <w:autoRedefine/>
    <w:uiPriority w:val="39"/>
    <w:pPr>
      <w:ind w:left="1440"/>
    </w:pPr>
  </w:style>
  <w:style w:type="paragraph" w:styleId="TOC8">
    <w:name w:val="toc 8"/>
    <w:basedOn w:val="Normal"/>
    <w:next w:val="Normal"/>
    <w:autoRedefine/>
    <w:uiPriority w:val="39"/>
    <w:pPr>
      <w:ind w:left="1680"/>
    </w:pPr>
  </w:style>
  <w:style w:type="paragraph" w:styleId="TOC9">
    <w:name w:val="toc 9"/>
    <w:basedOn w:val="Normal"/>
    <w:next w:val="Normal"/>
    <w:autoRedefine/>
    <w:uiPriority w:val="39"/>
    <w:pPr>
      <w:ind w:left="1920"/>
    </w:pPr>
  </w:style>
  <w:style w:type="paragraph" w:customStyle="1" w:styleId="YReferences">
    <w:name w:val="YReferences"/>
    <w:basedOn w:val="Normal"/>
    <w:next w:val="Normal"/>
    <w:pPr>
      <w:spacing w:after="480"/>
      <w:ind w:left="1531" w:hanging="1531"/>
    </w:pPr>
  </w:style>
  <w:style w:type="paragraph" w:customStyle="1" w:styleId="ListBullet1">
    <w:name w:val="List Bullet 1"/>
    <w:basedOn w:val="Text1"/>
    <w:pPr>
      <w:numPr>
        <w:ilvl w:val="0"/>
        <w:numId w:val="4"/>
      </w:numPr>
    </w:pPr>
  </w:style>
  <w:style w:type="paragraph" w:customStyle="1" w:styleId="ListDash">
    <w:name w:val="List Dash"/>
    <w:basedOn w:val="Normal"/>
    <w:pPr>
      <w:numPr>
        <w:ilvl w:val="0"/>
        <w:numId w:val="8"/>
      </w:numPr>
    </w:pPr>
  </w:style>
  <w:style w:type="paragraph" w:customStyle="1" w:styleId="ListDash1">
    <w:name w:val="List Dash 1"/>
    <w:basedOn w:val="Text1"/>
    <w:pPr>
      <w:numPr>
        <w:ilvl w:val="0"/>
        <w:numId w:val="9"/>
      </w:numPr>
    </w:pPr>
  </w:style>
  <w:style w:type="paragraph" w:customStyle="1" w:styleId="ListDash2">
    <w:name w:val="List Dash 2"/>
    <w:basedOn w:val="Text2"/>
    <w:pPr>
      <w:numPr>
        <w:ilvl w:val="0"/>
        <w:numId w:val="10"/>
      </w:numPr>
      <w:tabs>
        <w:tab w:val="clear" w:pos="2302"/>
      </w:tabs>
    </w:pPr>
  </w:style>
  <w:style w:type="paragraph" w:customStyle="1" w:styleId="ListDash3">
    <w:name w:val="List Dash 3"/>
    <w:basedOn w:val="Text3"/>
    <w:pPr>
      <w:numPr>
        <w:ilvl w:val="0"/>
        <w:numId w:val="11"/>
      </w:numPr>
      <w:tabs>
        <w:tab w:val="clear" w:pos="2302"/>
      </w:tabs>
    </w:pPr>
  </w:style>
  <w:style w:type="paragraph" w:customStyle="1" w:styleId="ListDash4">
    <w:name w:val="List Dash 4"/>
    <w:basedOn w:val="Text4"/>
    <w:pPr>
      <w:numPr>
        <w:ilvl w:val="0"/>
        <w:numId w:val="12"/>
      </w:numPr>
      <w:tabs>
        <w:tab w:val="clear" w:pos="2302"/>
      </w:tabs>
    </w:pPr>
  </w:style>
  <w:style w:type="paragraph" w:customStyle="1" w:styleId="ListNumberLevel2">
    <w:name w:val="List Number (Level 2)"/>
    <w:basedOn w:val="Normal"/>
    <w:pPr>
      <w:numPr>
        <w:ilvl w:val="1"/>
        <w:numId w:val="13"/>
      </w:numPr>
    </w:pPr>
  </w:style>
  <w:style w:type="paragraph" w:customStyle="1" w:styleId="ListNumberLevel3">
    <w:name w:val="List Number (Level 3)"/>
    <w:basedOn w:val="Normal"/>
    <w:pPr>
      <w:numPr>
        <w:ilvl w:val="2"/>
        <w:numId w:val="13"/>
      </w:numPr>
    </w:pPr>
  </w:style>
  <w:style w:type="paragraph" w:customStyle="1" w:styleId="ListNumberLevel4">
    <w:name w:val="List Number (Level 4)"/>
    <w:basedOn w:val="Normal"/>
    <w:pPr>
      <w:numPr>
        <w:ilvl w:val="3"/>
        <w:numId w:val="13"/>
      </w:numPr>
    </w:pPr>
  </w:style>
  <w:style w:type="paragraph" w:customStyle="1" w:styleId="ListNumber1">
    <w:name w:val="List Number 1"/>
    <w:basedOn w:val="Text1"/>
    <w:pPr>
      <w:numPr>
        <w:ilvl w:val="0"/>
        <w:numId w:val="14"/>
      </w:numPr>
    </w:pPr>
  </w:style>
  <w:style w:type="paragraph" w:customStyle="1" w:styleId="ListNumber1Level2">
    <w:name w:val="List Number 1 (Level 2)"/>
    <w:basedOn w:val="Text1"/>
    <w:pPr>
      <w:numPr>
        <w:ilvl w:val="1"/>
        <w:numId w:val="14"/>
      </w:numPr>
    </w:pPr>
  </w:style>
  <w:style w:type="paragraph" w:customStyle="1" w:styleId="ListNumber1Level3">
    <w:name w:val="List Number 1 (Level 3)"/>
    <w:basedOn w:val="Text1"/>
    <w:pPr>
      <w:numPr>
        <w:ilvl w:val="2"/>
        <w:numId w:val="14"/>
      </w:numPr>
    </w:pPr>
  </w:style>
  <w:style w:type="paragraph" w:customStyle="1" w:styleId="ListNumber1Level4">
    <w:name w:val="List Number 1 (Level 4)"/>
    <w:basedOn w:val="Text1"/>
    <w:pPr>
      <w:numPr>
        <w:ilvl w:val="3"/>
        <w:numId w:val="14"/>
      </w:numPr>
    </w:pPr>
  </w:style>
  <w:style w:type="paragraph" w:customStyle="1" w:styleId="ListNumber2Level2">
    <w:name w:val="List Number 2 (Level 2)"/>
    <w:basedOn w:val="Text2"/>
    <w:pPr>
      <w:numPr>
        <w:ilvl w:val="1"/>
        <w:numId w:val="15"/>
      </w:numPr>
      <w:tabs>
        <w:tab w:val="clear" w:pos="2302"/>
      </w:tabs>
    </w:pPr>
  </w:style>
  <w:style w:type="paragraph" w:customStyle="1" w:styleId="ListNumber2Level3">
    <w:name w:val="List Number 2 (Level 3)"/>
    <w:basedOn w:val="Text2"/>
    <w:pPr>
      <w:numPr>
        <w:ilvl w:val="2"/>
        <w:numId w:val="15"/>
      </w:numPr>
      <w:tabs>
        <w:tab w:val="clear" w:pos="2302"/>
      </w:tabs>
    </w:pPr>
  </w:style>
  <w:style w:type="paragraph" w:customStyle="1" w:styleId="ListNumber2Level4">
    <w:name w:val="List Number 2 (Level 4)"/>
    <w:basedOn w:val="Text2"/>
    <w:pPr>
      <w:numPr>
        <w:ilvl w:val="3"/>
        <w:numId w:val="15"/>
      </w:numPr>
      <w:tabs>
        <w:tab w:val="clear" w:pos="2302"/>
      </w:tabs>
    </w:pPr>
  </w:style>
  <w:style w:type="paragraph" w:customStyle="1" w:styleId="ListNumber3Level2">
    <w:name w:val="List Number 3 (Level 2)"/>
    <w:basedOn w:val="Text3"/>
    <w:pPr>
      <w:numPr>
        <w:ilvl w:val="1"/>
        <w:numId w:val="16"/>
      </w:numPr>
      <w:tabs>
        <w:tab w:val="clear" w:pos="2302"/>
      </w:tabs>
    </w:pPr>
  </w:style>
  <w:style w:type="paragraph" w:customStyle="1" w:styleId="ListNumber3Level3">
    <w:name w:val="List Number 3 (Level 3)"/>
    <w:basedOn w:val="Text3"/>
    <w:pPr>
      <w:numPr>
        <w:ilvl w:val="2"/>
        <w:numId w:val="16"/>
      </w:numPr>
      <w:tabs>
        <w:tab w:val="clear" w:pos="2302"/>
      </w:tabs>
    </w:pPr>
  </w:style>
  <w:style w:type="paragraph" w:customStyle="1" w:styleId="ListNumber3Level4">
    <w:name w:val="List Number 3 (Level 4)"/>
    <w:basedOn w:val="Text3"/>
    <w:pPr>
      <w:numPr>
        <w:ilvl w:val="3"/>
        <w:numId w:val="16"/>
      </w:numPr>
      <w:tabs>
        <w:tab w:val="clear" w:pos="2302"/>
      </w:tabs>
    </w:pPr>
  </w:style>
  <w:style w:type="paragraph" w:customStyle="1" w:styleId="ListNumber4Level2">
    <w:name w:val="List Number 4 (Level 2)"/>
    <w:basedOn w:val="Text4"/>
    <w:pPr>
      <w:numPr>
        <w:ilvl w:val="1"/>
        <w:numId w:val="17"/>
      </w:numPr>
      <w:tabs>
        <w:tab w:val="clear" w:pos="2302"/>
      </w:tabs>
    </w:pPr>
  </w:style>
  <w:style w:type="paragraph" w:customStyle="1" w:styleId="ListNumber4Level3">
    <w:name w:val="List Number 4 (Level 3)"/>
    <w:basedOn w:val="Text4"/>
    <w:pPr>
      <w:numPr>
        <w:ilvl w:val="2"/>
        <w:numId w:val="17"/>
      </w:numPr>
      <w:tabs>
        <w:tab w:val="clear" w:pos="2302"/>
      </w:tabs>
    </w:pPr>
  </w:style>
  <w:style w:type="paragraph" w:customStyle="1" w:styleId="ListNumber4Level4">
    <w:name w:val="List Number 4 (Level 4)"/>
    <w:basedOn w:val="Text4"/>
    <w:pPr>
      <w:numPr>
        <w:ilvl w:val="3"/>
        <w:numId w:val="17"/>
      </w:numPr>
      <w:tabs>
        <w:tab w:val="clear" w:pos="2302"/>
      </w:tabs>
    </w:pPr>
  </w:style>
  <w:style w:type="paragraph" w:styleId="TOCHeading">
    <w:name w:val="TOC Heading"/>
    <w:basedOn w:val="Normal"/>
    <w:next w:val="Normal"/>
    <w:uiPriority w:val="39"/>
    <w:qFormat/>
    <w:pPr>
      <w:keepNext/>
      <w:spacing w:before="240"/>
      <w:jc w:val="center"/>
    </w:pPr>
    <w:rPr>
      <w:b/>
    </w:rPr>
  </w:style>
  <w:style w:type="paragraph" w:customStyle="1" w:styleId="Contact">
    <w:name w:val="Contact"/>
    <w:basedOn w:val="Normal"/>
    <w:next w:val="Normal"/>
    <w:uiPriority w:val="99"/>
    <w:pPr>
      <w:spacing w:after="480"/>
      <w:ind w:left="567" w:hanging="567"/>
      <w:jc w:val="left"/>
    </w:pPr>
  </w:style>
  <w:style w:type="paragraph" w:customStyle="1" w:styleId="Designator">
    <w:name w:val="Designator"/>
    <w:basedOn w:val="Normal"/>
    <w:pPr>
      <w:spacing w:after="0"/>
      <w:jc w:val="center"/>
    </w:pPr>
    <w:rPr>
      <w:b/>
      <w:caps/>
      <w:sz w:val="32"/>
    </w:rPr>
  </w:style>
  <w:style w:type="paragraph" w:customStyle="1" w:styleId="Releasable">
    <w:name w:val="Releasable"/>
    <w:basedOn w:val="Normal"/>
    <w:qFormat/>
    <w:pPr>
      <w:spacing w:after="0"/>
      <w:jc w:val="center"/>
    </w:pPr>
    <w:rPr>
      <w:b/>
      <w:caps/>
      <w:sz w:val="32"/>
      <w:lang w:val="de-DE"/>
    </w:rPr>
  </w:style>
  <w:style w:type="paragraph" w:customStyle="1" w:styleId="RUE">
    <w:name w:val="RUE"/>
    <w:basedOn w:val="Normal"/>
    <w:pPr>
      <w:spacing w:after="0"/>
      <w:jc w:val="center"/>
    </w:pPr>
    <w:rPr>
      <w:b/>
      <w:caps/>
      <w:sz w:val="32"/>
      <w:bdr w:val="single" w:sz="18" w:space="0" w:color="auto"/>
      <w:lang w:val="de-DE"/>
    </w:rPr>
  </w:style>
  <w:style w:type="paragraph" w:customStyle="1" w:styleId="ConfidentialUE">
    <w:name w:val="Confidential UE"/>
    <w:basedOn w:val="Normal"/>
    <w:pPr>
      <w:spacing w:after="0"/>
      <w:jc w:val="center"/>
    </w:pPr>
    <w:rPr>
      <w:b/>
      <w:caps/>
      <w:sz w:val="32"/>
      <w:bdr w:val="single" w:sz="18" w:space="0" w:color="auto"/>
    </w:rPr>
  </w:style>
  <w:style w:type="paragraph" w:customStyle="1" w:styleId="SecretUE">
    <w:name w:val="Secret UE"/>
    <w:basedOn w:val="Normal"/>
    <w:pPr>
      <w:spacing w:after="0"/>
      <w:jc w:val="center"/>
    </w:pPr>
    <w:rPr>
      <w:b/>
      <w:caps/>
      <w:color w:val="FF0000"/>
      <w:sz w:val="32"/>
      <w:bdr w:val="single" w:sz="18" w:space="0" w:color="FF0000"/>
    </w:rPr>
  </w:style>
  <w:style w:type="paragraph" w:customStyle="1" w:styleId="TrsSecretUE">
    <w:name w:val="Très Secret UE"/>
    <w:basedOn w:val="Normal"/>
    <w:pPr>
      <w:spacing w:after="0"/>
      <w:jc w:val="center"/>
    </w:pPr>
    <w:rPr>
      <w:b/>
      <w:caps/>
      <w:color w:val="FF0000"/>
      <w:sz w:val="32"/>
      <w:bdr w:val="single" w:sz="18" w:space="0" w:color="FF0000"/>
    </w:rPr>
  </w:style>
  <w:style w:type="character" w:customStyle="1" w:styleId="FooterChar">
    <w:name w:val="Footer Char"/>
    <w:link w:val="Footer"/>
    <w:uiPriority w:val="99"/>
    <w:rsid w:val="00B538D8"/>
    <w:rPr>
      <w:rFonts w:ascii="Arial" w:hAnsi="Arial"/>
      <w:sz w:val="16"/>
      <w:lang w:eastAsia="en-US"/>
    </w:rPr>
  </w:style>
  <w:style w:type="paragraph" w:customStyle="1" w:styleId="ZCom">
    <w:name w:val="Z_Com"/>
    <w:basedOn w:val="Normal"/>
    <w:next w:val="ZDGName"/>
    <w:uiPriority w:val="99"/>
    <w:rsid w:val="00B538D8"/>
    <w:pPr>
      <w:widowControl w:val="0"/>
      <w:autoSpaceDE w:val="0"/>
      <w:autoSpaceDN w:val="0"/>
      <w:spacing w:after="0"/>
      <w:ind w:right="85"/>
    </w:pPr>
    <w:rPr>
      <w:rFonts w:ascii="Arial" w:hAnsi="Arial" w:cs="Arial"/>
      <w:szCs w:val="24"/>
      <w:lang w:eastAsia="en-GB"/>
    </w:rPr>
  </w:style>
  <w:style w:type="paragraph" w:customStyle="1" w:styleId="ZDGName">
    <w:name w:val="Z_DGName"/>
    <w:basedOn w:val="Normal"/>
    <w:uiPriority w:val="99"/>
    <w:rsid w:val="00B538D8"/>
    <w:pPr>
      <w:widowControl w:val="0"/>
      <w:autoSpaceDE w:val="0"/>
      <w:autoSpaceDN w:val="0"/>
      <w:spacing w:after="0"/>
      <w:ind w:right="85"/>
      <w:jc w:val="left"/>
    </w:pPr>
    <w:rPr>
      <w:rFonts w:ascii="Arial" w:hAnsi="Arial" w:cs="Arial"/>
      <w:sz w:val="16"/>
      <w:szCs w:val="16"/>
      <w:lang w:eastAsia="en-GB"/>
    </w:rPr>
  </w:style>
  <w:style w:type="character" w:customStyle="1" w:styleId="HeaderChar">
    <w:name w:val="Header Char"/>
    <w:link w:val="Header"/>
    <w:uiPriority w:val="99"/>
    <w:rsid w:val="00B538D8"/>
    <w:rPr>
      <w:sz w:val="24"/>
      <w:lang w:eastAsia="en-US"/>
    </w:rPr>
  </w:style>
  <w:style w:type="character" w:styleId="Hyperlink">
    <w:name w:val="Hyperlink"/>
    <w:uiPriority w:val="99"/>
    <w:unhideWhenUsed/>
    <w:rsid w:val="00BF61CA"/>
    <w:rPr>
      <w:color w:val="0000FF"/>
      <w:u w:val="single"/>
    </w:rPr>
  </w:style>
  <w:style w:type="paragraph" w:styleId="BalloonText">
    <w:name w:val="Balloon Text"/>
    <w:basedOn w:val="Normal"/>
    <w:link w:val="BalloonTextChar"/>
    <w:uiPriority w:val="99"/>
    <w:semiHidden/>
    <w:unhideWhenUsed/>
    <w:rsid w:val="00AF341F"/>
    <w:pPr>
      <w:spacing w:after="0"/>
    </w:pPr>
    <w:rPr>
      <w:rFonts w:ascii="Tahoma" w:hAnsi="Tahoma" w:cs="Tahoma"/>
      <w:sz w:val="16"/>
      <w:szCs w:val="16"/>
    </w:rPr>
  </w:style>
  <w:style w:type="character" w:customStyle="1" w:styleId="BalloonTextChar">
    <w:name w:val="Balloon Text Char"/>
    <w:link w:val="BalloonText"/>
    <w:uiPriority w:val="99"/>
    <w:semiHidden/>
    <w:rsid w:val="00AF341F"/>
    <w:rPr>
      <w:rFonts w:ascii="Tahoma" w:hAnsi="Tahoma" w:cs="Tahoma"/>
      <w:sz w:val="16"/>
      <w:szCs w:val="16"/>
      <w:lang w:eastAsia="en-US"/>
    </w:rPr>
  </w:style>
  <w:style w:type="character" w:customStyle="1" w:styleId="Heading4Char">
    <w:name w:val="Heading 4 Char"/>
    <w:link w:val="Heading4"/>
    <w:rsid w:val="00554619"/>
    <w:rPr>
      <w:i/>
      <w:color w:val="000000"/>
      <w:sz w:val="24"/>
      <w:lang w:val="fr-BE" w:eastAsia="en-US"/>
    </w:rPr>
  </w:style>
  <w:style w:type="paragraph" w:customStyle="1" w:styleId="FITTable">
    <w:name w:val="FIT Table"/>
    <w:basedOn w:val="Normal"/>
    <w:rsid w:val="00DB72E9"/>
    <w:pPr>
      <w:spacing w:before="60" w:after="60"/>
    </w:pPr>
    <w:rPr>
      <w:sz w:val="22"/>
    </w:rPr>
  </w:style>
  <w:style w:type="character" w:customStyle="1" w:styleId="TitleChar">
    <w:name w:val="Title Char"/>
    <w:link w:val="Title"/>
    <w:rsid w:val="00DB72E9"/>
    <w:rPr>
      <w:b/>
      <w:kern w:val="28"/>
      <w:sz w:val="48"/>
      <w:lang w:eastAsia="en-US"/>
    </w:rPr>
  </w:style>
  <w:style w:type="table" w:styleId="TableGrid">
    <w:name w:val="Table Grid"/>
    <w:basedOn w:val="TableNormal"/>
    <w:uiPriority w:val="59"/>
    <w:rsid w:val="00D638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uidelines">
    <w:name w:val="Guidelines"/>
    <w:basedOn w:val="Text2"/>
    <w:link w:val="GuidelinesChar"/>
    <w:rsid w:val="00120799"/>
    <w:pPr>
      <w:pBdr>
        <w:top w:val="single" w:sz="4" w:space="1" w:color="auto"/>
        <w:left w:val="single" w:sz="4" w:space="4" w:color="auto"/>
        <w:bottom w:val="single" w:sz="4" w:space="1" w:color="auto"/>
        <w:right w:val="single" w:sz="4" w:space="4" w:color="auto"/>
      </w:pBdr>
      <w:ind w:left="0"/>
    </w:pPr>
    <w:rPr>
      <w:color w:val="4F81BD"/>
    </w:rPr>
  </w:style>
  <w:style w:type="character" w:customStyle="1" w:styleId="Text2Char">
    <w:name w:val="Text 2 Char"/>
    <w:link w:val="Text2"/>
    <w:rsid w:val="00120799"/>
    <w:rPr>
      <w:sz w:val="24"/>
      <w:lang w:eastAsia="en-US"/>
    </w:rPr>
  </w:style>
  <w:style w:type="character" w:customStyle="1" w:styleId="GuidelinesChar">
    <w:name w:val="Guidelines Char"/>
    <w:link w:val="Guidelines"/>
    <w:rsid w:val="00120799"/>
    <w:rPr>
      <w:color w:val="4F81BD"/>
      <w:sz w:val="24"/>
      <w:lang w:eastAsia="en-US"/>
    </w:rPr>
  </w:style>
  <w:style w:type="character" w:styleId="FootnoteReference">
    <w:name w:val="footnote reference"/>
    <w:uiPriority w:val="99"/>
    <w:semiHidden/>
    <w:unhideWhenUsed/>
    <w:rsid w:val="00D56D3F"/>
    <w:rPr>
      <w:vertAlign w:val="superscript"/>
    </w:rPr>
  </w:style>
  <w:style w:type="table" w:customStyle="1" w:styleId="TableGrid1">
    <w:name w:val="Table Grid1"/>
    <w:basedOn w:val="TableNormal"/>
    <w:next w:val="TableGrid"/>
    <w:rsid w:val="00990D9F"/>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554619"/>
    <w:rPr>
      <w:b/>
      <w:sz w:val="24"/>
      <w:lang w:val="fr-BE" w:eastAsia="en-US"/>
    </w:rPr>
  </w:style>
  <w:style w:type="character" w:customStyle="1" w:styleId="Heading3Char">
    <w:name w:val="Heading 3 Char"/>
    <w:link w:val="Heading3"/>
    <w:rsid w:val="00F235A7"/>
    <w:rPr>
      <w:color w:val="000000"/>
      <w:sz w:val="24"/>
      <w:lang w:val="fr-BE" w:eastAsia="en-US"/>
    </w:rPr>
  </w:style>
  <w:style w:type="paragraph" w:styleId="ListParagraph">
    <w:name w:val="List Paragraph"/>
    <w:basedOn w:val="Normal"/>
    <w:uiPriority w:val="34"/>
    <w:qFormat/>
    <w:rsid w:val="00592E64"/>
    <w:pPr>
      <w:ind w:left="720"/>
      <w:contextualSpacing/>
    </w:pPr>
  </w:style>
  <w:style w:type="numbering" w:customStyle="1" w:styleId="Headings">
    <w:name w:val="Headings"/>
    <w:uiPriority w:val="99"/>
    <w:rsid w:val="00162E7B"/>
    <w:pPr>
      <w:numPr>
        <w:numId w:val="18"/>
      </w:numPr>
    </w:pPr>
  </w:style>
  <w:style w:type="table" w:customStyle="1" w:styleId="Table">
    <w:name w:val="Table"/>
    <w:basedOn w:val="TableNormal"/>
    <w:tblPr/>
  </w:style>
  <w:style w:type="table" w:customStyle="1" w:styleId="MsoTableGrid0">
    <w:name w:val="MsoTableGrid0"/>
    <w:basedOn w:val="TableNormal"/>
    <w:tblPr/>
  </w:style>
</w:styles>
</file>

<file path=word/webSettings.xml><?xml version="1.0" encoding="utf-8"?>
<w:webSettings xmlns:r="http://schemas.openxmlformats.org/officeDocument/2006/relationships" xmlns:w="http://schemas.openxmlformats.org/wordprocessingml/2006/main">
  <w:targetScreenSz w:val="1024x768"/>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footer" Target="footer2.xml" /><Relationship Id="rId11" Type="http://schemas.openxmlformats.org/officeDocument/2006/relationships/header" Target="header3.xml" /><Relationship Id="rId12" Type="http://schemas.openxmlformats.org/officeDocument/2006/relationships/footer" Target="footer3.xml" /><Relationship Id="rId13" Type="http://schemas.openxmlformats.org/officeDocument/2006/relationships/image" Target="media/image3.jpeg" /><Relationship Id="rId14" Type="http://schemas.openxmlformats.org/officeDocument/2006/relationships/image" Target="media/image4.png" /><Relationship Id="rId15" Type="http://schemas.openxmlformats.org/officeDocument/2006/relationships/image" Target="media/image5.png" /><Relationship Id="rId16" Type="http://schemas.openxmlformats.org/officeDocument/2006/relationships/image" Target="media/image6.jpeg" /><Relationship Id="rId17" Type="http://schemas.openxmlformats.org/officeDocument/2006/relationships/image" Target="media/image7.jpeg" /><Relationship Id="rId18" Type="http://schemas.openxmlformats.org/officeDocument/2006/relationships/image" Target="media/image8.jpeg" /><Relationship Id="rId19" Type="http://schemas.openxmlformats.org/officeDocument/2006/relationships/image" Target="media/image9.png" /><Relationship Id="rId2" Type="http://schemas.openxmlformats.org/officeDocument/2006/relationships/webSettings" Target="webSettings.xml" /><Relationship Id="rId20" Type="http://schemas.openxmlformats.org/officeDocument/2006/relationships/image" Target="media/image10.png" /><Relationship Id="rId21" Type="http://schemas.openxmlformats.org/officeDocument/2006/relationships/image" Target="media/image11.png" /><Relationship Id="rId22" Type="http://schemas.openxmlformats.org/officeDocument/2006/relationships/image" Target="media/image12.jpeg" /><Relationship Id="rId23" Type="http://schemas.openxmlformats.org/officeDocument/2006/relationships/theme" Target="theme/theme1.xml" /><Relationship Id="rId24" Type="http://schemas.openxmlformats.org/officeDocument/2006/relationships/numbering" Target="numbering.xml" /><Relationship Id="rId25"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header" Target="header1.xml" /><Relationship Id="rId8" Type="http://schemas.openxmlformats.org/officeDocument/2006/relationships/header" Target="header2.xml" /><Relationship Id="rId9" Type="http://schemas.openxmlformats.org/officeDocument/2006/relationships/footer" Target="footer1.xml" /></Relationships>
</file>

<file path=word/_rels/fontTable.xml.rels>&#65279;<?xml version="1.0" encoding="utf-8" standalone="yes"?><Relationships xmlns="http://schemas.openxmlformats.org/package/2006/relationships"><Relationship Id="rId1" Type="http://schemas.openxmlformats.org/officeDocument/2006/relationships/font" Target="fonts/font1.odttf" /><Relationship Id="rId10" Type="http://schemas.openxmlformats.org/officeDocument/2006/relationships/font" Target="fonts/font10.odttf" /><Relationship Id="rId11" Type="http://schemas.openxmlformats.org/officeDocument/2006/relationships/font" Target="fonts/font11.odttf" /><Relationship Id="rId12" Type="http://schemas.openxmlformats.org/officeDocument/2006/relationships/font" Target="fonts/font12.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 Id="rId6" Type="http://schemas.openxmlformats.org/officeDocument/2006/relationships/font" Target="fonts/font6.odttf" /><Relationship Id="rId7" Type="http://schemas.openxmlformats.org/officeDocument/2006/relationships/font" Target="fonts/font7.odttf" /><Relationship Id="rId8" Type="http://schemas.openxmlformats.org/officeDocument/2006/relationships/font" Target="fonts/font8.odttf" /><Relationship Id="rId9" Type="http://schemas.openxmlformats.org/officeDocument/2006/relationships/font" Target="fonts/font9.odttf"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D3B22AE-F49C-4F0B-83AE-8F3CF8257F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938</Pages>
  <Words>0</Words>
  <Characters>1</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revision>1</cp:revision>
  <dcterms:created xsi:type="dcterms:W3CDTF">2015-06-09T11:46:00Z</dcterms:created>
  <dcterms:modified xsi:type="dcterms:W3CDTF">2015-06-09T11:48:00Z</dcterms:modified>
</cp:coreProperties>
</file>